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517525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586105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May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103505</wp:posOffset>
            </wp:positionV>
            <wp:extent cx="318897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Merit Medical Systems,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019"/>
          </w:cols>
          <w:pgMar w:left="1440" w:top="988" w:right="1440" w:bottom="1440" w:gutter="0" w:footer="0" w:header="0"/>
        </w:sectPr>
      </w:pPr>
    </w:p>
    <w:p>
      <w:pPr>
        <w:spacing w:after="0" w:line="1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Utah</w:t>
      </w:r>
    </w:p>
    <w:p>
      <w:pPr>
        <w:spacing w:after="0" w:line="2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0-18592</w:t>
      </w:r>
    </w:p>
    <w:p>
      <w:pPr>
        <w:spacing w:after="0" w:line="2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(Commission</w:t>
      </w:r>
    </w:p>
    <w:p>
      <w:pPr>
        <w:spacing w:after="0" w:line="1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87-0447695</w:t>
      </w:r>
    </w:p>
    <w:p>
      <w:pPr>
        <w:spacing w:after="0" w:line="28"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44" w:lineRule="exact"/>
        <w:rPr>
          <w:sz w:val="24"/>
          <w:szCs w:val="24"/>
          <w:color w:val="auto"/>
        </w:rPr>
      </w:pPr>
    </w:p>
    <w:p>
      <w:pPr>
        <w:sectPr>
          <w:pgSz w:w="11900" w:h="16838" w:orient="portrait"/>
          <w:cols w:equalWidth="0" w:num="3">
            <w:col w:w="3520" w:space="720"/>
            <w:col w:w="1880" w:space="720"/>
            <w:col w:w="2179"/>
          </w:cols>
          <w:pgMar w:left="1440" w:top="988" w:right="1440" w:bottom="1440" w:gutter="0" w:footer="0" w:header="0"/>
          <w:type w:val="continuous"/>
        </w:sect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1600 West Merit Parkway</w:t>
      </w:r>
    </w:p>
    <w:p>
      <w:pPr>
        <w:spacing w:after="0" w:line="28"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South Jordan, Utah</w:t>
      </w:r>
    </w:p>
    <w:p>
      <w:pPr>
        <w:spacing w:after="0" w:line="1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19"/>
        <w:spacing w:after="0"/>
        <w:rPr>
          <w:sz w:val="20"/>
          <w:szCs w:val="20"/>
          <w:color w:val="auto"/>
        </w:rPr>
      </w:pPr>
      <w:r>
        <w:rPr>
          <w:rFonts w:ascii="Times New Roman" w:cs="Times New Roman" w:eastAsia="Times New Roman" w:hAnsi="Times New Roman"/>
          <w:sz w:val="16"/>
          <w:szCs w:val="16"/>
          <w:b w:val="1"/>
          <w:bCs w:val="1"/>
          <w:color w:val="auto"/>
        </w:rPr>
        <w:t>84095</w:t>
      </w:r>
    </w:p>
    <w:p>
      <w:pPr>
        <w:spacing w:after="0" w:line="28" w:lineRule="exact"/>
        <w:rPr>
          <w:sz w:val="24"/>
          <w:szCs w:val="24"/>
          <w:color w:val="auto"/>
        </w:rPr>
      </w:pPr>
    </w:p>
    <w:p>
      <w:pPr>
        <w:jc w:val="center"/>
        <w:ind w:right="1819"/>
        <w:spacing w:after="0"/>
        <w:rPr>
          <w:sz w:val="20"/>
          <w:szCs w:val="20"/>
          <w:color w:val="auto"/>
        </w:rPr>
      </w:pPr>
      <w:r>
        <w:rPr>
          <w:rFonts w:ascii="Times New Roman" w:cs="Times New Roman" w:eastAsia="Times New Roman" w:hAnsi="Times New Roman"/>
          <w:sz w:val="16"/>
          <w:szCs w:val="16"/>
          <w:color w:val="auto"/>
        </w:rPr>
        <w:t>(Zip Code)</w:t>
      </w:r>
    </w:p>
    <w:p>
      <w:pPr>
        <w:spacing w:after="0" w:line="130" w:lineRule="exact"/>
        <w:rPr>
          <w:sz w:val="24"/>
          <w:szCs w:val="24"/>
          <w:color w:val="auto"/>
        </w:rPr>
      </w:pPr>
    </w:p>
    <w:p>
      <w:pPr>
        <w:sectPr>
          <w:pgSz w:w="11900" w:h="16838" w:orient="portrait"/>
          <w:cols w:equalWidth="0" w:num="2">
            <w:col w:w="5760" w:space="720"/>
            <w:col w:w="2539"/>
          </w:cols>
          <w:pgMar w:left="1440" w:top="98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(801) 253-1600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2" w:lineRule="exact"/>
        <w:rPr>
          <w:sz w:val="24"/>
          <w:szCs w:val="24"/>
          <w:color w:val="auto"/>
        </w:rPr>
      </w:pPr>
    </w:p>
    <w:p>
      <w:pPr>
        <w:ind w:left="60" w:right="7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20" w:hanging="270"/>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0" w:right="1419" w:hanging="10"/>
        <w:spacing w:after="0" w:line="431" w:lineRule="auto"/>
        <w:tabs>
          <w:tab w:leader="none" w:pos="37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60" w:type="dxa"/>
        <w:tblCellMar>
          <w:top w:w="0" w:type="dxa"/>
          <w:left w:w="0" w:type="dxa"/>
          <w:bottom w:w="0" w:type="dxa"/>
          <w:right w:w="0" w:type="dxa"/>
        </w:tblCellMar>
      </w:tblPr>
      <w:tr>
        <w:trPr>
          <w:trHeight w:val="210"/>
        </w:trPr>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8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MMSI</w:t>
            </w:r>
          </w:p>
        </w:tc>
        <w:tc>
          <w:tcPr>
            <w:tcW w:w="22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4" w:lineRule="exact"/>
        <w:rPr>
          <w:sz w:val="24"/>
          <w:szCs w:val="24"/>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ind w:left="60"/>
        <w:spacing w:after="0" w:line="184" w:lineRule="exact"/>
        <w:tabs>
          <w:tab w:leader="none" w:pos="21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6" w:lineRule="exact"/>
        <w:rPr>
          <w:sz w:val="24"/>
          <w:szCs w:val="24"/>
          <w:color w:val="auto"/>
        </w:rPr>
      </w:pPr>
    </w:p>
    <w:p>
      <w:pPr>
        <w:ind w:left="60" w:right="7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716280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304800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8"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May 16, 2025, Merit Medical Systems, Inc., a Utah corporation (“Merit”), entered into an Agreement and Plan of Merger (the “Agreement”) by and among, Merit, Biolife, L.L.C., a Florida limited liability company (“FL Biolife”), Biolife Transaction Sub, LLC, a Delaware limited liability company (“Merger Sub”), and Shareholder Representative Services LLC, a Colorado limited liability company. Promptly following the execution of the Agreement, FL Biolife converted from a Florida limited liability company to a Delaware limited liability company called Biolife Delaware, L.L.C. (“Biolife”). Pursuant to the terms of the Agreement, on May 20, 2025, Merger Sub merged with and into Biolife, with Biolife continuing as the surviving corporation and a wholly-owned subsidiary of Merit (the “Merger”).</w:t>
      </w:r>
    </w:p>
    <w:p>
      <w:pPr>
        <w:spacing w:after="0" w:line="14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Merit acquired Biolife through the Merger for a purchase price of $120 million (subject to standard adjustments for working capital and other matters). Merit paid the purchase price with available cash on hand.</w:t>
      </w:r>
    </w:p>
    <w:p>
      <w:pPr>
        <w:spacing w:after="0" w:line="13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as well as customary indemnification provisions and post-closing covenants. The representations and warranties are insured pursuant to buyer-side representation and warranty insurance policy (the “RWI”), subject to standard exceptions and limitations, obtained by Merit in connection with the Acquisition. Recovery under the RWI is Merit’s sole recourse for breaches of representations and warranties, other than with respect to fraud.</w:t>
      </w:r>
    </w:p>
    <w:p>
      <w:pPr>
        <w:spacing w:after="0" w:line="14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foregoing summary of the principal terms of the Agreement is not complete and is qualified in its entirety by the actual terms and conditions of the Agreement, a copy of which Merit intends to file in a future filing with the U.S. Securities &amp; Exchange Commission. The representations, warranties, and other terms contained in the Agreement were made solely for the purposes of such agreement and as of specified dates, were solely for the benefit of the parties to the Agreement, and may be subject to limitations agreed upon by the contracting parties. Those representations and warranties may have been made for the purposes of allocating contractual risk between the parties to the Agreement instead of establishing these matters as facts, and may be subject to standards of materiality applicable to the contracting parties that differ from those applicable to investors. Investors are not third-party beneficiaries under the Agreement and should not rely on the representations, warranties and covenants or any descriptions thereof as characterizations of the actual state of facts or condition of Merit, Biolife, or any of their respective subsidiaries or affiliates. Accordingly, investors should not rely on the representations and warranties as characterizations of the actual state of facts, since (i) they were made only as of the date of the Agreement or prior, specified dates, (ii) in some cases they are subject to qualifications with respect to materiality, knowledge and/or other matters, and (iii) they may be modified in important part by the underlying exhibits and schedules.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May 20, 2025, Merit issued a press release announcing the Acquisition (the “Acquisition Press Release”) and updating its 2025 fiscal year guidance in light of the Acquisition. A copy of the Acquisition Press Release is furnished as Exhibit 99.1 to this Current Report on Form 8-K (this “Current Report”) and incorporated herein by reference.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20, 2025, Merit issued the Acquisition Press Release announcing the Acquisition.</w:t>
      </w:r>
    </w:p>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7.01 of this Current Report and in the attached Exhibit 99.1 is furnished pursuant to General Instruction B.2. of Form 8-K and shall not be deemed to be “filed” for purposes of Section 18 of the Exchange Act, or otherwise subject to the liabilities of that section, nor shall it be deemed incorporated by reference in any filing made by Merit under the Securities Act of 1933, as amended (the “Securities Act”), or the Securities Exchange Act of 1934, as amended (the “Exchange Act”).</w:t>
      </w:r>
    </w:p>
    <w:p>
      <w:pPr>
        <w:spacing w:after="0" w:line="14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Merit is making reference to non-GAAP information in the Acquisition Press Release. A quantitative reconciliation of such non-GAAP financial information to comparable GAAP financial information is not available without unreasonable effort.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information included in this Current Report contains forward-looking statements about Merit that involve substantial risks and uncertainties. Merit intends such statements, and all subsequent forward-looking statements attributable to Merit, to be expressly qualified in their entirety by these cautionary statements and covered by the safe harbor provisions for forward-looking statements contained in Section 21E of the Exchange Act and Section 27A of the Securities Act. In some cases, forward-looking statements can be identified by the use of terminology such as “anticipate,” “believe,” “continue,” “estimate,” “expect,” “forecast,” “intend,” “may,” “might,” “plan,” “potential,” “project,” “will,” “would,” “seek,” “should,” “could,” “can,” “predict,” “potential,” “continue,” “objective” or other forms of these words or similar words or expressions, or the negative thereof or other comparable terminology. However, not all forward-looking statements contain such identifying words. All statements included in this Current Report, other than statements of historical fact, are forward-looking statements for purposes of the Exchange Act and the Securities Act, including any projections of earnings, revenues or other financial items, any statements of the plans and objectives for future operations, any statements concerning proposed new products or services, any statements regarding the integration, development or commercialization of the business or any assets acquired from other parties, any statements regarding future economic conditions or performance, and any statements of assumptions underlying any of the foregoing. Additionally, forward-looking statements include, among other things, inherent risks and uncertainties associated with Merit’s acquisition of Biolife, Merit’s integration of the Biolife business and operations and its ability to achieve projected financial results, product development and other anticipated benefits of the Acquisition, and uncertainties as to whether Merit will achieve sales, gross and operating margin, net income and earnings per share performance consistent with its forecasts projected for the Biolife Acquisition.</w:t>
      </w:r>
    </w:p>
    <w:p>
      <w:pPr>
        <w:spacing w:after="0" w:line="16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Merit’s actual results, levels of activity, performance or achievement to be materially different from those expressed or implied by these forward-looking statements, including those risks, uncertainties and other factors described in Merit’s Annual Report on Form 10-K for the year ended December 31, 2024 and Merit’s Quarterly Report on Form 10-Q for the quarterly period ended March 31, 2025, and subsequent filings with the SEC.</w:t>
      </w:r>
    </w:p>
    <w:p>
      <w:pPr>
        <w:spacing w:after="0" w:line="14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All forward-looking statements included in this Current Report speak only as of the date made, are based on information available to Merit as of such date, and are subject to change. Merit assumes no obligation to update or revise any forward-looking statement. If Merit does update or correct one or more forward-looking statements, readers should not conclude that Merit will make additional updates or corrections. Merit’s actual results will likely differ, and may differ materially, from anticipated results. Readers should not unduly rely on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00" w:hanging="750"/>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47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95" w:lineRule="exact"/>
        <w:rPr>
          <w:sz w:val="20"/>
          <w:szCs w:val="20"/>
          <w:color w:val="auto"/>
        </w:rPr>
      </w:pPr>
    </w:p>
    <w:p>
      <w:pPr>
        <w:ind w:left="1540" w:right="79" w:hanging="960"/>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Merit Medical Systems, Inc., dated May 20, 2025, entitled “Merit Medical Acquires Biolife Delaware, L.L.C.”</w:t>
      </w:r>
    </w:p>
    <w:p>
      <w:pPr>
        <w:spacing w:after="0" w:line="54"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MERIT MEDICAL SYSTEMS, INC.</w:t>
            </w:r>
          </w:p>
        </w:tc>
      </w:tr>
      <w:tr>
        <w:trPr>
          <w:trHeight w:val="64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2025</w:t>
            </w: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Brian G. Lloyd</w:t>
            </w:r>
          </w:p>
        </w:tc>
      </w:tr>
      <w:tr>
        <w:trPr>
          <w:trHeight w:val="191"/>
        </w:trPr>
        <w:tc>
          <w:tcPr>
            <w:tcW w:w="29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G. Lloyd</w:t>
            </w:r>
          </w:p>
        </w:tc>
      </w:tr>
      <w:tr>
        <w:trPr>
          <w:trHeight w:val="234"/>
        </w:trPr>
        <w:tc>
          <w:tcPr>
            <w:tcW w:w="2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5349240" cy="8655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Contacts:</w:t>
            </w:r>
          </w:p>
        </w:tc>
        <w:tc>
          <w:tcPr>
            <w:tcW w:w="10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335"/>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PR/Media Inquiries:</w:t>
            </w:r>
          </w:p>
        </w:tc>
        <w:tc>
          <w:tcPr>
            <w:tcW w:w="15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Investor Inquiries:</w:t>
            </w:r>
          </w:p>
        </w:tc>
      </w:tr>
      <w:tr>
        <w:trPr>
          <w:trHeight w:val="162"/>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Sarah Comstock</w:t>
            </w:r>
          </w:p>
        </w:tc>
        <w:tc>
          <w:tcPr>
            <w:tcW w:w="15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Mike Piccinino, CFA, IRC</w:t>
            </w:r>
          </w:p>
        </w:tc>
      </w:tr>
      <w:tr>
        <w:trPr>
          <w:trHeight w:val="176"/>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Merit Medical</w:t>
            </w:r>
          </w:p>
        </w:tc>
        <w:tc>
          <w:tcPr>
            <w:tcW w:w="152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ICR Healthcare</w:t>
            </w:r>
          </w:p>
        </w:tc>
      </w:tr>
      <w:tr>
        <w:trPr>
          <w:trHeight w:val="188"/>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+1-801-432-2864</w:t>
            </w:r>
          </w:p>
        </w:tc>
        <w:tc>
          <w:tcPr>
            <w:tcW w:w="354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+1-443-213-0509</w:t>
            </w:r>
          </w:p>
        </w:tc>
      </w:tr>
      <w:tr>
        <w:trPr>
          <w:trHeight w:val="199"/>
        </w:trPr>
        <w:tc>
          <w:tcPr>
            <w:tcW w:w="1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sarah.comstock@merit.com</w:t>
            </w:r>
          </w:p>
        </w:tc>
        <w:tc>
          <w:tcPr>
            <w:tcW w:w="1520" w:type="dxa"/>
            <w:vAlign w:val="bottom"/>
          </w:tcPr>
          <w:p>
            <w:pPr>
              <w:spacing w:after="0"/>
              <w:rPr>
                <w:sz w:val="17"/>
                <w:szCs w:val="17"/>
                <w:color w:val="auto"/>
              </w:rPr>
            </w:pPr>
          </w:p>
        </w:tc>
        <w:tc>
          <w:tcPr>
            <w:tcW w:w="2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mike.piccinino@icrhealthcare.com</w:t>
            </w:r>
          </w:p>
        </w:tc>
      </w:tr>
    </w:tbl>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9"/>
          <w:szCs w:val="29"/>
          <w:b w:val="1"/>
          <w:bCs w:val="1"/>
          <w:color w:val="auto"/>
        </w:rPr>
        <w:t>Merit Medical Acquires Biolife Delaware, L.L.C.</w:t>
      </w:r>
    </w:p>
    <w:p>
      <w:pPr>
        <w:spacing w:after="0" w:line="191" w:lineRule="exact"/>
        <w:rPr>
          <w:sz w:val="20"/>
          <w:szCs w:val="20"/>
          <w:color w:val="auto"/>
        </w:rPr>
      </w:pPr>
    </w:p>
    <w:p>
      <w:pPr>
        <w:ind w:left="860" w:right="779" w:hanging="327"/>
        <w:spacing w:after="0" w:line="277" w:lineRule="auto"/>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Acquired business offers the StatSeal® and WoundSeal® products, which provide hemostasis solutions that complement the wide range of procedures Merit’s portfolio supports.</w:t>
      </w:r>
    </w:p>
    <w:p>
      <w:pPr>
        <w:spacing w:after="0" w:line="1" w:lineRule="exact"/>
        <w:rPr>
          <w:rFonts w:ascii="Times New Roman" w:cs="Times New Roman" w:eastAsia="Times New Roman" w:hAnsi="Times New Roman"/>
          <w:sz w:val="19"/>
          <w:szCs w:val="19"/>
          <w:color w:val="auto"/>
        </w:rPr>
      </w:pPr>
    </w:p>
    <w:p>
      <w:pPr>
        <w:ind w:left="860" w:right="839" w:hanging="327"/>
        <w:spacing w:after="0" w:line="262" w:lineRule="auto"/>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Acquisition projected to add approximately $18 million of revenue, on an annualized basis beginning in fiscal year 2026, with a mid-teens growth and accretive non-GAAP margin and profitability profile</w:t>
      </w:r>
    </w:p>
    <w:p>
      <w:pPr>
        <w:spacing w:after="0" w:line="2" w:lineRule="exact"/>
        <w:rPr>
          <w:rFonts w:ascii="Times New Roman" w:cs="Times New Roman" w:eastAsia="Times New Roman" w:hAnsi="Times New Roman"/>
          <w:sz w:val="20"/>
          <w:szCs w:val="20"/>
          <w:color w:val="auto"/>
        </w:rPr>
      </w:pPr>
    </w:p>
    <w:p>
      <w:pPr>
        <w:ind w:left="860" w:right="339" w:hanging="327"/>
        <w:spacing w:after="0" w:line="281" w:lineRule="auto"/>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Merit reaffirms full-year 2025 financial guidance previously issued on April 24, 2025, and updates full-year 2025 financial guidance to include the projected impact from this acquisition</w:t>
      </w:r>
    </w:p>
    <w:p>
      <w:pPr>
        <w:spacing w:after="0" w:line="9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SOUTH JORDAN, Utah, May 20, 2025 (GLOBE NEWSWIRE) -- Merit Medical Systems, Inc. (NASDAQ: MMSI), a global leader of healthcare technology, today announced that it has acquired Biolife Delaware, L.L.C. (“Biolife”) in a merger transaction through which Biolife has become a wholly-owned subsidiary of Merit. Biolife, which is headquartered in Sarasota, Florida, manufactures unique patented hemostatic devices under the brand names StatSeal and WoundSeal.</w:t>
      </w:r>
    </w:p>
    <w:p>
      <w:pPr>
        <w:spacing w:after="0" w:line="119"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20"/>
          <w:szCs w:val="20"/>
          <w:color w:val="auto"/>
        </w:rPr>
        <w:t>The aggregate transaction consideration, paid in cash and assumption of Biolife liabilities, was approximately $120 million. This strategic acquisition positions Merit to provide clinicians with more products designed to standardize, simplify, and minimize post-procedure care and maintenance.</w:t>
      </w:r>
    </w:p>
    <w:p>
      <w:pPr>
        <w:spacing w:after="0" w:line="114"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Many Merit products operate through small openings in the skin that require efficient solutions to stop bleeding, help patients recover, and minimize costly complications. In such cases, StatSeal specifically works with the patient’s blood to rapidly form a protective seal over the procedure site. Adding StatSeal to Merit’s hemostasis portfolio is intended to provide healthcare partners with an additional effective solution that complements a wide range of percutaneous procedures, including interventional radiology and cardiology, dialysis, electrophysiology, biopsy, and drainage.</w:t>
      </w:r>
    </w:p>
    <w:p>
      <w:pPr>
        <w:spacing w:after="0" w:line="125"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19"/>
          <w:szCs w:val="19"/>
          <w:color w:val="auto"/>
        </w:rPr>
        <w:t>"We are excited to enhance the portfolio of hemostatic solutions offered to clinicians with the acquisition of Biolife,” said Fred P. Lampropoulos, Merit’s Chairman and Chief Executive Officer. “The acquisition provides effective, differentiated, hemostatic solutions for all percutaneous devices with a broad range of clinical applications including vascular closure and indwelling catheter bleeding complications. BioLife’s StatSeal and WoundSeal products address an estimated $350M global market opportunity, are clinically validated, and will enhance our ability to deliver comprehensive solutions to our customers. Moreover,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both"/>
        <w:ind w:left="200" w:right="239"/>
        <w:spacing w:after="0" w:line="297" w:lineRule="auto"/>
        <w:rPr>
          <w:sz w:val="20"/>
          <w:szCs w:val="20"/>
          <w:color w:val="auto"/>
        </w:rPr>
      </w:pPr>
      <w:r>
        <w:rPr>
          <w:rFonts w:ascii="Times New Roman" w:cs="Times New Roman" w:eastAsia="Times New Roman" w:hAnsi="Times New Roman"/>
          <w:sz w:val="20"/>
          <w:szCs w:val="20"/>
          <w:color w:val="auto"/>
        </w:rPr>
        <w:t>Merit’s resources and expertise, we believe we are well positioned to further develop and expand the reach of these product lines, ultimately benefiting patients and healthcare providers globally.”</w:t>
      </w:r>
    </w:p>
    <w:p>
      <w:pPr>
        <w:spacing w:after="0" w:line="79"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Mr. Lampropoulos continued, “We have updated our full-year 2025 financial guidance to include the projected impact of this acquisition from the merger effective date of May 20, 2025 to December 31, 2025 and we have reaffirmed our updated full-year 2025 financial guidance previously issued on April 24, 2025. While we anticipate the transaction will be slightly dilutive to our full-year 2025 non-GAAP profitability given the partial-year contribution, we believe the financial profile of this acquisition is very attractive and is consistent with our goal of delivering sustainable, constant currency growth, improving profitability and strong free cash flow generation. We look forward to discussing this acquisition in further detail on our second quarter earnings report on July 30, 2025.”</w:t>
      </w:r>
    </w:p>
    <w:p>
      <w:pPr>
        <w:spacing w:after="0" w:line="127"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Non-GAAP net income; non-GAAP earnings per share; non-GAAP gross margin; non-GAAP operating margin and constant currency revenue are non-GAAP financial measures. A quantitative reconciliation of such financial measures to comparable GAAP financial measures is not available without unreasonable effort.</w:t>
      </w:r>
    </w:p>
    <w:p>
      <w:pPr>
        <w:spacing w:after="0" w:line="105" w:lineRule="exact"/>
        <w:rPr>
          <w:sz w:val="20"/>
          <w:szCs w:val="20"/>
          <w:color w:val="auto"/>
        </w:rPr>
      </w:pPr>
    </w:p>
    <w:p>
      <w:pPr>
        <w:jc w:val="both"/>
        <w:ind w:left="200" w:right="239"/>
        <w:spacing w:after="0" w:line="297" w:lineRule="auto"/>
        <w:rPr>
          <w:sz w:val="20"/>
          <w:szCs w:val="20"/>
          <w:color w:val="auto"/>
        </w:rPr>
      </w:pPr>
      <w:r>
        <w:rPr>
          <w:rFonts w:ascii="Times New Roman" w:cs="Times New Roman" w:eastAsia="Times New Roman" w:hAnsi="Times New Roman"/>
          <w:sz w:val="20"/>
          <w:szCs w:val="20"/>
          <w:color w:val="auto"/>
        </w:rPr>
        <w:t>For more information about Merit Medical and the StatSeal and WoundSeal product lines, please visit www.merit.com.</w:t>
      </w:r>
    </w:p>
    <w:p>
      <w:pPr>
        <w:spacing w:after="0" w:line="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Financial Summary</w:t>
      </w:r>
    </w:p>
    <w:p>
      <w:pPr>
        <w:spacing w:after="0" w:line="166"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Merit believes that the acquired assets generated approximately $15 million of revenue over the twelve-month period ended December 31, 2024. The acquired assets are expected to contribute revenue, from the merger effective date of May 20, 2025 through December 31, 2025, in the range of $10 to $11 million and are projected, during the same period of time, to dilute Merit’s previously forecasted non-GAAP net income and non-GAAP earnings per share, inclusive of approximately $3.0 million of lower interest income on cash balances used for the total purchase consideration and excluding approximately $7.2 million of non-cash and non-recurring transaction-related expenses, and to be dilutive to Merit’s full-year 2025 GAAP net income and GAAP earnings per share.</w:t>
      </w:r>
    </w:p>
    <w:p>
      <w:pPr>
        <w:spacing w:after="0" w:line="127"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The acquisition is projected to be accretive to non-GAAP gross margin, non-GAAP operating margin in 2025 and slightly accretive to non-GAAP net income and non-GAAP earnings per share in 2026. The acquisition is projected to be dilutive to Merit’s GAAP net income and GAAP earnings per share in the first full-year post close and accretive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Updated Fiscal Year 2025 Financial Guidance</w:t>
      </w:r>
    </w:p>
    <w:p>
      <w:pPr>
        <w:spacing w:after="0" w:line="166"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20"/>
          <w:szCs w:val="20"/>
          <w:color w:val="auto"/>
        </w:rPr>
        <w:t>Merit’s updated full-year 2025 financial guidance now reflects the projected impacts of the Biolife acquisition from the merger effective date of May 20, 2025 through December 31, 2025. Merit is otherwise reaffirming prior full-year 2025 financial guidance previously announced on April 24, 2025.</w:t>
      </w:r>
    </w:p>
    <w:p>
      <w:pPr>
        <w:spacing w:after="0" w:line="94" w:lineRule="exact"/>
        <w:rPr>
          <w:sz w:val="20"/>
          <w:szCs w:val="20"/>
          <w:color w:val="auto"/>
        </w:rPr>
      </w:pPr>
    </w:p>
    <w:p>
      <w:pPr>
        <w:jc w:val="both"/>
        <w:ind w:left="200" w:right="219"/>
        <w:spacing w:after="0" w:line="277" w:lineRule="auto"/>
        <w:rPr>
          <w:sz w:val="20"/>
          <w:szCs w:val="20"/>
          <w:color w:val="auto"/>
        </w:rPr>
      </w:pPr>
      <w:r>
        <w:rPr>
          <w:rFonts w:ascii="Times New Roman" w:cs="Times New Roman" w:eastAsia="Times New Roman" w:hAnsi="Times New Roman"/>
          <w:sz w:val="20"/>
          <w:szCs w:val="20"/>
          <w:color w:val="auto"/>
        </w:rPr>
        <w:t>Based upon the information currently available to Merit’s management, for the year ending December 31, 2025, after giving effect to the Biolife acquisition and absent material acquisitions, non-recurring transactions or other factors beyond Merit’s current expectations, Merit now expects the following financial results:</w:t>
      </w:r>
    </w:p>
    <w:p>
      <w:pPr>
        <w:spacing w:after="0" w:line="88" w:lineRule="exact"/>
        <w:rPr>
          <w:sz w:val="20"/>
          <w:szCs w:val="20"/>
          <w:color w:val="auto"/>
        </w:rPr>
      </w:pPr>
    </w:p>
    <w:tbl>
      <w:tblPr>
        <w:tblLayout w:type="fixed"/>
        <w:tblInd w:w="200" w:type="dxa"/>
        <w:tblCellMar>
          <w:top w:w="0" w:type="dxa"/>
          <w:left w:w="0" w:type="dxa"/>
          <w:bottom w:w="0" w:type="dxa"/>
          <w:right w:w="0" w:type="dxa"/>
        </w:tblCellMar>
      </w:tblP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and Earnings Guidance*</w:t>
            </w: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Financial Measure</w:t>
            </w:r>
          </w:p>
        </w:tc>
        <w:tc>
          <w:tcPr>
            <w:tcW w:w="20" w:type="dxa"/>
            <w:vAlign w:val="bottom"/>
          </w:tcPr>
          <w:p>
            <w:pPr>
              <w:spacing w:after="0"/>
              <w:rPr>
                <w:sz w:val="10"/>
                <w:szCs w:val="10"/>
                <w:color w:val="auto"/>
              </w:rPr>
            </w:pPr>
          </w:p>
        </w:tc>
        <w:tc>
          <w:tcPr>
            <w:tcW w:w="2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Updated Guidance</w:t>
            </w:r>
          </w:p>
        </w:tc>
        <w:tc>
          <w:tcPr>
            <w:tcW w:w="600" w:type="dxa"/>
            <w:vAlign w:val="bottom"/>
          </w:tcPr>
          <w:p>
            <w:pPr>
              <w:spacing w:after="0"/>
              <w:rPr>
                <w:sz w:val="10"/>
                <w:szCs w:val="10"/>
                <w:color w:val="auto"/>
              </w:rPr>
            </w:pPr>
          </w:p>
        </w:tc>
        <w:tc>
          <w:tcPr>
            <w:tcW w:w="218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Prior Guidance</w:t>
            </w:r>
            <w:r>
              <w:rPr>
                <w:rFonts w:ascii="Times New Roman" w:cs="Times New Roman" w:eastAsia="Times New Roman" w:hAnsi="Times New Roman"/>
                <w:sz w:val="26"/>
                <w:szCs w:val="26"/>
                <w:b w:val="1"/>
                <w:bCs w:val="1"/>
                <w:color w:val="auto"/>
                <w:vertAlign w:val="superscript"/>
              </w:rPr>
              <w:t>(2)</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100" w:type="dxa"/>
            <w:vAlign w:val="bottom"/>
            <w:tcBorders>
              <w:bottom w:val="single" w:sz="8" w:color="auto"/>
            </w:tcBorders>
            <w:gridSpan w:val="2"/>
            <w:vMerge w:val="continue"/>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tcBorders>
            <w:gridSpan w:val="2"/>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Year Ending</w:t>
            </w:r>
          </w:p>
        </w:tc>
        <w:tc>
          <w:tcPr>
            <w:tcW w:w="1000" w:type="dxa"/>
            <w:vAlign w:val="bottom"/>
            <w:tcBorders>
              <w:right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Year Ending</w:t>
            </w:r>
          </w:p>
        </w:tc>
        <w:tc>
          <w:tcPr>
            <w:tcW w:w="1020" w:type="dxa"/>
            <w:vAlign w:val="bottom"/>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Y/Y</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 w:type="dxa"/>
            <w:vAlign w:val="bottom"/>
            <w:shd w:val="clear" w:color="auto" w:fill="000000"/>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$1.480 - $1.501 billion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- 11%</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$1.470 - $1.490 billion</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8% - 10%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Cardiovascular Segment</w:t>
            </w:r>
          </w:p>
        </w:tc>
        <w:tc>
          <w:tcPr>
            <w:tcW w:w="20" w:type="dxa"/>
            <w:vAlign w:val="bottom"/>
            <w:shd w:val="clear" w:color="auto" w:fill="000000"/>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$1.407 - $1.426 billion</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- 10%</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$1.397 - $1.415 billion</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Endoscopy Segment</w:t>
            </w:r>
          </w:p>
        </w:tc>
        <w:tc>
          <w:tcPr>
            <w:tcW w:w="20" w:type="dxa"/>
            <w:vAlign w:val="bottom"/>
            <w:shd w:val="clear" w:color="auto" w:fill="000000"/>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$73.0 - $75.0 million</w:t>
            </w:r>
          </w:p>
        </w:tc>
        <w:tc>
          <w:tcPr>
            <w:tcW w:w="1000" w:type="dxa"/>
            <w:vAlign w:val="bottom"/>
            <w:tcBorders>
              <w:right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 - 37%</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$73.0 - $75.0 million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w:t>
            </w:r>
          </w:p>
        </w:tc>
        <w:tc>
          <w:tcPr>
            <w:tcW w:w="20" w:type="dxa"/>
            <w:vAlign w:val="bottom"/>
            <w:shd w:val="clear" w:color="auto" w:fill="000000"/>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100"/>
              <w:spacing w:after="0" w:line="202" w:lineRule="exact"/>
              <w:rPr>
                <w:sz w:val="20"/>
                <w:szCs w:val="20"/>
                <w:color w:val="auto"/>
              </w:rPr>
            </w:pPr>
            <w:r>
              <w:rPr>
                <w:rFonts w:ascii="Times New Roman" w:cs="Times New Roman" w:eastAsia="Times New Roman" w:hAnsi="Times New Roman"/>
                <w:sz w:val="16"/>
                <w:szCs w:val="16"/>
                <w:color w:val="auto"/>
              </w:rPr>
              <w:t>Earnings Per Share</w:t>
            </w:r>
            <w:r>
              <w:rPr>
                <w:rFonts w:ascii="Times New Roman" w:cs="Times New Roman" w:eastAsia="Times New Roman" w:hAnsi="Times New Roman"/>
                <w:sz w:val="23"/>
                <w:szCs w:val="23"/>
                <w:color w:val="auto"/>
                <w:vertAlign w:val="superscript"/>
              </w:rPr>
              <w:t>(1)</w:t>
            </w:r>
          </w:p>
        </w:tc>
        <w:tc>
          <w:tcPr>
            <w:tcW w:w="20" w:type="dxa"/>
            <w:vAlign w:val="bottom"/>
            <w:shd w:val="clear" w:color="auto" w:fill="000000"/>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$3.28 - $3.41</w:t>
            </w:r>
          </w:p>
        </w:tc>
        <w:tc>
          <w:tcPr>
            <w:tcW w:w="1000" w:type="dxa"/>
            <w:vAlign w:val="bottom"/>
            <w:tcBorders>
              <w:right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 - (1%)</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$3.29 - $3.42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i w:val="1"/>
          <w:iCs w:val="1"/>
          <w:color w:val="auto"/>
        </w:rPr>
        <w:t>*Percentage figures approximated; dollar figures may not foot due to rounding</w:t>
      </w:r>
    </w:p>
    <w:p>
      <w:pPr>
        <w:spacing w:after="0" w:line="15" w:lineRule="exact"/>
        <w:rPr>
          <w:sz w:val="20"/>
          <w:szCs w:val="20"/>
          <w:color w:val="auto"/>
        </w:rPr>
      </w:pPr>
    </w:p>
    <w:p>
      <w:pPr>
        <w:jc w:val="both"/>
        <w:ind w:left="200" w:right="219" w:firstLine="9"/>
        <w:spacing w:after="0" w:line="238" w:lineRule="auto"/>
        <w:tabs>
          <w:tab w:leader="none" w:pos="386"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Merit’s non-GAAP earnings per share reflect the dilutive impact of its 3.00% Convertible Senior Notes due 2029 (the “Convertible Notes”) calculated using the if-converted method of approximately $0.05 for the year ending December 31, 2025. Any offsetting impacts of the capped call associated with the Convertible Notes are not considered</w:t>
      </w:r>
    </w:p>
    <w:p>
      <w:pPr>
        <w:ind w:left="380" w:hanging="171"/>
        <w:spacing w:after="0"/>
        <w:tabs>
          <w:tab w:leader="none" w:pos="38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“Prior Guidance” reflects Merit’s full-year 2025 financial guidance, previously updated on April 24, 2025.</w:t>
      </w:r>
    </w:p>
    <w:p>
      <w:pPr>
        <w:spacing w:after="0" w:line="3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2025 Net Sales Guidance - % Change from Prior Year (Constant Currency) Reconciliation*</w:t>
      </w:r>
    </w:p>
    <w:p>
      <w:pPr>
        <w:spacing w:after="0" w:line="108" w:lineRule="exact"/>
        <w:rPr>
          <w:sz w:val="20"/>
          <w:szCs w:val="20"/>
          <w:color w:val="auto"/>
        </w:rPr>
      </w:pPr>
    </w:p>
    <w:tbl>
      <w:tblPr>
        <w:tblLayout w:type="fixed"/>
        <w:tblInd w:w="220" w:type="dxa"/>
        <w:tblCellMar>
          <w:top w:w="0" w:type="dxa"/>
          <w:left w:w="0" w:type="dxa"/>
          <w:bottom w:w="0" w:type="dxa"/>
          <w:right w:w="0" w:type="dxa"/>
        </w:tblCellMar>
      </w:tblPr>
      <w:tr>
        <w:trPr>
          <w:trHeight w:val="299"/>
        </w:trPr>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Updated Guidance</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Prior Guidance</w:t>
            </w:r>
            <w:r>
              <w:rPr>
                <w:rFonts w:ascii="Times New Roman" w:cs="Times New Roman" w:eastAsia="Times New Roman" w:hAnsi="Times New Roman"/>
                <w:sz w:val="26"/>
                <w:szCs w:val="26"/>
                <w:b w:val="1"/>
                <w:bCs w:val="1"/>
                <w:color w:val="auto"/>
                <w:vertAlign w:val="superscript"/>
              </w:rPr>
              <w:t>(1)</w:t>
            </w:r>
          </w:p>
        </w:tc>
      </w:tr>
      <w:tr>
        <w:trPr>
          <w:trHeight w:val="223"/>
        </w:trPr>
        <w:tc>
          <w:tcPr>
            <w:tcW w:w="3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8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Low</w:t>
            </w:r>
          </w:p>
        </w:tc>
        <w:tc>
          <w:tcPr>
            <w:tcW w:w="7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40" w:type="dxa"/>
            <w:vAlign w:val="bottom"/>
          </w:tcPr>
          <w:p>
            <w:pPr>
              <w:spacing w:after="0"/>
              <w:rPr>
                <w:sz w:val="19"/>
                <w:szCs w:val="19"/>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Low</w:t>
            </w:r>
          </w:p>
        </w:tc>
        <w:tc>
          <w:tcPr>
            <w:tcW w:w="7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183"/>
        </w:trPr>
        <w:tc>
          <w:tcPr>
            <w:tcW w:w="3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w w:val="99"/>
              </w:rPr>
              <w:t>2025</w:t>
            </w:r>
          </w:p>
        </w:tc>
        <w:tc>
          <w:tcPr>
            <w:tcW w:w="502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Net Sales Guidance - % Change from Prior Year (GAAP)</w:t>
            </w:r>
          </w:p>
        </w:tc>
        <w:tc>
          <w:tcPr>
            <w:tcW w:w="700" w:type="dxa"/>
            <w:vAlign w:val="bottom"/>
            <w:tcBorders>
              <w:top w:val="single" w:sz="8" w:color="auto"/>
            </w:tcBorders>
            <w:shd w:val="clear" w:color="auto" w:fill="CCEEFF"/>
          </w:tcPr>
          <w:p>
            <w:pPr>
              <w:ind w:left="180"/>
              <w:spacing w:after="0" w:line="183" w:lineRule="exact"/>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10.7%</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180"/>
              <w:spacing w:after="0" w:line="183" w:lineRule="exact"/>
              <w:rPr>
                <w:sz w:val="20"/>
                <w:szCs w:val="20"/>
                <w:color w:val="auto"/>
              </w:rPr>
            </w:pPr>
            <w:r>
              <w:rPr>
                <w:rFonts w:ascii="Times New Roman" w:cs="Times New Roman" w:eastAsia="Times New Roman" w:hAnsi="Times New Roman"/>
                <w:sz w:val="16"/>
                <w:szCs w:val="16"/>
                <w:color w:val="auto"/>
              </w:rPr>
              <w:t>8.4%</w:t>
            </w: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5"/>
              </w:rPr>
              <w:t>9.8%</w:t>
            </w:r>
          </w:p>
        </w:tc>
      </w:tr>
      <w:tr>
        <w:trPr>
          <w:trHeight w:val="229"/>
        </w:trPr>
        <w:tc>
          <w:tcPr>
            <w:tcW w:w="5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Estimated impact of foreign currency exchange rate fluctuations</w:t>
            </w: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0.4%</w:t>
            </w:r>
          </w:p>
        </w:tc>
      </w:tr>
      <w:tr>
        <w:trPr>
          <w:trHeight w:val="183"/>
        </w:trPr>
        <w:tc>
          <w:tcPr>
            <w:tcW w:w="3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w w:val="99"/>
              </w:rPr>
              <w:t>2025</w:t>
            </w:r>
          </w:p>
        </w:tc>
        <w:tc>
          <w:tcPr>
            <w:tcW w:w="50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Net Sales Guidance - % Change from Prior Year (Constant Currency)</w:t>
            </w:r>
          </w:p>
        </w:tc>
        <w:tc>
          <w:tcPr>
            <w:tcW w:w="700" w:type="dxa"/>
            <w:vAlign w:val="bottom"/>
            <w:tcBorders>
              <w:bottom w:val="single" w:sz="8" w:color="auto"/>
            </w:tcBorders>
            <w:shd w:val="clear" w:color="auto" w:fill="CCEEFF"/>
          </w:tcPr>
          <w:p>
            <w:pPr>
              <w:ind w:left="180"/>
              <w:spacing w:after="0" w:line="183" w:lineRule="exact"/>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11.0%</w:t>
            </w:r>
          </w:p>
        </w:tc>
        <w:tc>
          <w:tcPr>
            <w:tcW w:w="1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ind w:left="180"/>
              <w:spacing w:after="0" w:line="183" w:lineRule="exact"/>
              <w:rPr>
                <w:sz w:val="20"/>
                <w:szCs w:val="20"/>
                <w:color w:val="auto"/>
              </w:rPr>
            </w:pPr>
            <w:r>
              <w:rPr>
                <w:rFonts w:ascii="Times New Roman" w:cs="Times New Roman" w:eastAsia="Times New Roman" w:hAnsi="Times New Roman"/>
                <w:sz w:val="16"/>
                <w:szCs w:val="16"/>
                <w:color w:val="auto"/>
              </w:rPr>
              <w:t>8.7%</w:t>
            </w:r>
          </w:p>
        </w:tc>
        <w:tc>
          <w:tcPr>
            <w:tcW w:w="1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10.2%</w:t>
            </w:r>
          </w:p>
        </w:tc>
      </w:tr>
    </w:tbl>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i w:val="1"/>
          <w:iCs w:val="1"/>
          <w:color w:val="auto"/>
        </w:rPr>
        <w:t>*Percentage figures approximated and may not foot due to rounding</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i w:val="1"/>
          <w:iCs w:val="1"/>
          <w:color w:val="auto"/>
        </w:rPr>
        <w:t>(1)“Prior Guidance” reflects Merit’s full-year 2025 financial guidance, previously introduced on April 24, 2025.</w:t>
      </w:r>
    </w:p>
    <w:p>
      <w:pPr>
        <w:spacing w:after="0" w:line="169"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0"/>
          <w:szCs w:val="20"/>
          <w:color w:val="auto"/>
        </w:rPr>
        <w:t>Merit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various items which could impact Merit’s future financial results, such as expenses attributable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reliably predict the impact of these items and Merit believes inclusion of a reconciliation of these forward-looking non-GAAP measures to their GAAP counterparts could be confusing to investors or cause undue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 w:name="page8"/>
    <w:bookmarkEnd w:id="7"/>
    <w:p>
      <w:pPr>
        <w:jc w:val="both"/>
        <w:ind w:left="200" w:right="219"/>
        <w:spacing w:after="0" w:line="250" w:lineRule="auto"/>
        <w:rPr>
          <w:sz w:val="20"/>
          <w:szCs w:val="20"/>
          <w:color w:val="auto"/>
        </w:rPr>
      </w:pPr>
      <w:r>
        <w:rPr>
          <w:rFonts w:ascii="Times New Roman" w:cs="Times New Roman" w:eastAsia="Times New Roman" w:hAnsi="Times New Roman"/>
          <w:sz w:val="20"/>
          <w:szCs w:val="20"/>
          <w:color w:val="auto"/>
        </w:rPr>
        <w:t>Merit’s financial guidance for the year ending December 31, 2025 is subject to risks and uncertainties identified in this release and Merit’s filings with the U.S. Securities and Exchange Commission (the “SEC”). This guidance is based on information and estimates available to Merit as of May 20, 2025. Should known or unknown risks or uncertainties materialize or should underlying assumptions prove inaccurate, actual results will likely vary, and could vary materially, from past results and those anticipated, estimated or projected.</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Advisors:</w:t>
      </w:r>
    </w:p>
    <w:p>
      <w:pPr>
        <w:spacing w:after="0" w:line="166" w:lineRule="exact"/>
        <w:rPr>
          <w:sz w:val="20"/>
          <w:szCs w:val="20"/>
          <w:color w:val="auto"/>
        </w:rPr>
      </w:pPr>
    </w:p>
    <w:p>
      <w:pPr>
        <w:jc w:val="both"/>
        <w:ind w:left="200" w:right="219"/>
        <w:spacing w:after="0" w:line="297" w:lineRule="auto"/>
        <w:rPr>
          <w:sz w:val="20"/>
          <w:szCs w:val="20"/>
          <w:color w:val="auto"/>
        </w:rPr>
      </w:pPr>
      <w:r>
        <w:rPr>
          <w:rFonts w:ascii="Times New Roman" w:cs="Times New Roman" w:eastAsia="Times New Roman" w:hAnsi="Times New Roman"/>
          <w:sz w:val="20"/>
          <w:szCs w:val="20"/>
          <w:color w:val="auto"/>
        </w:rPr>
        <w:t>Piper Sandler &amp; Co. acted as a financial advisor to Merit. Parr Brown Gee &amp; Loveless P.C. served as legal advisor to Merit. Nelson Mullins Riley &amp; Scarborough LLP served as legal advisor to Biolife.</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ABOUT MERIT</w:t>
      </w:r>
    </w:p>
    <w:p>
      <w:pPr>
        <w:spacing w:after="0" w:line="179"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Founded in 1987, Merit Medical Systems, Inc. is engaged in the development, manufacture, and distribution of proprietary medical devices used in interventional, diagnostic, and therapeutic procedures, particularly in cardiology, radiology, oncology, critical care, and endoscopy. Merit serves customers worldwide with a domestic and international sales force and clinical support team totaling more than 800 individuals. Merit employs approximately 7,300 people worldwide.</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ABOUT BIOLIFE, L.L.C.</w:t>
      </w:r>
    </w:p>
    <w:p>
      <w:pPr>
        <w:spacing w:after="0" w:line="166" w:lineRule="exact"/>
        <w:rPr>
          <w:sz w:val="20"/>
          <w:szCs w:val="20"/>
          <w:color w:val="auto"/>
        </w:rPr>
      </w:pPr>
    </w:p>
    <w:p>
      <w:pPr>
        <w:jc w:val="both"/>
        <w:ind w:left="200" w:right="219"/>
        <w:spacing w:after="0" w:line="270" w:lineRule="auto"/>
        <w:rPr>
          <w:sz w:val="20"/>
          <w:szCs w:val="20"/>
          <w:color w:val="auto"/>
        </w:rPr>
      </w:pPr>
      <w:r>
        <w:rPr>
          <w:rFonts w:ascii="Times New Roman" w:cs="Times New Roman" w:eastAsia="Times New Roman" w:hAnsi="Times New Roman"/>
          <w:sz w:val="20"/>
          <w:szCs w:val="20"/>
          <w:color w:val="auto"/>
        </w:rPr>
        <w:t>Biolife Delaware, L.L.C., headquartered in Sarasota, Florida, manufactures innovative healthcare and first-aid solutions designed to improve patient quality of life. Biolife’s products consist of a powder with two main ingredients: potassium ferrate and a hydrophilic polymer. The products work independently of the clotting cascade to seal the wound or vascular access site while accelerating hemostasis. StatSeal products for the healthcare industry are available in powder and disc (compressed powder) form. WoundSeal products for the consumer and occupational health industries are available in powder form.</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CAUTIONARY STATEMENT REGARDING FORWARD-LOOKING STATEMENTS</w:t>
      </w:r>
    </w:p>
    <w:p>
      <w:pPr>
        <w:spacing w:after="0" w:line="166"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20"/>
          <w:szCs w:val="20"/>
          <w:color w:val="auto"/>
        </w:rPr>
        <w:t>This release contains forward-looking statements within the meaning of Section 27A of the Securities Act of 1933, as amended, and Section 21E of the Securities Exchange Act of 1934, as amended. Forward-looking statements include, among others:</w:t>
      </w:r>
    </w:p>
    <w:p>
      <w:pPr>
        <w:spacing w:after="0" w:line="114" w:lineRule="exact"/>
        <w:rPr>
          <w:sz w:val="20"/>
          <w:szCs w:val="20"/>
          <w:color w:val="auto"/>
        </w:rPr>
      </w:pPr>
    </w:p>
    <w:p>
      <w:pPr>
        <w:jc w:val="both"/>
        <w:ind w:left="860" w:right="219" w:hanging="327"/>
        <w:spacing w:after="0" w:line="264" w:lineRule="auto"/>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statements proceeded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w:t>
      </w:r>
    </w:p>
    <w:p>
      <w:pPr>
        <w:spacing w:after="0" w:line="2" w:lineRule="exact"/>
        <w:rPr>
          <w:rFonts w:ascii="Times New Roman" w:cs="Times New Roman" w:eastAsia="Times New Roman" w:hAnsi="Times New Roman"/>
          <w:sz w:val="20"/>
          <w:szCs w:val="20"/>
          <w:color w:val="auto"/>
        </w:rPr>
      </w:pPr>
    </w:p>
    <w:p>
      <w:pPr>
        <w:jc w:val="both"/>
        <w:ind w:left="860" w:right="219" w:hanging="327"/>
        <w:spacing w:after="0" w:line="267" w:lineRule="auto"/>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statements that address Merit’s future operating performance or events or developments that Merit’s management expects or anticipates will occur, including, without limitation, any statements regarding Merit’s projected revenues, earnings or other financial measures, Merit’s plans and objectives for future operations, Merit’s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334010</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jc w:val="both"/>
        <w:ind w:left="860" w:right="219" w:hanging="327"/>
        <w:spacing w:after="0" w:line="271" w:lineRule="auto"/>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statements regarding Merit’s past performance, efforts, or results about which inferences or assumptions may be made, including statements proceeded or followed by the words "preliminary," "initial," "potential," "possible," "diligence," "industry-leading," "compliant," "indications," or "early feedback" or other forms of these words or similar words or expressions, or the negative thereof or other comparable terminology.</w:t>
      </w:r>
    </w:p>
    <w:p>
      <w:pPr>
        <w:spacing w:after="0" w:line="119"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The forward-looking statements contained in this release are based on Merit management’s current expectations and assumptions regarding future events or outcomes. If underlying expectations or assumptions prove inaccurate, or risks or uncertainties materialize, actual results will likely differ, and could differ materially, from Merit’s expectations reflected in any forward-looking statements. Financial estimates are subject to change and are not intended to be relied upon as predictions of future operating results. Investors are cautioned not to unduly rely on any such forward-looking statements.</w:t>
      </w:r>
    </w:p>
    <w:p>
      <w:pPr>
        <w:spacing w:after="0" w:line="125" w:lineRule="exact"/>
        <w:rPr>
          <w:sz w:val="20"/>
          <w:szCs w:val="20"/>
          <w:color w:val="auto"/>
        </w:rPr>
      </w:pPr>
    </w:p>
    <w:p>
      <w:pPr>
        <w:jc w:val="both"/>
        <w:ind w:left="200" w:right="219"/>
        <w:spacing w:after="0" w:line="279" w:lineRule="auto"/>
        <w:rPr>
          <w:sz w:val="20"/>
          <w:szCs w:val="20"/>
          <w:color w:val="auto"/>
        </w:rPr>
      </w:pPr>
      <w:r>
        <w:rPr>
          <w:rFonts w:ascii="Times New Roman" w:cs="Times New Roman" w:eastAsia="Times New Roman" w:hAnsi="Times New Roman"/>
          <w:sz w:val="19"/>
          <w:szCs w:val="19"/>
          <w:color w:val="auto"/>
        </w:rPr>
        <w:t>The following are some of the important risks and uncertainties that could cause Merit’s actual results to differ from Merit’s expectations in any forward-looking statements: inherent risks and uncertainties associated with Merit’s acquisition of Biolife; Merit’s integration of the Biolife business and operations and its ability to achieve projected financial results, product development and other anticipated benefits of the acquisition; uncertainties as to whether Merit will achieve sales, gross and operating margin, net income and earnings per share performance consistent with its forecasts projected for the Biolife acquisition; risks and uncertainties regarding trade policies or related actions implemented by the U.S. or other countries, including existing, proposed or prospective tariffs, duties or other measures; inherent risks and uncertainties associated with Merit’s integration of businesses or assets previously acquired from third parties, including the acquisitions of certain businesses and assets from Cook Medical Holdings LLC in November 2024 and EndoGastric Solutions, Inc. in July 2024, and Merit’s ability to achieve the anticipated operating and financial results, product development and other anticipated benefits of such acquisitions; forecasted results and consequences of regulatory approvals of Merit’s products; effects of Merit’s 3.00% Convertible Senior Notes due 2029 on Merit’s net income and earnings per share performance; disruptions in Merit’s supply chain, manufacturing or sterilization processes; U.S. and global political, economic, competitive, reimbursement and regulatory conditions;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fluctuations in interest or foreign currency exchange rates and inflation; risks and uncertainties associated with Merit’s information technology systems, including the potential for breaches of security and evolving regulations regarding privacy and data protection; governmental scrutiny and regulation of the medical device industry, including governmental inquiries, investigations and proceedings involving Merit; difficulties relating to development, testing and regulatory approval, clearance and maintenance of Merit’s products; the safety, efficacy and patient and physician adoption of Merit’s products; uncertainties regarding enrollment and outcomes of ongoing and future clinical trials and market studies relating to Merit’s products; modification or limitation of governmental or private insurance reimbursement policies; litigation and other judicial proceedings affecting Merit; the potential of fines, penalties or other adverse consequences if Merit’s employees or agents violate the U.S. Foreign Corrupt Practices Act or other laws or regulations; consequences associated with a Corporate Integrity Agreement executed between Merit and the U.S. Department of Justice;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changes in tax laws and regulations in the United States or other jurisdictions or exposure to additional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9" w:name="page10"/>
    <w:bookmarkEnd w:id="9"/>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liabilities which may adversely affect Merit’s effective tax rate; termination of relationships with Merit’s suppliers, or failure of such suppliers to perform; development of new products and technology that could render Merit’s existing or future products obsolete; market acceptance of new products; dependence on distributors to commercialize Merit’s products in various jurisdictions outside the U.S.; failure to comply with applicable environmental laws; changes in key personnel; labor shortages and increases in labor costs; price and product competition; extreme weather events; and geopolitical events. For a further discussion of the risks and uncertainties which may affect Merit’s business, operations and financial condition, see Part I, Item 1A, “Risk Factors” in Merit’s Annual Report on Form 10-K for the year ended December 31, 2024 filed with the U.S. Securities and Exchange Commission (the “SEC”), Part II, Item 1A, “Risk Factors” in Merit’s Quarterly Report on Form 10-Q for the quarter ended March 31, 2025 filed with the SEC and Merit’s other filings with the SEC.</w:t>
      </w:r>
    </w:p>
    <w:p>
      <w:pPr>
        <w:spacing w:after="0" w:line="115"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All subsequent forward-looking statements attributable to Merit or persons acting on its behalf are expressly qualified in their entirety by these cautionary statements. Actual results will likely differ, and may differ materially, from anticipated results. Financial estimates are subject to change and are not intended to be relied upon as predictions of future operating results. Those estimates and all other forward-looking statements included in this release are made only as of the date of this release, and except as otherwise required by applicable law, Merit assumes no obligation to update or disclose revisions to estimates and all other forward-looking statements.</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TRADEMARKS</w:t>
      </w:r>
    </w:p>
    <w:p>
      <w:pPr>
        <w:spacing w:after="0" w:line="162" w:lineRule="exact"/>
        <w:rPr>
          <w:sz w:val="20"/>
          <w:szCs w:val="20"/>
          <w:color w:val="auto"/>
        </w:rPr>
      </w:pPr>
    </w:p>
    <w:p>
      <w:pPr>
        <w:jc w:val="both"/>
        <w:ind w:left="200" w:right="239"/>
        <w:spacing w:after="0" w:line="297" w:lineRule="auto"/>
        <w:rPr>
          <w:sz w:val="20"/>
          <w:szCs w:val="20"/>
          <w:color w:val="auto"/>
        </w:rPr>
      </w:pPr>
      <w:r>
        <w:rPr>
          <w:rFonts w:ascii="Times New Roman" w:cs="Times New Roman" w:eastAsia="Times New Roman" w:hAnsi="Times New Roman"/>
          <w:sz w:val="20"/>
          <w:szCs w:val="20"/>
          <w:color w:val="auto"/>
        </w:rPr>
        <w:t>Unless noted otherwise, trademarks and registered trademarks used in this release are the property of Merit Medical Systems, Inc., its subsidiaries, or its licensors.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2025-05-20T15:26:02Z</dcterms:created>
  <dcterms:modified xsi:type="dcterms:W3CDTF">2025-05-20T15:26:02Z</dcterms:modified>
</cp:coreProperties>
</file>