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771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771765"/>
                    </a:xfrm>
                    <a:prstGeom prst="rect">
                      <a:avLst/>
                    </a:prstGeom>
                    <a:noFill/>
                  </pic:spPr>
                </pic:pic>
              </a:graphicData>
            </a:graphic>
          </wp:anchor>
        </w:drawing>
      </w:r>
    </w:p>
    <w:p>
      <w:pPr>
        <w:spacing w:after="0" w:line="1235" w:lineRule="exact"/>
        <w:rPr>
          <w:sz w:val="24"/>
          <w:szCs w:val="24"/>
          <w:color w:val="auto"/>
        </w:rPr>
      </w:pPr>
    </w:p>
    <w:p>
      <w:pPr>
        <w:sectPr>
          <w:pgSz w:w="11900" w:h="16892"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Parra Raul Jr.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1600 WEST MERIT PARKWAY</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w:t>
            </w: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JORDAN</w:t>
            </w:r>
          </w:p>
        </w:tc>
        <w:tc>
          <w:tcPr>
            <w:tcW w:w="14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MMSI</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760"/>
              <w:spacing w:after="0" w:line="181" w:lineRule="exact"/>
              <w:rPr>
                <w:sz w:val="20"/>
                <w:szCs w:val="20"/>
                <w:color w:val="auto"/>
              </w:rPr>
            </w:pPr>
            <w:r>
              <w:rPr>
                <w:rFonts w:ascii="Times New Roman" w:cs="Times New Roman" w:eastAsia="Times New Roman" w:hAnsi="Times New Roman"/>
                <w:sz w:val="17"/>
                <w:szCs w:val="17"/>
                <w:color w:val="0000FF"/>
              </w:rPr>
              <w:t>CFO AND TREASURER</w:t>
            </w:r>
          </w:p>
        </w:tc>
        <w:tc>
          <w:tcPr>
            <w:tcW w:w="0" w:type="dxa"/>
            <w:vAlign w:val="bottom"/>
          </w:tcPr>
          <w:p>
            <w:pPr>
              <w:spacing w:after="0"/>
              <w:rPr>
                <w:sz w:val="1"/>
                <w:szCs w:val="1"/>
                <w:color w:val="auto"/>
              </w:rPr>
            </w:pPr>
          </w:p>
        </w:tc>
      </w:tr>
      <w:tr>
        <w:trPr>
          <w:trHeight w:val="217"/>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11/07/2024</w:t>
            </w:r>
          </w:p>
        </w:tc>
        <w:tc>
          <w:tcPr>
            <w:tcW w:w="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92"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2,770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20" w:type="dxa"/>
            <w:vAlign w:val="bottom"/>
            <w:tcBorders>
              <w:top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11/07/2024</w:t>
            </w:r>
          </w:p>
        </w:tc>
        <w:tc>
          <w:tcPr>
            <w:tcW w:w="2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top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5,361</w:t>
            </w:r>
          </w:p>
        </w:tc>
        <w:tc>
          <w:tcPr>
            <w:tcW w:w="60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37.71</w:t>
            </w:r>
          </w:p>
        </w:tc>
        <w:tc>
          <w:tcPr>
            <w:tcW w:w="16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21,722</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11/07/2024</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5,361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102.18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16,361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11/07/2024</w:t>
            </w:r>
          </w:p>
        </w:tc>
        <w:tc>
          <w:tcPr>
            <w:tcW w:w="114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7"/>
                <w:szCs w:val="17"/>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5,361</w:t>
            </w:r>
          </w:p>
        </w:tc>
        <w:tc>
          <w:tcPr>
            <w:tcW w:w="88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3"/>
                <w:szCs w:val="13"/>
                <w:color w:val="0000FF"/>
              </w:rPr>
              <w:t>02/26/2021</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02/26/2027</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5,361</w:t>
            </w:r>
          </w:p>
        </w:tc>
        <w:tc>
          <w:tcPr>
            <w:tcW w:w="16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5,361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56.25</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3"/>
                <w:szCs w:val="13"/>
                <w:color w:val="0000FF"/>
              </w:rPr>
              <w:t>03/19/2022</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03/19/2028</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9,681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9,681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65.03</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3"/>
                <w:szCs w:val="13"/>
                <w:color w:val="0000FF"/>
              </w:rPr>
              <w:t>02/28/2023</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02/28/2029</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14,570</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14,570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options</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70.58</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3"/>
                <w:szCs w:val="13"/>
                <w:color w:val="0000FF"/>
              </w:rPr>
              <w:t>02/28/2024</w:t>
            </w:r>
            <w:r>
              <w:rPr>
                <w:rFonts w:ascii="Times New Roman" w:cs="Times New Roman" w:eastAsia="Times New Roman" w:hAnsi="Times New Roman"/>
                <w:sz w:val="21"/>
                <w:szCs w:val="21"/>
                <w:color w:val="008000"/>
                <w:vertAlign w:val="superscript"/>
              </w:rPr>
              <w:t>(6)</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02/28/2030</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13,576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13,576</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plan holdings as of 11/07/2024.</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of Table 1 is a weighted average price. These shares were sold in multiple transactions at prices ranging from $102.17 to $102.25, inclusive. The Reporting Person undertakes to provide to Merit Medical Systems, Inc., any security holder of Merit Medical Systems, Inc., or the staff of the Securities and Exchange Commission, upon request, full information regarding the number of shares sold at each separate price within the range set forth in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02/26/2021.</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on 03/19/2022.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on 02/28/2023.</w:t>
      </w:r>
    </w:p>
    <w:p>
      <w:pPr>
        <w:sectPr>
          <w:pgSz w:w="11900" w:h="16892"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6. Becomes exercisable in equal annual installments of 25% commencing on 02/28/2024.</w:t>
      </w:r>
    </w:p>
    <w:p>
      <w:pPr>
        <w:ind w:left="6560"/>
        <w:spacing w:after="0" w:line="186" w:lineRule="auto"/>
        <w:rPr>
          <w:sz w:val="20"/>
          <w:szCs w:val="20"/>
          <w:color w:val="auto"/>
        </w:rPr>
      </w:pPr>
      <w:r>
        <w:rPr>
          <w:rFonts w:ascii="Times New Roman" w:cs="Times New Roman" w:eastAsia="Times New Roman" w:hAnsi="Times New Roman"/>
          <w:sz w:val="17"/>
          <w:szCs w:val="17"/>
          <w:color w:val="0000FF"/>
        </w:rPr>
        <w:t xml:space="preserve">/s/ Brian G. Lloyd, Attorney-in- </w:t>
      </w:r>
      <w:r>
        <w:rPr>
          <w:rFonts w:ascii="Times New Roman" w:cs="Times New Roman" w:eastAsia="Times New Roman" w:hAnsi="Times New Roman"/>
          <w:sz w:val="33"/>
          <w:szCs w:val="33"/>
          <w:color w:val="0000FF"/>
          <w:vertAlign w:val="subscript"/>
        </w:rPr>
        <w:t>11/11/2024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2555"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2024-11-12T08:39:14Z</dcterms:created>
  <dcterms:modified xsi:type="dcterms:W3CDTF">2024-11-12T08:39:14Z</dcterms:modified>
</cp:coreProperties>
</file>