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mmsi-20260630x10q.htm"/>
        <w:bookmarkStart w:id="1" w:name="ksmmsi2026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lineRule="atLeast" w:line="142" w:before="0" w:after="240"/>
        <w:ind w:left="0" w:right="0" w:hanging="0"/>
        <w:jc w:val="both"/>
        <w:rPr/>
      </w:pPr>
      <w:r>
        <w:rPr/>
        <w:t>​</w:t>
      </w:r>
    </w:p>
    <w:p>
      <w:pPr>
        <w:pStyle w:val="TextBody"/>
        <w:bidi w:val="0"/>
        <w:spacing w:before="0" w:after="0"/>
        <w:ind w:left="0" w:right="0" w:hanging="0"/>
        <w:jc w:val="center"/>
        <w:rPr>
          <w:rFonts w:ascii="Times New Roman;Times;serif" w:hAnsi="Times New Roman;Times;serif"/>
          <w:b/>
          <w:sz w:val="32"/>
        </w:rPr>
      </w:pPr>
      <w:bookmarkStart w:id="2" w:name="_4fb1e1ce_5ace_4410_a575_fc0e49039118"/>
      <w:bookmarkEnd w:id="2"/>
      <w:r>
        <w:rPr>
          <w:rFonts w:ascii="Times New Roman;Times;serif" w:hAnsi="Times New Roman;Times;serif"/>
          <w:b/>
          <w:sz w:val="32"/>
        </w:rPr>
        <w:t>UNITED STATES</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80"/>
        <w:ind w:left="0" w:right="0" w:hanging="0"/>
        <w:jc w:val="center"/>
        <w:rPr>
          <w:rFonts w:ascii="Times New Roman;Times;serif" w:hAnsi="Times New Roman;Times;serif"/>
          <w:b/>
          <w:sz w:val="36"/>
        </w:rPr>
      </w:pPr>
      <w:r>
        <w:rPr>
          <w:rFonts w:ascii="Times New Roman;Times;serif" w:hAnsi="Times New Roman;Times;serif"/>
          <w:b/>
          <w:sz w:val="36"/>
        </w:rPr>
        <w:t>FORM 10-Q</w:t>
      </w:r>
    </w:p>
    <w:p>
      <w:pPr>
        <w:pStyle w:val="TextBody"/>
        <w:bidi w:val="0"/>
        <w:spacing w:before="0" w:after="0"/>
        <w:ind w:left="0" w:right="0" w:hanging="0"/>
        <w:jc w:val="both"/>
        <w:rPr/>
      </w:pPr>
      <w:r>
        <w:rPr/>
        <w:t>☒    </w:t>
      </w:r>
      <w:r>
        <w:rPr>
          <w:rFonts w:ascii="Times New Roman;Times;serif" w:hAnsi="Times New Roman;Times;serif"/>
          <w:b/>
          <w:sz w:val="20"/>
        </w:rPr>
        <w:t>QUARTERLY REPORT PURSUANT TO SECTION 13 OR 15(d) OF THE SECURITIES EXCHANGE ACT OF 1934</w:t>
      </w:r>
    </w:p>
    <w:p>
      <w:pPr>
        <w:pStyle w:val="TextBody"/>
        <w:bidi w:val="0"/>
        <w:spacing w:before="0" w:after="120"/>
        <w:ind w:left="58" w:right="0" w:hanging="0"/>
        <w:jc w:val="center"/>
        <w:rPr>
          <w:rFonts w:ascii="Times New Roman;Times;serif" w:hAnsi="Times New Roman;Times;serif"/>
          <w:sz w:val="20"/>
        </w:rPr>
      </w:pPr>
      <w:r>
        <w:rPr>
          <w:rFonts w:ascii="Times New Roman;Times;serif" w:hAnsi="Times New Roman;Times;serif"/>
          <w:sz w:val="20"/>
        </w:rPr>
        <w:t>For the quarterly period ended June 30, 2026</w:t>
      </w:r>
    </w:p>
    <w:p>
      <w:pPr>
        <w:pStyle w:val="TextBody"/>
        <w:bidi w:val="0"/>
        <w:spacing w:before="0" w:after="120"/>
        <w:ind w:left="58" w:right="0" w:hanging="0"/>
        <w:jc w:val="center"/>
        <w:rPr>
          <w:rFonts w:ascii="Times New Roman;Times;serif" w:hAnsi="Times New Roman;Times;serif"/>
          <w:b/>
          <w:sz w:val="20"/>
        </w:rPr>
      </w:pPr>
      <w:r>
        <w:rPr>
          <w:rFonts w:ascii="Times New Roman;Times;serif" w:hAnsi="Times New Roman;Times;serif"/>
          <w:b/>
          <w:sz w:val="20"/>
        </w:rPr>
        <w:t>OR</w:t>
      </w:r>
    </w:p>
    <w:p>
      <w:pPr>
        <w:pStyle w:val="TextBody"/>
        <w:bidi w:val="0"/>
        <w:spacing w:before="0" w:after="0"/>
        <w:ind w:left="0" w:right="0" w:hanging="0"/>
        <w:jc w:val="both"/>
        <w:rPr/>
      </w:pPr>
      <w:r>
        <w:rPr/>
        <w:t>☐    </w:t>
      </w:r>
      <w:r>
        <w:rPr>
          <w:rFonts w:ascii="Times New Roman;Times;serif" w:hAnsi="Times New Roman;Times;serif"/>
          <w:b/>
          <w:sz w:val="20"/>
        </w:rPr>
        <w:t>TRANSITION REPORT PURSUANT TO SECTION 13 OR 15(d) OF THE SECURITIES EXCHANGE ACT OF 1934</w:t>
      </w:r>
    </w:p>
    <w:p>
      <w:pPr>
        <w:pStyle w:val="TextBody"/>
        <w:bidi w:val="0"/>
        <w:spacing w:before="0" w:after="120"/>
        <w:ind w:left="58" w:right="0" w:hanging="0"/>
        <w:jc w:val="center"/>
        <w:rPr>
          <w:rFonts w:ascii="Times New Roman;Times;serif" w:hAnsi="Times New Roman;Times;serif"/>
          <w:sz w:val="20"/>
        </w:rPr>
      </w:pPr>
      <w:r>
        <w:rPr>
          <w:rFonts w:ascii="Times New Roman;Times;serif" w:hAnsi="Times New Roman;Times;serif"/>
          <w:sz w:val="20"/>
        </w:rPr>
        <w:t>For the transition period from                to                .</w:t>
      </w:r>
    </w:p>
    <w:p>
      <w:pPr>
        <w:pStyle w:val="TextBody"/>
        <w:bidi w:val="0"/>
        <w:spacing w:before="0" w:after="40"/>
        <w:ind w:left="60" w:right="0" w:hanging="0"/>
        <w:jc w:val="center"/>
        <w:rPr>
          <w:rFonts w:ascii="Times New Roman;Times;serif" w:hAnsi="Times New Roman;Times;serif"/>
          <w:b/>
          <w:sz w:val="18"/>
        </w:rPr>
      </w:pPr>
      <w:r>
        <w:rPr>
          <w:rFonts w:ascii="Times New Roman;Times;serif" w:hAnsi="Times New Roman;Times;serif"/>
          <w:b/>
          <w:sz w:val="18"/>
        </w:rPr>
        <w:t>Commission File Number   0-18592</w:t>
      </w:r>
    </w:p>
    <w:p>
      <w:pPr>
        <w:pStyle w:val="TextBody"/>
        <w:bidi w:val="0"/>
        <w:spacing w:before="0" w:after="0"/>
        <w:ind w:left="0" w:right="0" w:hanging="0"/>
        <w:jc w:val="left"/>
        <w:rPr/>
      </w:pPr>
      <w:r>
        <w:rPr/>
        <w:t>​</w:t>
      </w:r>
    </w:p>
    <w:p>
      <w:pPr>
        <w:pStyle w:val="TextBody"/>
        <w:bidi w:val="0"/>
        <w:spacing w:before="0" w:after="200"/>
        <w:ind w:left="0" w:right="0" w:hanging="0"/>
        <w:jc w:val="center"/>
        <w:rPr/>
      </w:pPr>
      <w:r>
        <w:rPr/>
        <w:drawing>
          <wp:inline distT="0" distB="0" distL="0" distR="0">
            <wp:extent cx="2508885" cy="42926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508885" cy="429260"/>
                    </a:xfrm>
                    <a:prstGeom prst="rect">
                      <a:avLst/>
                    </a:prstGeom>
                  </pic:spPr>
                </pic:pic>
              </a:graphicData>
            </a:graphic>
          </wp:inline>
        </w:drawing>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b/>
          <w:i w:val="false"/>
          <w:caps w:val="false"/>
          <w:smallCaps w:val="false"/>
          <w:sz w:val="24"/>
        </w:rPr>
        <w:t>MERIT MEDICAL SYSTEMS, INC</w:t>
      </w:r>
      <w:r>
        <w:rPr>
          <w:rFonts w:ascii="Times New Roman;Times;serif" w:hAnsi="Times New Roman;Times;serif"/>
          <w:b/>
          <w:sz w:val="24"/>
        </w:rPr>
        <w:t>.</w:t>
      </w:r>
    </w:p>
    <w:p>
      <w:pPr>
        <w:pStyle w:val="TextBody"/>
        <w:bidi w:val="0"/>
        <w:spacing w:before="0" w:after="120"/>
        <w:ind w:left="0" w:right="0" w:hanging="0"/>
        <w:jc w:val="center"/>
        <w:rPr>
          <w:rFonts w:ascii="Times New Roman;Times;serif" w:hAnsi="Times New Roman;Times;serif"/>
          <w:sz w:val="16"/>
        </w:rPr>
      </w:pPr>
      <w:r>
        <w:rPr>
          <w:rFonts w:ascii="Times New Roman;Times;serif" w:hAnsi="Times New Roman;Times;serif"/>
          <w:sz w:val="16"/>
        </w:rPr>
        <w:t>(Exact name of registrant as specified in its charter)</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 w:name="Tc_qJtWDJ72z06ZjqhozH2pWg_1_2"/>
      <w:bookmarkStart w:id="4" w:name="Tc_Ck_Bg_CeZE6WxcATvzynog_1_0"/>
      <w:bookmarkStart w:id="5" w:name="_d09504f0_3675_4d37_8b8b_3034d46d6cf1"/>
      <w:bookmarkStart w:id="6" w:name="Tc_qJtWDJ72z06ZjqhozH2pWg_1_2"/>
      <w:bookmarkStart w:id="7" w:name="Tc_Ck_Bg_CeZE6WxcATvzynog_1_0"/>
      <w:bookmarkStart w:id="8" w:name="_d09504f0_3675_4d37_8b8b_3034d46d6cf1"/>
      <w:bookmarkEnd w:id="6"/>
      <w:bookmarkEnd w:id="7"/>
      <w:bookmarkEnd w:id="8"/>
    </w:p>
    <w:tbl>
      <w:tblPr>
        <w:tblW w:w="7248" w:type="dxa"/>
        <w:jc w:val="left"/>
        <w:tblInd w:w="0" w:type="dxa"/>
        <w:tblLayout w:type="fixed"/>
        <w:tblCellMar>
          <w:top w:w="0" w:type="dxa"/>
          <w:left w:w="0" w:type="dxa"/>
          <w:bottom w:w="0" w:type="dxa"/>
          <w:right w:w="0" w:type="dxa"/>
        </w:tblCellMar>
      </w:tblPr>
      <w:tblGrid>
        <w:gridCol w:w="4321"/>
        <w:gridCol w:w="346"/>
        <w:gridCol w:w="2581"/>
      </w:tblGrid>
      <w:tr>
        <w:trPr/>
        <w:tc>
          <w:tcPr>
            <w:tcW w:w="432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Utah</w:t>
            </w:r>
          </w:p>
        </w:tc>
        <w:tc>
          <w:tcPr>
            <w:tcW w:w="346" w:type="dxa"/>
            <w:tcBorders/>
            <w:vAlign w:val="center"/>
          </w:tcPr>
          <w:p>
            <w:pPr>
              <w:pStyle w:val="TableContents"/>
              <w:bidi w:val="0"/>
              <w:spacing w:before="0" w:after="0"/>
              <w:ind w:left="0" w:right="0" w:hanging="0"/>
              <w:jc w:val="left"/>
              <w:rPr/>
            </w:pPr>
            <w:r>
              <w:rPr/>
              <w:t>  ​ ​ ​</w:t>
            </w:r>
          </w:p>
        </w:tc>
        <w:tc>
          <w:tcPr>
            <w:tcW w:w="258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87-0447695</w:t>
            </w:r>
          </w:p>
        </w:tc>
      </w:tr>
      <w:tr>
        <w:trPr/>
        <w:tc>
          <w:tcPr>
            <w:tcW w:w="432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(State or other jurisdiction of incorporation or organization)</w:t>
            </w:r>
          </w:p>
        </w:tc>
        <w:tc>
          <w:tcPr>
            <w:tcW w:w="346" w:type="dxa"/>
            <w:tcBorders/>
            <w:vAlign w:val="center"/>
          </w:tcPr>
          <w:p>
            <w:pPr>
              <w:pStyle w:val="TableContents"/>
              <w:bidi w:val="0"/>
              <w:spacing w:before="0" w:after="240"/>
              <w:ind w:left="0" w:right="0" w:hanging="0"/>
              <w:jc w:val="left"/>
              <w:rPr/>
            </w:pPr>
            <w:r>
              <w:rPr/>
              <w:t>​</w:t>
            </w:r>
          </w:p>
        </w:tc>
        <w:tc>
          <w:tcPr>
            <w:tcW w:w="258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(IRS Employer 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18"/>
        </w:rPr>
        <w:t>1600 West Merit Parkway, South Jordan, Utah</w:t>
      </w:r>
      <w:r>
        <w:rPr>
          <w:rFonts w:ascii="Times New Roman;Times;serif" w:hAnsi="Times New Roman;Times;serif"/>
          <w:sz w:val="20"/>
        </w:rPr>
        <w:t xml:space="preserve"> </w:t>
      </w:r>
      <w:r>
        <w:rPr>
          <w:rFonts w:ascii="Times New Roman;Times;serif" w:hAnsi="Times New Roman;Times;serif"/>
          <w:b/>
          <w:sz w:val="18"/>
        </w:rPr>
        <w:t>84095</w:t>
      </w:r>
    </w:p>
    <w:p>
      <w:pPr>
        <w:pStyle w:val="TextBody"/>
        <w:bidi w:val="0"/>
        <w:spacing w:before="0" w:after="80"/>
        <w:ind w:left="0" w:right="0" w:hanging="0"/>
        <w:jc w:val="center"/>
        <w:rPr>
          <w:rFonts w:ascii="Times New Roman;Times;serif" w:hAnsi="Times New Roman;Times;serif"/>
          <w:sz w:val="18"/>
        </w:rPr>
      </w:pPr>
      <w:r>
        <w:rPr>
          <w:rFonts w:ascii="Times New Roman;Times;serif" w:hAnsi="Times New Roman;Times;serif"/>
          <w:sz w:val="18"/>
        </w:rPr>
        <w:t>(Address of principal executive offices, including zip code)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Registrant’s telephone number, including area code: </w:t>
      </w:r>
      <w:r>
        <w:rPr>
          <w:rFonts w:ascii="Times New Roman;Times;serif" w:hAnsi="Times New Roman;Times;serif"/>
          <w:b/>
          <w:sz w:val="18"/>
        </w:rPr>
        <w:t>(801) 253-1600</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Securities registered pursuant to Section 12(b) of the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9" w:name="Tc_oCjbJYnUe0i0BltoocV0og_2_2"/>
      <w:bookmarkStart w:id="10" w:name="Tc_P0AOxXRj2UO1flp4sezxMw_1_2"/>
      <w:bookmarkStart w:id="11" w:name="Tc_YfLa5bcg7EyJBFXZeGaESQ_1_1"/>
      <w:bookmarkStart w:id="12" w:name="Tc_DGu2GoqZukS0gtrgVw2Arg_1_0"/>
      <w:bookmarkStart w:id="13" w:name="_006be085_7e7b_49e3_9a35_f760c1212fc6"/>
      <w:bookmarkStart w:id="14" w:name="Tc_oCjbJYnUe0i0BltoocV0og_2_2"/>
      <w:bookmarkStart w:id="15" w:name="Tc_P0AOxXRj2UO1flp4sezxMw_1_2"/>
      <w:bookmarkStart w:id="16" w:name="Tc_YfLa5bcg7EyJBFXZeGaESQ_1_1"/>
      <w:bookmarkStart w:id="17" w:name="Tc_DGu2GoqZukS0gtrgVw2Arg_1_0"/>
      <w:bookmarkStart w:id="18" w:name="_006be085_7e7b_49e3_9a35_f760c1212fc6"/>
      <w:bookmarkEnd w:id="14"/>
      <w:bookmarkEnd w:id="15"/>
      <w:bookmarkEnd w:id="16"/>
      <w:bookmarkEnd w:id="17"/>
      <w:bookmarkEnd w:id="18"/>
    </w:p>
    <w:tbl>
      <w:tblPr>
        <w:tblW w:w="6648" w:type="dxa"/>
        <w:jc w:val="left"/>
        <w:tblInd w:w="0" w:type="dxa"/>
        <w:tblLayout w:type="fixed"/>
        <w:tblCellMar>
          <w:top w:w="0" w:type="dxa"/>
          <w:left w:w="0" w:type="dxa"/>
          <w:bottom w:w="0" w:type="dxa"/>
          <w:right w:w="0" w:type="dxa"/>
        </w:tblCellMar>
      </w:tblPr>
      <w:tblGrid>
        <w:gridCol w:w="2191"/>
        <w:gridCol w:w="1366"/>
        <w:gridCol w:w="3091"/>
      </w:tblGrid>
      <w:tr>
        <w:trPr/>
        <w:tc>
          <w:tcPr>
            <w:tcW w:w="2191" w:type="dxa"/>
            <w:tcBorders/>
            <w:vAlign w:val="center"/>
          </w:tcPr>
          <w:p>
            <w:pPr>
              <w:pStyle w:val="TableContents"/>
              <w:bidi w:val="0"/>
              <w:spacing w:before="0" w:after="0"/>
              <w:ind w:left="0" w:right="0" w:hanging="0"/>
              <w:jc w:val="left"/>
              <w:rPr/>
            </w:pPr>
            <w:r>
              <w:rPr/>
              <w:t>​</w:t>
            </w:r>
          </w:p>
        </w:tc>
        <w:tc>
          <w:tcPr>
            <w:tcW w:w="1366" w:type="dxa"/>
            <w:tcBorders/>
            <w:vAlign w:val="center"/>
          </w:tcPr>
          <w:p>
            <w:pPr>
              <w:pStyle w:val="TableContents"/>
              <w:bidi w:val="0"/>
              <w:spacing w:before="0" w:after="0"/>
              <w:ind w:left="0" w:right="0" w:hanging="0"/>
              <w:jc w:val="left"/>
              <w:rPr/>
            </w:pPr>
            <w:r>
              <w:rPr/>
              <w:t>​</w:t>
            </w:r>
          </w:p>
        </w:tc>
        <w:tc>
          <w:tcPr>
            <w:tcW w:w="3091" w:type="dxa"/>
            <w:tcBorders/>
            <w:vAlign w:val="center"/>
          </w:tcPr>
          <w:p>
            <w:pPr>
              <w:pStyle w:val="TableContents"/>
              <w:bidi w:val="0"/>
              <w:spacing w:before="0" w:after="0"/>
              <w:ind w:left="0" w:right="0" w:hanging="0"/>
              <w:jc w:val="left"/>
              <w:rPr/>
            </w:pPr>
            <w:r>
              <w:rPr/>
              <w:t>​</w:t>
            </w:r>
          </w:p>
        </w:tc>
      </w:tr>
      <w:tr>
        <w:trPr/>
        <w:tc>
          <w:tcPr>
            <w:tcW w:w="2191" w:type="dxa"/>
            <w:tcBorders/>
            <w:vAlign w:val="center"/>
          </w:tcPr>
          <w:p>
            <w:pPr>
              <w:pStyle w:val="TableContents"/>
              <w:bidi w:val="0"/>
              <w:spacing w:before="0" w:after="40"/>
              <w:ind w:left="0" w:right="0" w:hanging="0"/>
              <w:jc w:val="center"/>
              <w:rPr>
                <w:rFonts w:ascii="Times New Roman;Times;serif" w:hAnsi="Times New Roman;Times;serif"/>
                <w:b/>
                <w:sz w:val="18"/>
              </w:rPr>
            </w:pPr>
            <w:r>
              <w:rPr>
                <w:rFonts w:ascii="Times New Roman;Times;serif" w:hAnsi="Times New Roman;Times;serif"/>
                <w:b/>
                <w:sz w:val="18"/>
              </w:rPr>
              <w:t>Title of each class</w:t>
            </w:r>
          </w:p>
        </w:tc>
        <w:tc>
          <w:tcPr>
            <w:tcW w:w="1366" w:type="dxa"/>
            <w:tcBorders/>
            <w:vAlign w:val="center"/>
          </w:tcPr>
          <w:p>
            <w:pPr>
              <w:pStyle w:val="TableContents"/>
              <w:bidi w:val="0"/>
              <w:spacing w:before="0" w:after="40"/>
              <w:ind w:left="0" w:right="0" w:hanging="0"/>
              <w:jc w:val="center"/>
              <w:rPr>
                <w:rFonts w:ascii="Times New Roman;Times;serif" w:hAnsi="Times New Roman;Times;serif"/>
                <w:b/>
                <w:sz w:val="18"/>
              </w:rPr>
            </w:pPr>
            <w:r>
              <w:rPr>
                <w:rFonts w:ascii="Times New Roman;Times;serif" w:hAnsi="Times New Roman;Times;serif"/>
                <w:b/>
                <w:sz w:val="18"/>
              </w:rPr>
              <w:t>Trading Symbol</w:t>
            </w:r>
          </w:p>
        </w:tc>
        <w:tc>
          <w:tcPr>
            <w:tcW w:w="3091" w:type="dxa"/>
            <w:tcBorders/>
            <w:vAlign w:val="center"/>
          </w:tcPr>
          <w:p>
            <w:pPr>
              <w:pStyle w:val="TableContents"/>
              <w:bidi w:val="0"/>
              <w:spacing w:before="0" w:after="40"/>
              <w:ind w:left="0" w:right="0" w:hanging="0"/>
              <w:jc w:val="center"/>
              <w:rPr>
                <w:rFonts w:ascii="Times New Roman;Times;serif" w:hAnsi="Times New Roman;Times;serif"/>
                <w:b/>
                <w:sz w:val="18"/>
              </w:rPr>
            </w:pPr>
            <w:r>
              <w:rPr>
                <w:rFonts w:ascii="Times New Roman;Times;serif" w:hAnsi="Times New Roman;Times;serif"/>
                <w:b/>
                <w:sz w:val="18"/>
              </w:rPr>
              <w:t>Name of exchange on which registered</w:t>
            </w:r>
          </w:p>
        </w:tc>
      </w:tr>
      <w:tr>
        <w:trPr/>
        <w:tc>
          <w:tcPr>
            <w:tcW w:w="2191" w:type="dxa"/>
            <w:tcBorders/>
            <w:vAlign w:val="center"/>
          </w:tcPr>
          <w:p>
            <w:pPr>
              <w:pStyle w:val="TableContents"/>
              <w:bidi w:val="0"/>
              <w:spacing w:before="0" w:after="40"/>
              <w:ind w:left="0" w:right="0" w:hanging="0"/>
              <w:jc w:val="center"/>
              <w:rPr>
                <w:rFonts w:ascii="Times New Roman;Times;serif" w:hAnsi="Times New Roman;Times;serif"/>
                <w:sz w:val="18"/>
              </w:rPr>
            </w:pPr>
            <w:r>
              <w:rPr>
                <w:rFonts w:ascii="Times New Roman;Times;serif" w:hAnsi="Times New Roman;Times;serif"/>
                <w:sz w:val="18"/>
              </w:rPr>
              <w:t>Common Stock, no par value</w:t>
            </w:r>
          </w:p>
        </w:tc>
        <w:tc>
          <w:tcPr>
            <w:tcW w:w="1366" w:type="dxa"/>
            <w:tcBorders/>
            <w:vAlign w:val="center"/>
          </w:tcPr>
          <w:p>
            <w:pPr>
              <w:pStyle w:val="TableContents"/>
              <w:bidi w:val="0"/>
              <w:spacing w:before="0" w:after="40"/>
              <w:ind w:left="0" w:right="0" w:hanging="0"/>
              <w:jc w:val="center"/>
              <w:rPr>
                <w:rFonts w:ascii="Times New Roman;Times;serif" w:hAnsi="Times New Roman;Times;serif"/>
                <w:sz w:val="18"/>
              </w:rPr>
            </w:pPr>
            <w:r>
              <w:rPr>
                <w:rFonts w:ascii="Times New Roman;Times;serif" w:hAnsi="Times New Roman;Times;serif"/>
                <w:sz w:val="18"/>
              </w:rPr>
              <w:t>MMSI</w:t>
            </w:r>
          </w:p>
        </w:tc>
        <w:tc>
          <w:tcPr>
            <w:tcW w:w="3091" w:type="dxa"/>
            <w:tcBorders/>
            <w:vAlign w:val="center"/>
          </w:tcPr>
          <w:p>
            <w:pPr>
              <w:pStyle w:val="TableContents"/>
              <w:bidi w:val="0"/>
              <w:spacing w:before="0" w:after="40"/>
              <w:ind w:left="0" w:right="0" w:hanging="0"/>
              <w:jc w:val="center"/>
              <w:rPr>
                <w:rFonts w:ascii="Times New Roman;Times;serif" w:hAnsi="Times New Roman;Times;serif"/>
                <w:sz w:val="20"/>
              </w:rPr>
            </w:pPr>
            <w:r>
              <w:rPr>
                <w:rFonts w:ascii="Times New Roman;Times;serif" w:hAnsi="Times New Roman;Times;serif"/>
                <w:sz w:val="18"/>
              </w:rPr>
              <w:t>NASDAQ</w:t>
            </w:r>
            <w:r>
              <w:rPr>
                <w:rFonts w:ascii="Times New Roman;Times;serif" w:hAnsi="Times New Roman;Times;serif"/>
                <w:sz w:val="20"/>
              </w:rPr>
              <w:t xml:space="preserve"> </w:t>
            </w:r>
            <w:r>
              <w:rPr>
                <w:rFonts w:ascii="Times New Roman;Times;serif" w:hAnsi="Times New Roman;Times;serif"/>
                <w:sz w:val="18"/>
              </w:rPr>
              <w:t>Global Select Market</w:t>
            </w:r>
          </w:p>
        </w:tc>
      </w:tr>
    </w:tbl>
    <w:p>
      <w:pPr>
        <w:pStyle w:val="TextBody"/>
        <w:bidi w:val="0"/>
        <w:spacing w:before="0" w:after="0"/>
        <w:ind w:left="0" w:right="0" w:hanging="0"/>
        <w:jc w:val="left"/>
        <w:rPr/>
      </w:pPr>
      <w:r>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filing requirements for the past 90 days. Yes</w:t>
      </w:r>
      <w:r>
        <w:rPr>
          <w:rFonts w:ascii="Times New Roman;Times;serif" w:hAnsi="Times New Roman;Times;serif"/>
          <w:sz w:val="20"/>
        </w:rPr>
        <w:t xml:space="preserve"> ☒  </w:t>
      </w:r>
      <w:r>
        <w:rPr>
          <w:rFonts w:ascii="Times New Roman;Times;serif" w:hAnsi="Times New Roman;Times;serif"/>
          <w:sz w:val="18"/>
        </w:rPr>
        <w:t xml:space="preserve">No </w:t>
      </w:r>
      <w:r>
        <w:rPr>
          <w:rFonts w:ascii="Times New Roman;Times;serif" w:hAnsi="Times New Roman;Times;serif"/>
          <w:sz w:val="20"/>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18"/>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w:t>
      </w:r>
      <w:r>
        <w:rPr>
          <w:rFonts w:ascii="Times New Roman;Times;serif" w:hAnsi="Times New Roman;Times;serif"/>
          <w:sz w:val="20"/>
        </w:rPr>
        <w:t xml:space="preserve"> ☒  </w:t>
      </w:r>
      <w:r>
        <w:rPr>
          <w:rFonts w:ascii="Times New Roman;Times;serif" w:hAnsi="Times New Roman;Times;serif"/>
          <w:sz w:val="18"/>
        </w:rPr>
        <w:t xml:space="preserve">No </w:t>
      </w:r>
      <w:r>
        <w:rPr>
          <w:rFonts w:ascii="Times New Roman;Times;serif" w:hAnsi="Times New Roman;Times;serif"/>
          <w:sz w:val="20"/>
        </w:rPr>
        <w:t>☐</w:t>
      </w:r>
    </w:p>
    <w:p>
      <w:pPr>
        <w:pStyle w:val="TextBody"/>
        <w:bidi w:val="0"/>
        <w:spacing w:before="0" w:after="120"/>
        <w:ind w:left="0" w:right="0" w:hanging="0"/>
        <w:jc w:val="both"/>
        <w:rPr>
          <w:rFonts w:ascii="Times New Roman;Times;serif" w:hAnsi="Times New Roman;Times;serif"/>
          <w:sz w:val="18"/>
        </w:rPr>
      </w:pPr>
      <w:r>
        <w:rPr>
          <w:rFonts w:ascii="Times New Roman;Times;serif" w:hAnsi="Times New Roman;Times;serif"/>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9980" w:type="dxa"/>
        <w:jc w:val="left"/>
        <w:tblInd w:w="0" w:type="dxa"/>
        <w:tblLayout w:type="fixed"/>
        <w:tblCellMar>
          <w:top w:w="0" w:type="dxa"/>
          <w:left w:w="0" w:type="dxa"/>
          <w:bottom w:w="0" w:type="dxa"/>
          <w:right w:w="0" w:type="dxa"/>
        </w:tblCellMar>
      </w:tblPr>
      <w:tblGrid>
        <w:gridCol w:w="1966"/>
        <w:gridCol w:w="1471"/>
        <w:gridCol w:w="1876"/>
        <w:gridCol w:w="2311"/>
        <w:gridCol w:w="2356"/>
      </w:tblGrid>
      <w:tr>
        <w:trPr/>
        <w:tc>
          <w:tcPr>
            <w:tcW w:w="19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6"/>
              </w:rPr>
              <w:t>Large Accelerated Filer</w:t>
            </w:r>
            <w:r>
              <w:rPr>
                <w:rFonts w:ascii="Times New Roman;Times;serif" w:hAnsi="Times New Roman;Times;serif"/>
                <w:sz w:val="20"/>
              </w:rPr>
              <w:t> ☒</w:t>
            </w:r>
          </w:p>
        </w:tc>
        <w:tc>
          <w:tcPr>
            <w:tcW w:w="147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Accelerated Filer ☐</w:t>
            </w:r>
          </w:p>
        </w:tc>
        <w:tc>
          <w:tcPr>
            <w:tcW w:w="187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Non-Accelerated Filer  ☐</w:t>
            </w:r>
          </w:p>
        </w:tc>
        <w:tc>
          <w:tcPr>
            <w:tcW w:w="23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6"/>
              </w:rPr>
              <w:t>Smaller Reporting Company </w:t>
            </w:r>
            <w:r>
              <w:rPr>
                <w:rFonts w:ascii="Times New Roman;Times;serif" w:hAnsi="Times New Roman;Times;serif"/>
                <w:sz w:val="20"/>
              </w:rPr>
              <w:t>☐</w:t>
            </w:r>
          </w:p>
        </w:tc>
        <w:tc>
          <w:tcPr>
            <w:tcW w:w="23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6"/>
              </w:rPr>
              <w:t>Emerging Growth Company </w:t>
            </w:r>
            <w:r>
              <w:rPr>
                <w:rFonts w:ascii="Times New Roman;Times;serif" w:hAnsi="Times New Roman;Times;serif"/>
                <w:sz w:val="20"/>
              </w:rPr>
              <w:t>☐</w:t>
            </w:r>
          </w:p>
        </w:tc>
      </w:tr>
    </w:tbl>
    <w:p>
      <w:pPr>
        <w:pStyle w:val="TextBody"/>
        <w:bidi w:val="0"/>
        <w:spacing w:before="120" w:after="120"/>
        <w:ind w:left="0" w:right="0" w:hanging="0"/>
        <w:jc w:val="both"/>
        <w:rPr>
          <w:rFonts w:ascii="Times New Roman;Times;serif" w:hAnsi="Times New Roman;Times;serif"/>
          <w:sz w:val="18"/>
        </w:rPr>
      </w:pPr>
      <w:r>
        <w:rPr>
          <w:rFonts w:ascii="Times New Roman;Times;serif" w:hAnsi="Times New Roman;Times;serif"/>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18"/>
        </w:rPr>
        <w:t xml:space="preserve">Indicate by check mark whether the registrant is a shell company (as defined in Rule 12b-2 of the Exchange Act). Yes </w:t>
      </w:r>
      <w:r>
        <w:rPr>
          <w:rFonts w:ascii="Times New Roman;Times;serif" w:hAnsi="Times New Roman;Times;serif"/>
          <w:sz w:val="20"/>
        </w:rPr>
        <w:t xml:space="preserve">☐  </w:t>
      </w:r>
      <w:r>
        <w:rPr>
          <w:rFonts w:ascii="Times New Roman;Times;serif" w:hAnsi="Times New Roman;Times;serif"/>
          <w:sz w:val="18"/>
        </w:rPr>
        <w:t xml:space="preserve">No </w:t>
      </w:r>
      <w:r>
        <w:rPr>
          <w:rFonts w:ascii="Times New Roman;Times;serif" w:hAnsi="Times New Roman;Times;serif"/>
          <w:sz w:val="20"/>
        </w:rPr>
        <w:t>☒</w:t>
      </w:r>
    </w:p>
    <w:p>
      <w:pPr>
        <w:pStyle w:val="TextBody"/>
        <w:bidi w:val="0"/>
        <w:spacing w:before="0" w:after="120"/>
        <w:ind w:left="0" w:right="0" w:hanging="0"/>
        <w:jc w:val="both"/>
        <w:rPr>
          <w:rFonts w:ascii="Times New Roman;Times;serif" w:hAnsi="Times New Roman;Times;serif"/>
          <w:sz w:val="18"/>
        </w:rPr>
      </w:pPr>
      <w:r>
        <w:rPr>
          <w:rFonts w:ascii="Times New Roman;Times;serif" w:hAnsi="Times New Roman;Times;serif"/>
          <w:sz w:val="18"/>
        </w:rPr>
        <w:t>Indicate the number of shares outstanding of each of the Registrant’s classes of common stock, as of the latest practicable date.</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9" w:name="Tc_jlXnZGX1tEC87YtfY2whwQ_1_0"/>
      <w:bookmarkStart w:id="20" w:name="Tc_LFmFILVDUU2RwKbMWRN-Dg_0_2"/>
      <w:bookmarkStart w:id="21" w:name="Tc__nBCuSWeCkyukExfItOSfA_0_0"/>
      <w:bookmarkStart w:id="22" w:name="_5e264dd3_6c6a_483a_939a_c02daae628ad"/>
      <w:bookmarkStart w:id="23" w:name="Tc_jlXnZGX1tEC87YtfY2whwQ_1_0"/>
      <w:bookmarkStart w:id="24" w:name="Tc_LFmFILVDUU2RwKbMWRN-Dg_0_2"/>
      <w:bookmarkStart w:id="25" w:name="Tc__nBCuSWeCkyukExfItOSfA_0_0"/>
      <w:bookmarkStart w:id="26" w:name="_5e264dd3_6c6a_483a_939a_c02daae628ad"/>
      <w:bookmarkEnd w:id="23"/>
      <w:bookmarkEnd w:id="24"/>
      <w:bookmarkEnd w:id="25"/>
      <w:bookmarkEnd w:id="26"/>
    </w:p>
    <w:tbl>
      <w:tblPr>
        <w:tblW w:w="5643" w:type="dxa"/>
        <w:jc w:val="left"/>
        <w:tblInd w:w="0" w:type="dxa"/>
        <w:tblLayout w:type="fixed"/>
        <w:tblCellMar>
          <w:top w:w="0" w:type="dxa"/>
          <w:left w:w="0" w:type="dxa"/>
          <w:bottom w:w="0" w:type="dxa"/>
          <w:right w:w="0" w:type="dxa"/>
        </w:tblCellMar>
      </w:tblPr>
      <w:tblGrid>
        <w:gridCol w:w="2191"/>
        <w:gridCol w:w="346"/>
        <w:gridCol w:w="3106"/>
      </w:tblGrid>
      <w:tr>
        <w:trPr/>
        <w:tc>
          <w:tcPr>
            <w:tcW w:w="219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Title or class</w:t>
            </w:r>
          </w:p>
        </w:tc>
        <w:tc>
          <w:tcPr>
            <w:tcW w:w="346" w:type="dxa"/>
            <w:tcBorders/>
            <w:vAlign w:val="center"/>
          </w:tcPr>
          <w:p>
            <w:pPr>
              <w:pStyle w:val="TableContents"/>
              <w:bidi w:val="0"/>
              <w:spacing w:before="0" w:after="0"/>
              <w:ind w:left="0" w:right="0" w:hanging="0"/>
              <w:jc w:val="left"/>
              <w:rPr/>
            </w:pPr>
            <w:r>
              <w:rPr/>
              <w:t>​</w:t>
            </w:r>
          </w:p>
        </w:tc>
        <w:tc>
          <w:tcPr>
            <w:tcW w:w="310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Shares outstanding as of July 28, 2026</w:t>
            </w:r>
          </w:p>
        </w:tc>
      </w:tr>
      <w:tr>
        <w:trPr/>
        <w:tc>
          <w:tcPr>
            <w:tcW w:w="2191" w:type="dxa"/>
            <w:tcBorders/>
            <w:vAlign w:val="center"/>
          </w:tcPr>
          <w:p>
            <w:pPr>
              <w:pStyle w:val="TableContents"/>
              <w:bidi w:val="0"/>
              <w:spacing w:before="0" w:after="40"/>
              <w:ind w:left="0" w:right="0" w:hanging="0"/>
              <w:jc w:val="center"/>
              <w:rPr>
                <w:rFonts w:ascii="Times New Roman;Times;serif" w:hAnsi="Times New Roman;Times;serif"/>
                <w:sz w:val="18"/>
              </w:rPr>
            </w:pPr>
            <w:r>
              <w:rPr>
                <w:rFonts w:ascii="Times New Roman;Times;serif" w:hAnsi="Times New Roman;Times;serif"/>
                <w:sz w:val="18"/>
              </w:rPr>
              <w:t>Common Stock, no par value</w:t>
            </w:r>
          </w:p>
        </w:tc>
        <w:tc>
          <w:tcPr>
            <w:tcW w:w="346" w:type="dxa"/>
            <w:tcBorders/>
            <w:vAlign w:val="center"/>
          </w:tcPr>
          <w:p>
            <w:pPr>
              <w:pStyle w:val="TableContents"/>
              <w:bidi w:val="0"/>
              <w:spacing w:before="0" w:after="40"/>
              <w:ind w:left="0" w:right="0" w:hanging="0"/>
              <w:jc w:val="left"/>
              <w:rPr/>
            </w:pPr>
            <w:r>
              <w:rPr/>
              <w:t>  ​ ​ ​</w:t>
            </w:r>
          </w:p>
        </w:tc>
        <w:tc>
          <w:tcPr>
            <w:tcW w:w="3106" w:type="dxa"/>
            <w:tcBorders/>
            <w:vAlign w:val="center"/>
          </w:tcPr>
          <w:p>
            <w:pPr>
              <w:pStyle w:val="TableContents"/>
              <w:bidi w:val="0"/>
              <w:spacing w:before="0" w:after="40"/>
              <w:ind w:left="0" w:right="0" w:hanging="0"/>
              <w:jc w:val="center"/>
              <w:rPr>
                <w:rFonts w:ascii="Times New Roman;Times;serif" w:hAnsi="Times New Roman;Times;serif"/>
                <w:sz w:val="18"/>
              </w:rPr>
            </w:pPr>
            <w:r>
              <w:rPr>
                <w:rFonts w:ascii="Times New Roman;Times;serif" w:hAnsi="Times New Roman;Times;serif"/>
                <w:sz w:val="18"/>
              </w:rPr>
              <w:t>59,710,420</w:t>
            </w:r>
          </w:p>
        </w:tc>
      </w:tr>
    </w:tbl>
    <w:p>
      <w:pPr>
        <w:pStyle w:val="TextBody"/>
        <w:bidi w:val="0"/>
        <w:spacing w:before="0" w:after="0"/>
        <w:ind w:left="0" w:right="0" w:hanging="0"/>
        <w:jc w:val="left"/>
        <w:rPr/>
      </w:pPr>
      <w:r>
        <w:rPr/>
        <w:t>​</w:t>
      </w:r>
    </w:p>
    <w:p>
      <w:pPr>
        <w:pStyle w:val="TextBody"/>
        <w:pBdr>
          <w:top w:val="single" w:sz="8" w:space="1" w:color="000000"/>
          <w:bottom w:val="single" w:sz="24" w:space="1" w:color="000000"/>
        </w:pBdr>
        <w:bidi w:val="0"/>
        <w:spacing w:lineRule="atLeast" w:line="142"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bookmarkStart w:id="27" w:name="_85e61ad2_daca_4ab0_aec4_ea817c3f2bc5"/>
      <w:bookmarkEnd w:id="27"/>
      <w:r>
        <w:rPr/>
        <w:t>​</w:t>
      </w:r>
    </w:p>
    <w:p>
      <w:pPr>
        <w:pStyle w:val="TextBody"/>
        <w:bidi w:val="0"/>
        <w:spacing w:before="0" w:after="0"/>
        <w:ind w:left="0" w:right="0" w:hanging="0"/>
        <w:jc w:val="center"/>
        <w:rPr>
          <w:rFonts w:ascii="Times New Roman;Times;serif" w:hAnsi="Times New Roman;Times;serif"/>
          <w:b/>
          <w:sz w:val="20"/>
        </w:rPr>
      </w:pPr>
      <w:bookmarkStart w:id="28" w:name="TOC"/>
      <w:bookmarkEnd w:id="28"/>
      <w:r>
        <w:rPr>
          <w:rFonts w:ascii="Times New Roman;Times;serif" w:hAnsi="Times New Roman;Times;serif"/>
          <w:b/>
          <w:sz w:val="20"/>
        </w:rPr>
        <w:t>TABLE OF CONTENTS</w:t>
      </w:r>
    </w:p>
    <w:p>
      <w:pPr>
        <w:pStyle w:val="TextBody"/>
        <w:bidi w:val="0"/>
        <w:spacing w:before="0" w:after="0"/>
        <w:ind w:left="0" w:right="0" w:hanging="0"/>
        <w:jc w:val="left"/>
        <w:rPr/>
      </w:pPr>
      <w:r>
        <w:rPr/>
        <w:t>​</w:t>
      </w:r>
    </w:p>
    <w:tbl>
      <w:tblPr>
        <w:tblW w:w="9537" w:type="dxa"/>
        <w:jc w:val="left"/>
        <w:tblInd w:w="0" w:type="dxa"/>
        <w:tblLayout w:type="fixed"/>
        <w:tblCellMar>
          <w:top w:w="0" w:type="dxa"/>
          <w:left w:w="0" w:type="dxa"/>
          <w:bottom w:w="0" w:type="dxa"/>
          <w:right w:w="0" w:type="dxa"/>
        </w:tblCellMar>
      </w:tblPr>
      <w:tblGrid>
        <w:gridCol w:w="1306"/>
        <w:gridCol w:w="286"/>
        <w:gridCol w:w="109"/>
        <w:gridCol w:w="109"/>
        <w:gridCol w:w="7366"/>
        <w:gridCol w:w="361"/>
      </w:tblGrid>
      <w:tr>
        <w:trPr/>
        <w:tc>
          <w:tcPr>
            <w:tcW w:w="1306" w:type="dxa"/>
            <w:tcBorders/>
            <w:vAlign w:val="center"/>
          </w:tcPr>
          <w:p>
            <w:pPr>
              <w:pStyle w:val="TableContents"/>
              <w:bidi w:val="0"/>
              <w:spacing w:before="0" w:after="0"/>
              <w:ind w:left="0" w:right="0" w:hanging="0"/>
              <w:jc w:val="left"/>
              <w:rPr/>
            </w:pPr>
            <w:hyperlink w:anchor="ITEM1">
              <w:r>
                <w:rPr>
                  <w:rStyle w:val="InternetLink"/>
                  <w:rFonts w:ascii="Times New Roman;Times;serif" w:hAnsi="Times New Roman;Times;serif"/>
                  <w:b w:val="false"/>
                  <w:i w:val="false"/>
                  <w:caps w:val="false"/>
                  <w:smallCaps w:val="false"/>
                  <w:sz w:val="20"/>
                </w:rPr>
                <w:t>PART I.</w:t>
              </w:r>
            </w:hyperlink>
          </w:p>
        </w:tc>
        <w:tc>
          <w:tcPr>
            <w:tcW w:w="286" w:type="dxa"/>
            <w:tcBorders/>
            <w:vAlign w:val="center"/>
          </w:tcPr>
          <w:p>
            <w:pPr>
              <w:pStyle w:val="TableContents"/>
              <w:bidi w:val="0"/>
              <w:spacing w:before="0" w:after="0"/>
              <w:ind w:left="0" w:right="0" w:hanging="0"/>
              <w:jc w:val="left"/>
              <w:rPr/>
            </w:pPr>
            <w:r>
              <w:rPr/>
              <w:t>  ​ ​</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ITEM1">
              <w:r>
                <w:rPr>
                  <w:rStyle w:val="InternetLink"/>
                  <w:rFonts w:ascii="Times New Roman;Times;serif" w:hAnsi="Times New Roman;Times;serif"/>
                  <w:b w:val="false"/>
                  <w:i w:val="false"/>
                  <w:caps w:val="false"/>
                  <w:smallCaps w:val="false"/>
                  <w:sz w:val="20"/>
                </w:rPr>
                <w:t>FINANCIAL INFORMATION</w:t>
              </w:r>
            </w:hyperlink>
          </w:p>
        </w:tc>
        <w:tc>
          <w:tcPr>
            <w:tcW w:w="361" w:type="dxa"/>
            <w:tcBorders/>
            <w:vAlign w:val="center"/>
          </w:tcPr>
          <w:p>
            <w:pPr>
              <w:pStyle w:val="TableContents"/>
              <w:bidi w:val="0"/>
              <w:spacing w:before="0" w:after="0"/>
              <w:ind w:left="0" w:right="0" w:hanging="0"/>
              <w:jc w:val="right"/>
              <w:rPr/>
            </w:pPr>
            <w:r>
              <w:rPr/>
              <w:t>​</w:t>
            </w:r>
          </w:p>
          <w:p>
            <w:pPr>
              <w:pStyle w:val="TableContents"/>
              <w:bidi w:val="0"/>
              <w:spacing w:before="0" w:after="0"/>
              <w:ind w:left="0" w:right="0" w:hanging="0"/>
              <w:jc w:val="right"/>
              <w:rPr/>
            </w:pPr>
            <w:r>
              <w:rPr/>
              <w:t>​</w:t>
            </w:r>
          </w:p>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130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1306" w:type="dxa"/>
            <w:tcBorders/>
            <w:vAlign w:val="center"/>
          </w:tcPr>
          <w:p>
            <w:pPr>
              <w:pStyle w:val="TableContents"/>
              <w:bidi w:val="0"/>
              <w:spacing w:before="0" w:after="0"/>
              <w:ind w:left="0" w:right="0" w:hanging="0"/>
              <w:jc w:val="left"/>
              <w:rPr/>
            </w:pPr>
            <w:hyperlink w:anchor="ITEM1">
              <w:r>
                <w:rPr>
                  <w:rStyle w:val="InternetLink"/>
                  <w:rFonts w:ascii="Times New Roman;Times;serif" w:hAnsi="Times New Roman;Times;serif"/>
                  <w:b w:val="false"/>
                  <w:i w:val="false"/>
                  <w:caps w:val="false"/>
                  <w:smallCaps w:val="false"/>
                  <w:sz w:val="20"/>
                </w:rPr>
                <w:t>Item 1.</w:t>
              </w:r>
            </w:hyperlink>
          </w:p>
        </w:tc>
        <w:tc>
          <w:tcPr>
            <w:tcW w:w="2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ITEM1">
              <w:r>
                <w:rPr>
                  <w:rStyle w:val="InternetLink"/>
                  <w:rFonts w:ascii="Times New Roman;Times;serif" w:hAnsi="Times New Roman;Times;serif"/>
                  <w:b w:val="false"/>
                  <w:i w:val="false"/>
                  <w:caps w:val="false"/>
                  <w:smallCaps w:val="false"/>
                  <w:sz w:val="20"/>
                </w:rPr>
                <w:t>Financial Statements (Unaudited)</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130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130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BALANCESHEETS">
              <w:r>
                <w:rPr>
                  <w:rStyle w:val="InternetLink"/>
                  <w:rFonts w:ascii="Times New Roman;Times;serif" w:hAnsi="Times New Roman;Times;serif"/>
                  <w:b w:val="false"/>
                  <w:i w:val="false"/>
                  <w:caps w:val="false"/>
                  <w:smallCaps w:val="false"/>
                  <w:sz w:val="20"/>
                </w:rPr>
                <w:t>Consolidated Balance Sheets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130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130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STATEMENTSOFINCOME">
              <w:r>
                <w:rPr>
                  <w:rStyle w:val="InternetLink"/>
                  <w:rFonts w:ascii="Times New Roman;Times;serif" w:hAnsi="Times New Roman;Times;serif"/>
                  <w:b w:val="false"/>
                  <w:i w:val="false"/>
                  <w:caps w:val="false"/>
                  <w:smallCaps w:val="false"/>
                  <w:sz w:val="20"/>
                </w:rPr>
                <w:t>Consolidated Statements of Income</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130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130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COMPREHENSIVEINCOME">
              <w:r>
                <w:rPr>
                  <w:rStyle w:val="InternetLink"/>
                  <w:rFonts w:ascii="Times New Roman;Times;serif" w:hAnsi="Times New Roman;Times;serif"/>
                  <w:b w:val="false"/>
                  <w:i w:val="false"/>
                  <w:caps w:val="false"/>
                  <w:smallCaps w:val="false"/>
                  <w:sz w:val="20"/>
                </w:rPr>
                <w:t>Consolidated Statements of Comprehensive Income</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130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130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STOCKHOLDERSEQUITY">
              <w:r>
                <w:rPr>
                  <w:rStyle w:val="InternetLink"/>
                  <w:rFonts w:ascii="Times New Roman;Times;serif" w:hAnsi="Times New Roman;Times;serif"/>
                  <w:b w:val="false"/>
                  <w:i w:val="false"/>
                  <w:caps w:val="false"/>
                  <w:smallCaps w:val="false"/>
                  <w:sz w:val="20"/>
                </w:rPr>
                <w:t>Consolidated Statements of Stockholders’ Equity</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130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130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CASHFLOWS">
              <w:r>
                <w:rPr>
                  <w:rStyle w:val="InternetLink"/>
                  <w:rFonts w:ascii="Times New Roman;Times;serif" w:hAnsi="Times New Roman;Times;serif"/>
                  <w:b w:val="false"/>
                  <w:i w:val="false"/>
                  <w:caps w:val="false"/>
                  <w:smallCaps w:val="false"/>
                  <w:sz w:val="20"/>
                </w:rPr>
                <w:t xml:space="preserve">Consolidated Statements of Cash Flows </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130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130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FINANCIALSTATEMENTS">
              <w:r>
                <w:rPr>
                  <w:rStyle w:val="InternetLink"/>
                  <w:rFonts w:ascii="Times New Roman;Times;serif" w:hAnsi="Times New Roman;Times;serif"/>
                  <w:b w:val="false"/>
                  <w:i w:val="false"/>
                  <w:caps w:val="false"/>
                  <w:smallCaps w:val="false"/>
                  <w:sz w:val="20"/>
                </w:rPr>
                <w:t>Condensed Notes to Consolidated Financial Statements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130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1306" w:type="dxa"/>
            <w:tcBorders/>
            <w:vAlign w:val="center"/>
          </w:tcPr>
          <w:p>
            <w:pPr>
              <w:pStyle w:val="TableContents"/>
              <w:bidi w:val="0"/>
              <w:spacing w:before="0" w:after="0"/>
              <w:ind w:left="0" w:right="0" w:hanging="0"/>
              <w:jc w:val="left"/>
              <w:rPr/>
            </w:pPr>
            <w:hyperlink w:anchor="MD_A">
              <w:r>
                <w:rPr>
                  <w:rStyle w:val="InternetLink"/>
                  <w:rFonts w:ascii="Times New Roman;Times;serif" w:hAnsi="Times New Roman;Times;serif"/>
                  <w:b w:val="false"/>
                  <w:i w:val="false"/>
                  <w:caps w:val="false"/>
                  <w:smallCaps w:val="false"/>
                  <w:sz w:val="20"/>
                </w:rPr>
                <w:t>Item 2.</w:t>
              </w:r>
            </w:hyperlink>
          </w:p>
        </w:tc>
        <w:tc>
          <w:tcPr>
            <w:tcW w:w="2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MD_A">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130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1306" w:type="dxa"/>
            <w:tcBorders/>
            <w:vAlign w:val="center"/>
          </w:tcPr>
          <w:p>
            <w:pPr>
              <w:pStyle w:val="TableContents"/>
              <w:bidi w:val="0"/>
              <w:spacing w:before="0" w:after="0"/>
              <w:ind w:left="0" w:right="0" w:hanging="0"/>
              <w:jc w:val="left"/>
              <w:rPr/>
            </w:pPr>
            <w:hyperlink w:anchor="ITEM3">
              <w:r>
                <w:rPr>
                  <w:rStyle w:val="InternetLink"/>
                  <w:rFonts w:ascii="Times New Roman;Times;serif" w:hAnsi="Times New Roman;Times;serif"/>
                  <w:b w:val="false"/>
                  <w:i w:val="false"/>
                  <w:caps w:val="false"/>
                  <w:smallCaps w:val="false"/>
                  <w:sz w:val="20"/>
                </w:rPr>
                <w:t>Item 3.</w:t>
              </w:r>
            </w:hyperlink>
          </w:p>
        </w:tc>
        <w:tc>
          <w:tcPr>
            <w:tcW w:w="2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ITEM3">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130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1306" w:type="dxa"/>
            <w:tcBorders/>
            <w:vAlign w:val="center"/>
          </w:tcPr>
          <w:p>
            <w:pPr>
              <w:pStyle w:val="TableContents"/>
              <w:bidi w:val="0"/>
              <w:spacing w:before="0" w:after="0"/>
              <w:ind w:left="0" w:right="0" w:hanging="0"/>
              <w:jc w:val="left"/>
              <w:rPr/>
            </w:pPr>
            <w:hyperlink w:anchor="ITEM_4">
              <w:r>
                <w:rPr>
                  <w:rStyle w:val="InternetLink"/>
                  <w:rFonts w:ascii="Times New Roman;Times;serif" w:hAnsi="Times New Roman;Times;serif"/>
                  <w:b w:val="false"/>
                  <w:i w:val="false"/>
                  <w:caps w:val="false"/>
                  <w:smallCaps w:val="false"/>
                  <w:sz w:val="20"/>
                </w:rPr>
                <w:t>Item 4.</w:t>
              </w:r>
            </w:hyperlink>
          </w:p>
        </w:tc>
        <w:tc>
          <w:tcPr>
            <w:tcW w:w="2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_ITEM_4._CONTROLS">
              <w:r>
                <w:rPr>
                  <w:rStyle w:val="InternetLink"/>
                  <w:rFonts w:ascii="Times New Roman;Times;serif" w:hAnsi="Times New Roman;Times;serif"/>
                  <w:b w:val="false"/>
                  <w:i w:val="false"/>
                  <w:caps w:val="false"/>
                  <w:smallCaps w:val="false"/>
                  <w:sz w:val="20"/>
                </w:rPr>
                <w:t>Controls and Procedures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130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1306" w:type="dxa"/>
            <w:tcBorders/>
            <w:vAlign w:val="center"/>
          </w:tcPr>
          <w:p>
            <w:pPr>
              <w:pStyle w:val="TableContents"/>
              <w:bidi w:val="0"/>
              <w:spacing w:before="0" w:after="0"/>
              <w:ind w:left="0" w:right="0" w:hanging="0"/>
              <w:jc w:val="left"/>
              <w:rPr/>
            </w:pPr>
            <w:hyperlink w:anchor="PARTII">
              <w:r>
                <w:rPr>
                  <w:rStyle w:val="InternetLink"/>
                  <w:rFonts w:ascii="Times New Roman;Times;serif" w:hAnsi="Times New Roman;Times;serif"/>
                  <w:b w:val="false"/>
                  <w:i w:val="false"/>
                  <w:caps w:val="false"/>
                  <w:smallCaps w:val="false"/>
                  <w:sz w:val="20"/>
                </w:rPr>
                <w:t>PART II.</w:t>
              </w:r>
            </w:hyperlink>
          </w:p>
        </w:tc>
        <w:tc>
          <w:tcPr>
            <w:tcW w:w="2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PARTII">
              <w:r>
                <w:rPr>
                  <w:rStyle w:val="InternetLink"/>
                  <w:rFonts w:ascii="Times New Roman;Times;serif" w:hAnsi="Times New Roman;Times;serif"/>
                  <w:b w:val="false"/>
                  <w:i w:val="false"/>
                  <w:caps w:val="false"/>
                  <w:smallCaps w:val="false"/>
                  <w:sz w:val="20"/>
                </w:rPr>
                <w:t>OTHER INFORMATION</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130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1306" w:type="dxa"/>
            <w:tcBorders/>
            <w:vAlign w:val="center"/>
          </w:tcPr>
          <w:p>
            <w:pPr>
              <w:pStyle w:val="TableContents"/>
              <w:bidi w:val="0"/>
              <w:spacing w:before="0" w:after="0"/>
              <w:ind w:left="0" w:right="0" w:hanging="0"/>
              <w:jc w:val="left"/>
              <w:rPr/>
            </w:pPr>
            <w:hyperlink w:anchor="ITEM1LEGAL">
              <w:r>
                <w:rPr>
                  <w:rStyle w:val="InternetLink"/>
                  <w:rFonts w:ascii="Times New Roman;Times;serif" w:hAnsi="Times New Roman;Times;serif"/>
                  <w:b w:val="false"/>
                  <w:i w:val="false"/>
                  <w:caps w:val="false"/>
                  <w:smallCaps w:val="false"/>
                  <w:sz w:val="20"/>
                </w:rPr>
                <w:t>Item 1.</w:t>
              </w:r>
            </w:hyperlink>
          </w:p>
        </w:tc>
        <w:tc>
          <w:tcPr>
            <w:tcW w:w="2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ITEM1LEGAL">
              <w:r>
                <w:rPr>
                  <w:rStyle w:val="InternetLink"/>
                  <w:rFonts w:ascii="Times New Roman;Times;serif" w:hAnsi="Times New Roman;Times;serif"/>
                  <w:b w:val="false"/>
                  <w:i w:val="false"/>
                  <w:caps w:val="false"/>
                  <w:smallCaps w:val="false"/>
                  <w:sz w:val="20"/>
                </w:rPr>
                <w:t>Legal Proceedings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130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1306" w:type="dxa"/>
            <w:tcBorders/>
            <w:vAlign w:val="center"/>
          </w:tcPr>
          <w:p>
            <w:pPr>
              <w:pStyle w:val="TableContents"/>
              <w:bidi w:val="0"/>
              <w:spacing w:before="0" w:after="0"/>
              <w:ind w:left="0" w:right="0" w:hanging="0"/>
              <w:jc w:val="left"/>
              <w:rPr/>
            </w:pPr>
            <w:hyperlink w:anchor="Item1ARiskFactors">
              <w:r>
                <w:rPr>
                  <w:rStyle w:val="InternetLink"/>
                  <w:rFonts w:ascii="Times New Roman;Times;serif" w:hAnsi="Times New Roman;Times;serif"/>
                  <w:b w:val="false"/>
                  <w:i w:val="false"/>
                  <w:caps w:val="false"/>
                  <w:smallCaps w:val="false"/>
                  <w:sz w:val="20"/>
                </w:rPr>
                <w:t>Item 1A.</w:t>
              </w:r>
            </w:hyperlink>
          </w:p>
        </w:tc>
        <w:tc>
          <w:tcPr>
            <w:tcW w:w="2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Item1ARiskFactors">
              <w:r>
                <w:rPr>
                  <w:rStyle w:val="InternetLink"/>
                  <w:rFonts w:ascii="Times New Roman;Times;serif" w:hAnsi="Times New Roman;Times;serif"/>
                  <w:b w:val="false"/>
                  <w:i w:val="false"/>
                  <w:caps w:val="false"/>
                  <w:smallCaps w:val="false"/>
                  <w:sz w:val="20"/>
                </w:rPr>
                <w:t>Risk Factors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130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1306" w:type="dxa"/>
            <w:tcBorders/>
            <w:vAlign w:val="center"/>
          </w:tcPr>
          <w:p>
            <w:pPr>
              <w:pStyle w:val="TableContents"/>
              <w:bidi w:val="0"/>
              <w:spacing w:before="0" w:after="0"/>
              <w:ind w:left="0" w:right="0" w:hanging="0"/>
              <w:jc w:val="left"/>
              <w:rPr/>
            </w:pPr>
            <w:hyperlink w:anchor="ITEM5OTHERINFORMATION">
              <w:r>
                <w:rPr>
                  <w:rStyle w:val="InternetLink"/>
                  <w:rFonts w:ascii="Times New Roman;Times;serif" w:hAnsi="Times New Roman;Times;serif"/>
                  <w:b w:val="false"/>
                  <w:i w:val="false"/>
                  <w:caps w:val="false"/>
                  <w:smallCaps w:val="false"/>
                  <w:sz w:val="20"/>
                </w:rPr>
                <w:t>Item 5.</w:t>
              </w:r>
            </w:hyperlink>
          </w:p>
        </w:tc>
        <w:tc>
          <w:tcPr>
            <w:tcW w:w="2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ITEM5OTHERINFORMATION">
              <w:r>
                <w:rPr>
                  <w:rStyle w:val="InternetLink"/>
                  <w:rFonts w:ascii="Times New Roman;Times;serif" w:hAnsi="Times New Roman;Times;serif"/>
                  <w:b w:val="false"/>
                  <w:i w:val="false"/>
                  <w:caps w:val="false"/>
                  <w:smallCaps w:val="false"/>
                  <w:sz w:val="20"/>
                </w:rPr>
                <w:t>Other information</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r>
      <w:tr>
        <w:trPr/>
        <w:tc>
          <w:tcPr>
            <w:tcW w:w="130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1306" w:type="dxa"/>
            <w:tcBorders/>
            <w:vAlign w:val="center"/>
          </w:tcPr>
          <w:p>
            <w:pPr>
              <w:pStyle w:val="TableContents"/>
              <w:bidi w:val="0"/>
              <w:spacing w:before="0" w:after="0"/>
              <w:ind w:left="0" w:right="0" w:hanging="0"/>
              <w:jc w:val="left"/>
              <w:rPr/>
            </w:pPr>
            <w:hyperlink w:anchor="ITEM6">
              <w:r>
                <w:rPr>
                  <w:rStyle w:val="InternetLink"/>
                  <w:rFonts w:ascii="Times New Roman;Times;serif" w:hAnsi="Times New Roman;Times;serif"/>
                  <w:b w:val="false"/>
                  <w:i w:val="false"/>
                  <w:caps w:val="false"/>
                  <w:smallCaps w:val="false"/>
                  <w:sz w:val="20"/>
                </w:rPr>
                <w:t>Item 6.</w:t>
              </w:r>
            </w:hyperlink>
          </w:p>
        </w:tc>
        <w:tc>
          <w:tcPr>
            <w:tcW w:w="2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ITEM6">
              <w:r>
                <w:rPr>
                  <w:rStyle w:val="InternetLink"/>
                  <w:rFonts w:ascii="Times New Roman;Times;serif" w:hAnsi="Times New Roman;Times;serif"/>
                  <w:b w:val="false"/>
                  <w:i w:val="false"/>
                  <w:caps w:val="false"/>
                  <w:smallCaps w:val="false"/>
                  <w:sz w:val="20"/>
                </w:rPr>
                <w:t>Exhibits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r>
      <w:tr>
        <w:trPr/>
        <w:tc>
          <w:tcPr>
            <w:tcW w:w="130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1306" w:type="dxa"/>
            <w:tcBorders/>
            <w:vAlign w:val="center"/>
          </w:tcPr>
          <w:p>
            <w:pPr>
              <w:pStyle w:val="TableContents"/>
              <w:bidi w:val="0"/>
              <w:spacing w:before="0" w:after="0"/>
              <w:ind w:left="0" w:right="0" w:hanging="0"/>
              <w:jc w:val="left"/>
              <w:rPr/>
            </w:pPr>
            <w:hyperlink w:anchor="SIGNATURES">
              <w:r>
                <w:rPr>
                  <w:rStyle w:val="InternetLink"/>
                  <w:rFonts w:ascii="Times New Roman;Times;serif" w:hAnsi="Times New Roman;Times;serif"/>
                  <w:b w:val="false"/>
                  <w:i w:val="false"/>
                  <w:caps w:val="false"/>
                  <w:smallCaps w:val="false"/>
                  <w:sz w:val="20"/>
                </w:rPr>
                <w:t>SIGNATURES</w:t>
              </w:r>
            </w:hyperlink>
          </w:p>
        </w:tc>
        <w:tc>
          <w:tcPr>
            <w:tcW w:w="286" w:type="dxa"/>
            <w:tcBorders/>
            <w:vAlign w:val="center"/>
          </w:tcPr>
          <w:p>
            <w:pPr>
              <w:pStyle w:val="TableContents"/>
              <w:bidi w:val="0"/>
              <w:spacing w:before="0" w:after="0"/>
              <w:ind w:left="0" w:right="0" w:hanging="0"/>
              <w:jc w:val="left"/>
              <w:rPr/>
            </w:pPr>
            <w:r>
              <w:rPr/>
              <w:t>​</w:t>
            </w:r>
          </w:p>
        </w:tc>
        <w:tc>
          <w:tcPr>
            <w:tcW w:w="218" w:type="dxa"/>
            <w:gridSpan w:val="2"/>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0" w:right="0" w:hanging="0"/>
        <w:jc w:val="center"/>
        <w:rPr>
          <w:rFonts w:ascii="Times New Roman;Times;serif" w:hAnsi="Times New Roman;Times;serif"/>
          <w:b/>
          <w:sz w:val="20"/>
        </w:rPr>
      </w:pPr>
      <w:bookmarkStart w:id="29" w:name="_997a6770_2fb4_4e4b_aeba_140e0f229c11"/>
      <w:bookmarkEnd w:id="29"/>
      <w:r>
        <w:rPr>
          <w:rFonts w:ascii="Times New Roman;Times;serif" w:hAnsi="Times New Roman;Times;serif"/>
          <w:b/>
          <w:sz w:val="20"/>
        </w:rPr>
        <w:t>PART I - FINANCIAL INFORMATION</w:t>
      </w:r>
    </w:p>
    <w:p>
      <w:pPr>
        <w:pStyle w:val="TextBody"/>
        <w:bidi w:val="0"/>
        <w:spacing w:before="0" w:after="160"/>
        <w:ind w:left="0" w:right="0" w:hanging="0"/>
        <w:jc w:val="left"/>
        <w:rPr>
          <w:rFonts w:ascii="Times New Roman;Times;serif" w:hAnsi="Times New Roman;Times;serif"/>
          <w:b/>
          <w:sz w:val="20"/>
        </w:rPr>
      </w:pPr>
      <w:bookmarkStart w:id="30" w:name="ITEM1"/>
      <w:bookmarkEnd w:id="30"/>
      <w:r>
        <w:rPr>
          <w:rFonts w:ascii="Times New Roman;Times;serif" w:hAnsi="Times New Roman;Times;serif"/>
          <w:b/>
          <w:sz w:val="20"/>
        </w:rPr>
        <w:t>ITEM 1.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MERIT MEDICAL SYSTEMS, INC. AND SUBSIDIARIES</w:t>
      </w:r>
    </w:p>
    <w:p>
      <w:pPr>
        <w:pStyle w:val="TextBody"/>
        <w:bidi w:val="0"/>
        <w:spacing w:before="0" w:after="0"/>
        <w:ind w:left="0" w:right="0" w:hanging="0"/>
        <w:jc w:val="center"/>
        <w:rPr>
          <w:rFonts w:ascii="Times New Roman;Times;serif" w:hAnsi="Times New Roman;Times;serif"/>
          <w:b/>
          <w:sz w:val="20"/>
        </w:rPr>
      </w:pPr>
      <w:bookmarkStart w:id="31" w:name="BALANCESHEETS"/>
      <w:bookmarkEnd w:id="31"/>
      <w:r>
        <w:rPr>
          <w:rFonts w:ascii="Times New Roman;Times;serif" w:hAnsi="Times New Roman;Times;serif"/>
          <w:b/>
          <w:sz w:val="20"/>
        </w:rPr>
        <w:t>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2" w:name="Tc_Ox2pSXA_E06Ahv69aZ2MYg_35_5"/>
      <w:bookmarkStart w:id="33" w:name="Tc_uWYynZb4bUeAPnqco1dfhA_35_2"/>
      <w:bookmarkStart w:id="34" w:name="Tc_P7dDzQDvcESGqQbF-XxdAg_35_0"/>
      <w:bookmarkStart w:id="35" w:name="Tc_Zq0KhguaHUusipIfJgU_Rg_33_0"/>
      <w:bookmarkStart w:id="36" w:name="Tc_wEv3HUSrKUSF-FDQS_UmOw_32_0"/>
      <w:bookmarkStart w:id="37" w:name="Tc_LjZhTIrrpEy8U_CtLBzmcg_31_0"/>
      <w:bookmarkStart w:id="38" w:name="Tc_XL8NNM9qR0O_ciZ2gGfGYw_30_0"/>
      <w:bookmarkStart w:id="39" w:name="Tc_mFYpoNhi_EKdBk2XI3hIXw_29_0"/>
      <w:bookmarkStart w:id="40" w:name="Tc_t9YbDZDk3UGv39l8VX_RjA_28_0"/>
      <w:bookmarkStart w:id="41" w:name="Tc_2mOZEInh_Uqvld7J7DlYAA_27_0"/>
      <w:bookmarkStart w:id="42" w:name="Tc_S_A8HurZ_ESXluKswRtu3A_26_0"/>
      <w:bookmarkStart w:id="43" w:name="Tc_nv0k5iqrwka-8kP3tSgDeA_25_0"/>
      <w:bookmarkStart w:id="44" w:name="Tc_MJoI-GKhM0mc_SQNQ5XrLw_23_0"/>
      <w:bookmarkStart w:id="45" w:name="Tc_ZXp-KdPYg0qOJds_fvU7sw_22_0"/>
      <w:bookmarkStart w:id="46" w:name="Tc_T1ey3x2iRkasZm2CJAFkmA_21_0"/>
      <w:bookmarkStart w:id="47" w:name="Tc_1X8XGIOdukSbjrbl1FjNxw_20_0"/>
      <w:bookmarkStart w:id="48" w:name="Tc_NC-4UrMvKUad4rUBiASTVA_19_0"/>
      <w:bookmarkStart w:id="49" w:name="Tc_DEbDDNEJlke_8OoOS_BsiA_18_0"/>
      <w:bookmarkStart w:id="50" w:name="Tc_IZdnyr_UTkqWEVVik3cQEQ_17_0"/>
      <w:bookmarkStart w:id="51" w:name="Tc_kWR84z5yfUG0SQfuu1PPvw_16_0"/>
      <w:bookmarkStart w:id="52" w:name="Tc_ERVShmlJJ0SOvBgqaRLcJQ_15_0"/>
      <w:bookmarkStart w:id="53" w:name="Tc_PudOzxw1p0O3toKrRrghaQ_14_0"/>
      <w:bookmarkStart w:id="54" w:name="Tc_G5r0HYoNXEuYQ8GOcwM-dA_12_0"/>
      <w:bookmarkStart w:id="55" w:name="Tc_eN54R0xgLkeWL5L4FtqJmQ_11_0"/>
      <w:bookmarkStart w:id="56" w:name="Tc_0chJYQUUbU6eboc3RJsdhg_10_0"/>
      <w:bookmarkStart w:id="57" w:name="Tc_X_pzThiAk0CYT9pBHA0F-Q_9_0"/>
      <w:bookmarkStart w:id="58" w:name="Tc_IviItIZJykmCsLJSDult9Q_8_0"/>
      <w:bookmarkStart w:id="59" w:name="Tc_Dci56unGeUSsI4NaGAMUrA_7_0"/>
      <w:bookmarkStart w:id="60" w:name="Tc_idxU7f7t8Uio_GOtb4hNDQ_6_0"/>
      <w:bookmarkStart w:id="61" w:name="Tc_Or54q4ERe0CiG55RaSP1Qw_5_5"/>
      <w:bookmarkStart w:id="62" w:name="Tc_QNANEHAv2Ue9cJDI94LrhQ_5_2"/>
      <w:bookmarkStart w:id="63" w:name="Tc_P2_NwC7lIUmww-rlGHlJBQ_5_0"/>
      <w:bookmarkStart w:id="64" w:name="Tc_UMqt_8AXUEmBdzW_G3-jyw_4_0"/>
      <w:bookmarkStart w:id="65" w:name="Tc_jgP86eeqakmZgSRrq-r5cg_3_3"/>
      <w:bookmarkStart w:id="66" w:name="Tc_8QmtuKSSukmhzcjlSXjzuQ_2_5"/>
      <w:bookmarkStart w:id="67" w:name="Tc_bPUX168Fwk2tzOOvphdofA_2_2"/>
      <w:bookmarkStart w:id="68" w:name="Tc_MMmN8q3jtUuraejTqExwYg_2_0"/>
      <w:bookmarkStart w:id="69" w:name="Tc_Nyq4M7QqwE2Wuu5I6UbPpQ_1_5"/>
      <w:bookmarkStart w:id="70" w:name="Tc_IrT0482VJkGGcY-X1czyGA_1_2"/>
      <w:bookmarkStart w:id="71" w:name="_a915eec3_ea72_4190_8eb5_03019e5da4aa"/>
      <w:bookmarkStart w:id="72" w:name="Tc_Ox2pSXA_E06Ahv69aZ2MYg_35_5"/>
      <w:bookmarkStart w:id="73" w:name="Tc_uWYynZb4bUeAPnqco1dfhA_35_2"/>
      <w:bookmarkStart w:id="74" w:name="Tc_P7dDzQDvcESGqQbF-XxdAg_35_0"/>
      <w:bookmarkStart w:id="75" w:name="Tc_Zq0KhguaHUusipIfJgU_Rg_33_0"/>
      <w:bookmarkStart w:id="76" w:name="Tc_wEv3HUSrKUSF-FDQS_UmOw_32_0"/>
      <w:bookmarkStart w:id="77" w:name="Tc_LjZhTIrrpEy8U_CtLBzmcg_31_0"/>
      <w:bookmarkStart w:id="78" w:name="Tc_XL8NNM9qR0O_ciZ2gGfGYw_30_0"/>
      <w:bookmarkStart w:id="79" w:name="Tc_mFYpoNhi_EKdBk2XI3hIXw_29_0"/>
      <w:bookmarkStart w:id="80" w:name="Tc_t9YbDZDk3UGv39l8VX_RjA_28_0"/>
      <w:bookmarkStart w:id="81" w:name="Tc_2mOZEInh_Uqvld7J7DlYAA_27_0"/>
      <w:bookmarkStart w:id="82" w:name="Tc_S_A8HurZ_ESXluKswRtu3A_26_0"/>
      <w:bookmarkStart w:id="83" w:name="Tc_nv0k5iqrwka-8kP3tSgDeA_25_0"/>
      <w:bookmarkStart w:id="84" w:name="Tc_MJoI-GKhM0mc_SQNQ5XrLw_23_0"/>
      <w:bookmarkStart w:id="85" w:name="Tc_ZXp-KdPYg0qOJds_fvU7sw_22_0"/>
      <w:bookmarkStart w:id="86" w:name="Tc_T1ey3x2iRkasZm2CJAFkmA_21_0"/>
      <w:bookmarkStart w:id="87" w:name="Tc_1X8XGIOdukSbjrbl1FjNxw_20_0"/>
      <w:bookmarkStart w:id="88" w:name="Tc_NC-4UrMvKUad4rUBiASTVA_19_0"/>
      <w:bookmarkStart w:id="89" w:name="Tc_DEbDDNEJlke_8OoOS_BsiA_18_0"/>
      <w:bookmarkStart w:id="90" w:name="Tc_IZdnyr_UTkqWEVVik3cQEQ_17_0"/>
      <w:bookmarkStart w:id="91" w:name="Tc_kWR84z5yfUG0SQfuu1PPvw_16_0"/>
      <w:bookmarkStart w:id="92" w:name="Tc_ERVShmlJJ0SOvBgqaRLcJQ_15_0"/>
      <w:bookmarkStart w:id="93" w:name="Tc_PudOzxw1p0O3toKrRrghaQ_14_0"/>
      <w:bookmarkStart w:id="94" w:name="Tc_G5r0HYoNXEuYQ8GOcwM-dA_12_0"/>
      <w:bookmarkStart w:id="95" w:name="Tc_eN54R0xgLkeWL5L4FtqJmQ_11_0"/>
      <w:bookmarkStart w:id="96" w:name="Tc_0chJYQUUbU6eboc3RJsdhg_10_0"/>
      <w:bookmarkStart w:id="97" w:name="Tc_X_pzThiAk0CYT9pBHA0F-Q_9_0"/>
      <w:bookmarkStart w:id="98" w:name="Tc_IviItIZJykmCsLJSDult9Q_8_0"/>
      <w:bookmarkStart w:id="99" w:name="Tc_Dci56unGeUSsI4NaGAMUrA_7_0"/>
      <w:bookmarkStart w:id="100" w:name="Tc_idxU7f7t8Uio_GOtb4hNDQ_6_0"/>
      <w:bookmarkStart w:id="101" w:name="Tc_Or54q4ERe0CiG55RaSP1Qw_5_5"/>
      <w:bookmarkStart w:id="102" w:name="Tc_QNANEHAv2Ue9cJDI94LrhQ_5_2"/>
      <w:bookmarkStart w:id="103" w:name="Tc_P2_NwC7lIUmww-rlGHlJBQ_5_0"/>
      <w:bookmarkStart w:id="104" w:name="Tc_UMqt_8AXUEmBdzW_G3-jyw_4_0"/>
      <w:bookmarkStart w:id="105" w:name="Tc_jgP86eeqakmZgSRrq-r5cg_3_3"/>
      <w:bookmarkStart w:id="106" w:name="Tc_8QmtuKSSukmhzcjlSXjzuQ_2_5"/>
      <w:bookmarkStart w:id="107" w:name="Tc_bPUX168Fwk2tzOOvphdofA_2_2"/>
      <w:bookmarkStart w:id="108" w:name="Tc_MMmN8q3jtUuraejTqExwYg_2_0"/>
      <w:bookmarkStart w:id="109" w:name="Tc_Nyq4M7QqwE2Wuu5I6UbPpQ_1_5"/>
      <w:bookmarkStart w:id="110" w:name="Tc_IrT0482VJkGGcY-X1czyGA_1_2"/>
      <w:bookmarkStart w:id="111" w:name="_a915eec3_ea72_4190_8eb5_03019e5da4aa"/>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p>
    <w:tbl>
      <w:tblPr>
        <w:tblW w:w="10205" w:type="dxa"/>
        <w:jc w:val="left"/>
        <w:tblInd w:w="0" w:type="dxa"/>
        <w:tblLayout w:type="fixed"/>
        <w:tblCellMar>
          <w:top w:w="0" w:type="dxa"/>
          <w:left w:w="0" w:type="dxa"/>
          <w:bottom w:w="0" w:type="dxa"/>
          <w:right w:w="0" w:type="dxa"/>
        </w:tblCellMar>
      </w:tblPr>
      <w:tblGrid>
        <w:gridCol w:w="7124"/>
        <w:gridCol w:w="346"/>
        <w:gridCol w:w="211"/>
        <w:gridCol w:w="931"/>
        <w:gridCol w:w="346"/>
        <w:gridCol w:w="211"/>
        <w:gridCol w:w="1036"/>
      </w:tblGrid>
      <w:tr>
        <w:trPr/>
        <w:tc>
          <w:tcPr>
            <w:tcW w:w="7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4523740" cy="175260"/>
                      <wp:effectExtent l="0" t="0" r="0" b="0"/>
                      <wp:wrapNone/>
                      <wp:docPr id="2" name="Frame1"/>
                      <a:graphic xmlns:a="http://schemas.openxmlformats.org/drawingml/2006/main">
                        <a:graphicData uri="http://schemas.microsoft.com/office/word/2010/wordprocessingShape">
                          <wps:wsp>
                            <wps:cNvSpPr txBox="1"/>
                            <wps:spPr>
                              <a:xfrm>
                                <a:off x="0" y="0"/>
                                <a:ext cx="4523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19710" cy="175260"/>
                      <wp:effectExtent l="0" t="0" r="0" b="0"/>
                      <wp:wrapNone/>
                      <wp:docPr id="3" name="Frame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33985" cy="175260"/>
                      <wp:effectExtent l="0" t="0" r="0" b="0"/>
                      <wp:wrapNone/>
                      <wp:docPr id="4" name="Frame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591185" cy="175260"/>
                      <wp:effectExtent l="0" t="0" r="0" b="0"/>
                      <wp:wrapNone/>
                      <wp:docPr id="5" name="Frame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19710" cy="175260"/>
                      <wp:effectExtent l="0" t="0" r="0" b="0"/>
                      <wp:wrapNone/>
                      <wp:docPr id="6" name="Frame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33985" cy="175260"/>
                      <wp:effectExtent l="0" t="0" r="0" b="0"/>
                      <wp:wrapNone/>
                      <wp:docPr id="7" name="Frame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57860" cy="175260"/>
                      <wp:effectExtent l="0" t="0" r="0" b="0"/>
                      <wp:wrapNone/>
                      <wp:docPr id="8" name="Frame7"/>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  ​ ​ ​</w:t>
            </w:r>
          </w:p>
        </w:tc>
        <w:tc>
          <w:tcPr>
            <w:tcW w:w="12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712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12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93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(unaudited)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036" w:type="dxa"/>
            <w:tcBorders/>
            <w:shd w:fill="CCEEFF" w:val="clear"/>
            <w:vAlign w:val="center"/>
          </w:tcPr>
          <w:p>
            <w:pPr>
              <w:pStyle w:val="TableContents"/>
              <w:bidi w:val="0"/>
              <w:spacing w:before="0" w:after="0"/>
              <w:ind w:left="0" w:right="0" w:hanging="0"/>
              <w:jc w:val="center"/>
              <w:rPr/>
            </w:pPr>
            <w:r>
              <w:rPr/>
              <w:t>​</w:t>
            </w:r>
          </w:p>
        </w:tc>
      </w:tr>
      <w:tr>
        <w:trPr/>
        <w:tc>
          <w:tcPr>
            <w:tcW w:w="71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  ​</w:t>
            </w:r>
          </w:p>
        </w:tc>
      </w:tr>
      <w:tr>
        <w:trPr/>
        <w:tc>
          <w:tcPr>
            <w:tcW w:w="71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448,699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446,404</w:t>
            </w:r>
          </w:p>
        </w:tc>
      </w:tr>
      <w:tr>
        <w:trPr/>
        <w:tc>
          <w:tcPr>
            <w:tcW w:w="71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 receivables — net of allowance for credit losses — 2026 — $10,894 and 2025 — $10,136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224,237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203,710</w:t>
            </w:r>
          </w:p>
        </w:tc>
      </w:tr>
      <w:tr>
        <w:trPr/>
        <w:tc>
          <w:tcPr>
            <w:tcW w:w="71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receivables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23,960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17,773</w:t>
            </w:r>
          </w:p>
        </w:tc>
      </w:tr>
      <w:tr>
        <w:trPr/>
        <w:tc>
          <w:tcPr>
            <w:tcW w:w="71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374,112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333,705</w:t>
            </w:r>
          </w:p>
        </w:tc>
      </w:tr>
      <w:tr>
        <w:trPr/>
        <w:tc>
          <w:tcPr>
            <w:tcW w:w="71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33,496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31,493</w:t>
            </w:r>
          </w:p>
        </w:tc>
      </w:tr>
      <w:tr>
        <w:trPr/>
        <w:tc>
          <w:tcPr>
            <w:tcW w:w="71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income taxes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5,033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4,941</w:t>
            </w:r>
          </w:p>
        </w:tc>
      </w:tr>
      <w:tr>
        <w:trPr/>
        <w:tc>
          <w:tcPr>
            <w:tcW w:w="71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refund receivables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2,128</w:t>
            </w:r>
          </w:p>
        </w:tc>
      </w:tr>
      <w:tr>
        <w:trPr/>
        <w:tc>
          <w:tcPr>
            <w:tcW w:w="71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1,112,238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1,040,154</w:t>
            </w:r>
          </w:p>
        </w:tc>
      </w:tr>
      <w:tr>
        <w:trPr/>
        <w:tc>
          <w:tcPr>
            <w:tcW w:w="712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r>
      <w:tr>
        <w:trPr/>
        <w:tc>
          <w:tcPr>
            <w:tcW w:w="71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r>
      <w:tr>
        <w:trPr/>
        <w:tc>
          <w:tcPr>
            <w:tcW w:w="71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Land and land improvements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30,356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30,465</w:t>
            </w:r>
          </w:p>
        </w:tc>
      </w:tr>
      <w:tr>
        <w:trPr/>
        <w:tc>
          <w:tcPr>
            <w:tcW w:w="71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Buildings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199,542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200,046</w:t>
            </w:r>
          </w:p>
        </w:tc>
      </w:tr>
      <w:tr>
        <w:trPr/>
        <w:tc>
          <w:tcPr>
            <w:tcW w:w="71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Manufacturing equipment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371,300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365,277</w:t>
            </w:r>
          </w:p>
        </w:tc>
      </w:tr>
      <w:tr>
        <w:trPr/>
        <w:tc>
          <w:tcPr>
            <w:tcW w:w="71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Furniture and fixtures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62,754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60,883</w:t>
            </w:r>
          </w:p>
        </w:tc>
      </w:tr>
      <w:tr>
        <w:trPr/>
        <w:tc>
          <w:tcPr>
            <w:tcW w:w="71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Leasehold improvements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66,434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65,236</w:t>
            </w:r>
          </w:p>
        </w:tc>
      </w:tr>
      <w:tr>
        <w:trPr/>
        <w:tc>
          <w:tcPr>
            <w:tcW w:w="71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Construction-in-progress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96,703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82,939</w:t>
            </w:r>
          </w:p>
        </w:tc>
      </w:tr>
      <w:tr>
        <w:trPr/>
        <w:tc>
          <w:tcPr>
            <w:tcW w:w="71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property and equipment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827,089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804,846</w:t>
            </w:r>
          </w:p>
        </w:tc>
      </w:tr>
      <w:tr>
        <w:trPr/>
        <w:tc>
          <w:tcPr>
            <w:tcW w:w="71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depreciation</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(390,340)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(376,445)</w:t>
            </w:r>
          </w:p>
        </w:tc>
      </w:tr>
      <w:tr>
        <w:trPr/>
        <w:tc>
          <w:tcPr>
            <w:tcW w:w="71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436,749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428,401</w:t>
            </w:r>
          </w:p>
        </w:tc>
      </w:tr>
      <w:tr>
        <w:trPr/>
        <w:tc>
          <w:tcPr>
            <w:tcW w:w="7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71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  ​</w:t>
            </w:r>
          </w:p>
        </w:tc>
      </w:tr>
      <w:tr>
        <w:trPr/>
        <w:tc>
          <w:tcPr>
            <w:tcW w:w="71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r>
      <w:tr>
        <w:trPr/>
        <w:tc>
          <w:tcPr>
            <w:tcW w:w="71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Developed technology — net of accumulated amortization — 2026 — $472,669 and 2025 — $452,525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540,979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465,940</w:t>
            </w:r>
          </w:p>
        </w:tc>
      </w:tr>
      <w:tr>
        <w:trPr/>
        <w:tc>
          <w:tcPr>
            <w:tcW w:w="71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 net of accumulated amortization — 2026 — $98,350 and 2025 — $96,436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71,047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71,714</w:t>
            </w:r>
          </w:p>
        </w:tc>
      </w:tr>
      <w:tr>
        <w:trPr/>
        <w:tc>
          <w:tcPr>
            <w:tcW w:w="71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539,772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506,837</w:t>
            </w:r>
          </w:p>
        </w:tc>
      </w:tr>
      <w:tr>
        <w:trPr/>
        <w:tc>
          <w:tcPr>
            <w:tcW w:w="71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7,200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7,049</w:t>
            </w:r>
          </w:p>
        </w:tc>
      </w:tr>
      <w:tr>
        <w:trPr/>
        <w:tc>
          <w:tcPr>
            <w:tcW w:w="71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operating lease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83,776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87,600</w:t>
            </w:r>
          </w:p>
        </w:tc>
      </w:tr>
      <w:tr>
        <w:trPr/>
        <w:tc>
          <w:tcPr>
            <w:tcW w:w="71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71,859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78,227</w:t>
            </w:r>
          </w:p>
        </w:tc>
      </w:tr>
      <w:tr>
        <w:trPr/>
        <w:tc>
          <w:tcPr>
            <w:tcW w:w="71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1,314,633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1,217,367</w:t>
            </w:r>
          </w:p>
        </w:tc>
      </w:tr>
      <w:tr>
        <w:trPr/>
        <w:tc>
          <w:tcPr>
            <w:tcW w:w="7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71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2,863,620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2,685,922</w:t>
            </w:r>
          </w:p>
        </w:tc>
      </w:tr>
    </w:tbl>
    <w:p>
      <w:pPr>
        <w:pStyle w:val="TextBody"/>
        <w:bidi w:val="0"/>
        <w:spacing w:before="0" w:after="0"/>
        <w:ind w:left="0" w:right="0" w:hanging="0"/>
        <w:jc w:val="left"/>
        <w:rPr/>
      </w:pPr>
      <w:r>
        <w:rPr/>
        <w:t>​</w:t>
      </w:r>
    </w:p>
    <w:tbl>
      <w:tblPr>
        <w:tblW w:w="5912" w:type="dxa"/>
        <w:jc w:val="left"/>
        <w:tblInd w:w="0" w:type="dxa"/>
        <w:tblLayout w:type="fixed"/>
        <w:tblCellMar>
          <w:top w:w="0" w:type="dxa"/>
          <w:left w:w="0" w:type="dxa"/>
          <w:bottom w:w="0" w:type="dxa"/>
          <w:right w:w="0" w:type="dxa"/>
        </w:tblCellMar>
      </w:tblPr>
      <w:tblGrid>
        <w:gridCol w:w="4816"/>
        <w:gridCol w:w="1096"/>
      </w:tblGrid>
      <w:tr>
        <w:trPr/>
        <w:tc>
          <w:tcPr>
            <w:tcW w:w="4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3058160" cy="175260"/>
                      <wp:effectExtent l="0" t="0" r="0" b="0"/>
                      <wp:wrapNone/>
                      <wp:docPr id="9" name="Frame8"/>
                      <a:graphic xmlns:a="http://schemas.openxmlformats.org/drawingml/2006/main">
                        <a:graphicData uri="http://schemas.microsoft.com/office/word/2010/wordprocessingShape">
                          <wps:wsp>
                            <wps:cNvSpPr txBox="1"/>
                            <wps:spPr>
                              <a:xfrm>
                                <a:off x="0" y="0"/>
                                <a:ext cx="3058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95960" cy="175260"/>
                      <wp:effectExtent l="0" t="0" r="0" b="0"/>
                      <wp:wrapNone/>
                      <wp:docPr id="10" name="Frame9"/>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See condensed notes to consolidated financial statements.</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(continued)</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MERIT MEDICAL SYSTEMS,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112" w:name="Tc_MO5C4Jtu8Ee-G6FvdEhDmQ_29_5"/>
      <w:bookmarkStart w:id="113" w:name="Tc_j7qJW6lG8EyDrjD7eoc2lA_29_2"/>
      <w:bookmarkStart w:id="114" w:name="Tc_ciewY9tP5E-PBpmWdmSc0g_29_0"/>
      <w:bookmarkStart w:id="115" w:name="Tc_LD-KmYzTwk65kztJ0QZvjA_27_0"/>
      <w:bookmarkStart w:id="116" w:name="Tc_R9z7yd9qu021dWRBozZl0w_26_0"/>
      <w:bookmarkStart w:id="117" w:name="Tc_rqQWFaQkyUOfy9m0P0Gwig_25_0"/>
      <w:bookmarkStart w:id="118" w:name="Tc_tCl97Zback-NuftUStnRfw_24_0"/>
      <w:bookmarkStart w:id="119" w:name="Tc_ZdfR2Xo1A0uKG2PeUPTmEw_23_0"/>
      <w:bookmarkStart w:id="120" w:name="Tc_uVGzy8GU6EuHS11hz7FQDQ_22_0"/>
      <w:bookmarkStart w:id="121" w:name="Tc_uEvoizHD50mgcdDj86dd5Q_20_0"/>
      <w:bookmarkStart w:id="122" w:name="Tc_0RhstQbWpkmJTbjNT0GiVA_18_0"/>
      <w:bookmarkStart w:id="123" w:name="Tc_TioNlsZ15UyOLIxHJoE9Kg_17_0"/>
      <w:bookmarkStart w:id="124" w:name="Tc_Fjj5tOAdbUaEkQ_Wlgt6Ng_16_0"/>
      <w:bookmarkStart w:id="125" w:name="Tc_E01yvUnK7EO1vJGXpUJEPg_15_0"/>
      <w:bookmarkStart w:id="126" w:name="Tc_j8gEUzxy20qNvgqD9P0nog_14_0"/>
      <w:bookmarkStart w:id="127" w:name="Tc_5cihoqYwLUKHYfT_xMO00w_13_0"/>
      <w:bookmarkStart w:id="128" w:name="Tc_PmD06dEum0-BSefQdwXjSg_12_0"/>
      <w:bookmarkStart w:id="129" w:name="Tc_qcjgMI2Sg0imIN8cy0iuTg_11_0"/>
      <w:bookmarkStart w:id="130" w:name="Tc_6LlZgkF3qEOTnxtjCFsGNQ_9_0"/>
      <w:bookmarkStart w:id="131" w:name="Tc_qyFj6qcbK06vaQ7muqxmcQ_8_0"/>
      <w:bookmarkStart w:id="132" w:name="Tc_r2C-9J23ukqu4QV6Jywa8A_7_0"/>
      <w:bookmarkStart w:id="133" w:name="Tc_kXoXVJP_M0-5QY7SjzUE0w_6_0"/>
      <w:bookmarkStart w:id="134" w:name="Tc_9NG72P5Fo0O9sq7yj2EF8w_5_5"/>
      <w:bookmarkStart w:id="135" w:name="Tc_TSD9JFM8f0ObG7pLlE7b5A_5_2"/>
      <w:bookmarkStart w:id="136" w:name="Tc_8g_OP5Ec2USXPClAvkYG8g_5_0"/>
      <w:bookmarkStart w:id="137" w:name="Tc_UbKk-s-MS0myVd0WLzGclQ_4_0"/>
      <w:bookmarkStart w:id="138" w:name="Tc_rrl3ARh2lUqDBrFOEH9Qlw_3_3"/>
      <w:bookmarkStart w:id="139" w:name="Tc_ltgSsbhTZUGRqm3kYf5TVA_2_5"/>
      <w:bookmarkStart w:id="140" w:name="Tc_ajBnVVYrSE688jRBncGxbw_2_2"/>
      <w:bookmarkStart w:id="141" w:name="Tc_dCHnCM9ZMUugMw5it2jyKw_2_0"/>
      <w:bookmarkStart w:id="142" w:name="Tc_tRjF6b-vo0qBgwPiIf5lQw_1_5"/>
      <w:bookmarkStart w:id="143" w:name="Tc_jGHtEVxMl0-hdzskAnKgow_1_2"/>
      <w:bookmarkStart w:id="144" w:name="_ecce0f10_f615_4bad_bb50_55ab1f88453f"/>
      <w:bookmarkStart w:id="145" w:name="Tc_MO5C4Jtu8Ee-G6FvdEhDmQ_29_5"/>
      <w:bookmarkStart w:id="146" w:name="Tc_j7qJW6lG8EyDrjD7eoc2lA_29_2"/>
      <w:bookmarkStart w:id="147" w:name="Tc_ciewY9tP5E-PBpmWdmSc0g_29_0"/>
      <w:bookmarkStart w:id="148" w:name="Tc_LD-KmYzTwk65kztJ0QZvjA_27_0"/>
      <w:bookmarkStart w:id="149" w:name="Tc_R9z7yd9qu021dWRBozZl0w_26_0"/>
      <w:bookmarkStart w:id="150" w:name="Tc_rqQWFaQkyUOfy9m0P0Gwig_25_0"/>
      <w:bookmarkStart w:id="151" w:name="Tc_tCl97Zback-NuftUStnRfw_24_0"/>
      <w:bookmarkStart w:id="152" w:name="Tc_ZdfR2Xo1A0uKG2PeUPTmEw_23_0"/>
      <w:bookmarkStart w:id="153" w:name="Tc_uVGzy8GU6EuHS11hz7FQDQ_22_0"/>
      <w:bookmarkStart w:id="154" w:name="Tc_uEvoizHD50mgcdDj86dd5Q_20_0"/>
      <w:bookmarkStart w:id="155" w:name="Tc_0RhstQbWpkmJTbjNT0GiVA_18_0"/>
      <w:bookmarkStart w:id="156" w:name="Tc_TioNlsZ15UyOLIxHJoE9Kg_17_0"/>
      <w:bookmarkStart w:id="157" w:name="Tc_Fjj5tOAdbUaEkQ_Wlgt6Ng_16_0"/>
      <w:bookmarkStart w:id="158" w:name="Tc_E01yvUnK7EO1vJGXpUJEPg_15_0"/>
      <w:bookmarkStart w:id="159" w:name="Tc_j8gEUzxy20qNvgqD9P0nog_14_0"/>
      <w:bookmarkStart w:id="160" w:name="Tc_5cihoqYwLUKHYfT_xMO00w_13_0"/>
      <w:bookmarkStart w:id="161" w:name="Tc_PmD06dEum0-BSefQdwXjSg_12_0"/>
      <w:bookmarkStart w:id="162" w:name="Tc_qcjgMI2Sg0imIN8cy0iuTg_11_0"/>
      <w:bookmarkStart w:id="163" w:name="Tc_6LlZgkF3qEOTnxtjCFsGNQ_9_0"/>
      <w:bookmarkStart w:id="164" w:name="Tc_qyFj6qcbK06vaQ7muqxmcQ_8_0"/>
      <w:bookmarkStart w:id="165" w:name="Tc_r2C-9J23ukqu4QV6Jywa8A_7_0"/>
      <w:bookmarkStart w:id="166" w:name="Tc_kXoXVJP_M0-5QY7SjzUE0w_6_0"/>
      <w:bookmarkStart w:id="167" w:name="Tc_9NG72P5Fo0O9sq7yj2EF8w_5_5"/>
      <w:bookmarkStart w:id="168" w:name="Tc_TSD9JFM8f0ObG7pLlE7b5A_5_2"/>
      <w:bookmarkStart w:id="169" w:name="Tc_8g_OP5Ec2USXPClAvkYG8g_5_0"/>
      <w:bookmarkStart w:id="170" w:name="Tc_UbKk-s-MS0myVd0WLzGclQ_4_0"/>
      <w:bookmarkStart w:id="171" w:name="Tc_rrl3ARh2lUqDBrFOEH9Qlw_3_3"/>
      <w:bookmarkStart w:id="172" w:name="Tc_ltgSsbhTZUGRqm3kYf5TVA_2_5"/>
      <w:bookmarkStart w:id="173" w:name="Tc_ajBnVVYrSE688jRBncGxbw_2_2"/>
      <w:bookmarkStart w:id="174" w:name="Tc_dCHnCM9ZMUugMw5it2jyKw_2_0"/>
      <w:bookmarkStart w:id="175" w:name="Tc_tRjF6b-vo0qBgwPiIf5lQw_1_5"/>
      <w:bookmarkStart w:id="176" w:name="Tc_jGHtEVxMl0-hdzskAnKgow_1_2"/>
      <w:bookmarkStart w:id="177" w:name="_ecce0f10_f615_4bad_bb50_55ab1f88453f"/>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p>
    <w:tbl>
      <w:tblPr>
        <w:tblW w:w="10205" w:type="dxa"/>
        <w:jc w:val="left"/>
        <w:tblInd w:w="0" w:type="dxa"/>
        <w:tblLayout w:type="fixed"/>
        <w:tblCellMar>
          <w:top w:w="0" w:type="dxa"/>
          <w:left w:w="0" w:type="dxa"/>
          <w:bottom w:w="0" w:type="dxa"/>
          <w:right w:w="0" w:type="dxa"/>
        </w:tblCellMar>
      </w:tblPr>
      <w:tblGrid>
        <w:gridCol w:w="7124"/>
        <w:gridCol w:w="346"/>
        <w:gridCol w:w="211"/>
        <w:gridCol w:w="931"/>
        <w:gridCol w:w="346"/>
        <w:gridCol w:w="211"/>
        <w:gridCol w:w="1036"/>
      </w:tblGrid>
      <w:tr>
        <w:trPr/>
        <w:tc>
          <w:tcPr>
            <w:tcW w:w="7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4523740" cy="175260"/>
                      <wp:effectExtent l="0" t="0" r="0" b="0"/>
                      <wp:wrapNone/>
                      <wp:docPr id="11" name="Frame10"/>
                      <a:graphic xmlns:a="http://schemas.openxmlformats.org/drawingml/2006/main">
                        <a:graphicData uri="http://schemas.microsoft.com/office/word/2010/wordprocessingShape">
                          <wps:wsp>
                            <wps:cNvSpPr txBox="1"/>
                            <wps:spPr>
                              <a:xfrm>
                                <a:off x="0" y="0"/>
                                <a:ext cx="4523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19710" cy="175260"/>
                      <wp:effectExtent l="0" t="0" r="0" b="0"/>
                      <wp:wrapNone/>
                      <wp:docPr id="12" name="Frame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133985" cy="175260"/>
                      <wp:effectExtent l="0" t="0" r="0" b="0"/>
                      <wp:wrapNone/>
                      <wp:docPr id="13" name="Frame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591185" cy="175260"/>
                      <wp:effectExtent l="0" t="0" r="0" b="0"/>
                      <wp:wrapNone/>
                      <wp:docPr id="14" name="Frame1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19710" cy="175260"/>
                      <wp:effectExtent l="0" t="0" r="0" b="0"/>
                      <wp:wrapNone/>
                      <wp:docPr id="15" name="Frame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33985" cy="175260"/>
                      <wp:effectExtent l="0" t="0" r="0" b="0"/>
                      <wp:wrapNone/>
                      <wp:docPr id="16" name="Frame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57860" cy="175260"/>
                      <wp:effectExtent l="0" t="0" r="0" b="0"/>
                      <wp:wrapNone/>
                      <wp:docPr id="17" name="Frame16"/>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  ​ ​ ​</w:t>
            </w:r>
          </w:p>
        </w:tc>
        <w:tc>
          <w:tcPr>
            <w:tcW w:w="12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712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 AND STOCKHOLDERS’ EQUITY</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12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93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(unaudited)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036" w:type="dxa"/>
            <w:tcBorders/>
            <w:shd w:fill="CCEEFF" w:val="clear"/>
            <w:vAlign w:val="center"/>
          </w:tcPr>
          <w:p>
            <w:pPr>
              <w:pStyle w:val="TableContents"/>
              <w:bidi w:val="0"/>
              <w:spacing w:before="0" w:after="0"/>
              <w:ind w:left="0" w:right="0" w:hanging="0"/>
              <w:jc w:val="center"/>
              <w:rPr/>
            </w:pPr>
            <w:r>
              <w:rPr/>
              <w:t>​</w:t>
            </w:r>
          </w:p>
        </w:tc>
      </w:tr>
      <w:tr>
        <w:trPr/>
        <w:tc>
          <w:tcPr>
            <w:tcW w:w="71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  ​</w:t>
            </w:r>
          </w:p>
        </w:tc>
      </w:tr>
      <w:tr>
        <w:trPr/>
        <w:tc>
          <w:tcPr>
            <w:tcW w:w="71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 payables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70,737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60,551</w:t>
            </w:r>
          </w:p>
        </w:tc>
      </w:tr>
      <w:tr>
        <w:trPr/>
        <w:tc>
          <w:tcPr>
            <w:tcW w:w="71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172,185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159,486</w:t>
            </w:r>
          </w:p>
        </w:tc>
      </w:tr>
      <w:tr>
        <w:trPr/>
        <w:tc>
          <w:tcPr>
            <w:tcW w:w="71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operating lease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10,921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10,876</w:t>
            </w:r>
          </w:p>
        </w:tc>
      </w:tr>
      <w:tr>
        <w:trPr/>
        <w:tc>
          <w:tcPr>
            <w:tcW w:w="71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 payable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11,090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8,851</w:t>
            </w:r>
          </w:p>
        </w:tc>
      </w:tr>
      <w:tr>
        <w:trPr/>
        <w:tc>
          <w:tcPr>
            <w:tcW w:w="71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264,933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239,764</w:t>
            </w:r>
          </w:p>
        </w:tc>
      </w:tr>
      <w:tr>
        <w:trPr/>
        <w:tc>
          <w:tcPr>
            <w:tcW w:w="7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71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debt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736,258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734,038</w:t>
            </w:r>
          </w:p>
        </w:tc>
      </w:tr>
      <w:tr>
        <w:trPr/>
        <w:tc>
          <w:tcPr>
            <w:tcW w:w="71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39,704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19,665</w:t>
            </w:r>
          </w:p>
        </w:tc>
      </w:tr>
      <w:tr>
        <w:trPr/>
        <w:tc>
          <w:tcPr>
            <w:tcW w:w="71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Liabilities related to unrecognized tax benefits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2,248</w:t>
            </w:r>
          </w:p>
        </w:tc>
      </w:tr>
      <w:tr>
        <w:trPr/>
        <w:tc>
          <w:tcPr>
            <w:tcW w:w="71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compensation payable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19,297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17,542</w:t>
            </w:r>
          </w:p>
        </w:tc>
      </w:tr>
      <w:tr>
        <w:trPr/>
        <w:tc>
          <w:tcPr>
            <w:tcW w:w="71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credits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1,398</w:t>
            </w:r>
          </w:p>
        </w:tc>
      </w:tr>
      <w:tr>
        <w:trPr/>
        <w:tc>
          <w:tcPr>
            <w:tcW w:w="71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operating lease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72,942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76,658</w:t>
            </w:r>
          </w:p>
        </w:tc>
      </w:tr>
      <w:tr>
        <w:trPr/>
        <w:tc>
          <w:tcPr>
            <w:tcW w:w="71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long-term obligations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47,087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10,306</w:t>
            </w:r>
          </w:p>
        </w:tc>
      </w:tr>
      <w:tr>
        <w:trPr/>
        <w:tc>
          <w:tcPr>
            <w:tcW w:w="71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1,183,816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1,101,619</w:t>
            </w:r>
          </w:p>
        </w:tc>
      </w:tr>
      <w:tr>
        <w:trPr/>
        <w:tc>
          <w:tcPr>
            <w:tcW w:w="712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r>
      <w:tr>
        <w:trPr/>
        <w:tc>
          <w:tcPr>
            <w:tcW w:w="71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Commitments and contingencies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r>
      <w:tr>
        <w:trPr/>
        <w:tc>
          <w:tcPr>
            <w:tcW w:w="712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r>
      <w:tr>
        <w:trPr/>
        <w:tc>
          <w:tcPr>
            <w:tcW w:w="71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Stockholders' equity: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r>
      <w:tr>
        <w:trPr/>
        <w:tc>
          <w:tcPr>
            <w:tcW w:w="71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Preferred stock — 5,000 shares authorized; no shares issued as of June 30, 2026 and December 31, 2025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r>
      <w:tr>
        <w:trPr/>
        <w:tc>
          <w:tcPr>
            <w:tcW w:w="71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no par value — 100,000 shares authorized; issued and outstanding as of June 30, 2026 - 59,710 and December 31, 2025 - 59,424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783,892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763,909</w:t>
            </w:r>
          </w:p>
        </w:tc>
      </w:tr>
      <w:tr>
        <w:trPr/>
        <w:tc>
          <w:tcPr>
            <w:tcW w:w="71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Retained earnings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903,828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824,030</w:t>
            </w:r>
          </w:p>
        </w:tc>
      </w:tr>
      <w:tr>
        <w:trPr/>
        <w:tc>
          <w:tcPr>
            <w:tcW w:w="71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loss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(7,916)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(3,636)</w:t>
            </w:r>
          </w:p>
        </w:tc>
      </w:tr>
      <w:tr>
        <w:trPr/>
        <w:tc>
          <w:tcPr>
            <w:tcW w:w="71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1,679,804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1,584,303</w:t>
            </w:r>
          </w:p>
        </w:tc>
      </w:tr>
      <w:tr>
        <w:trPr/>
        <w:tc>
          <w:tcPr>
            <w:tcW w:w="7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71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and 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2,863,620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2,685,922</w:t>
            </w:r>
          </w:p>
        </w:tc>
      </w:tr>
    </w:tbl>
    <w:p>
      <w:pPr>
        <w:pStyle w:val="TextBody"/>
        <w:bidi w:val="0"/>
        <w:spacing w:before="0" w:after="0"/>
        <w:ind w:left="0" w:right="0" w:hanging="0"/>
        <w:jc w:val="center"/>
        <w:rPr/>
      </w:pPr>
      <w:r>
        <w:rPr/>
        <w:t>​</w:t>
      </w:r>
    </w:p>
    <w:tbl>
      <w:tblPr>
        <w:tblW w:w="5942" w:type="dxa"/>
        <w:jc w:val="left"/>
        <w:tblInd w:w="0" w:type="dxa"/>
        <w:tblLayout w:type="fixed"/>
        <w:tblCellMar>
          <w:top w:w="0" w:type="dxa"/>
          <w:left w:w="0" w:type="dxa"/>
          <w:bottom w:w="0" w:type="dxa"/>
          <w:right w:w="0" w:type="dxa"/>
        </w:tblCellMar>
      </w:tblPr>
      <w:tblGrid>
        <w:gridCol w:w="4816"/>
        <w:gridCol w:w="1126"/>
      </w:tblGrid>
      <w:tr>
        <w:trPr/>
        <w:tc>
          <w:tcPr>
            <w:tcW w:w="4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3058160" cy="175260"/>
                      <wp:effectExtent l="0" t="0" r="0" b="0"/>
                      <wp:wrapNone/>
                      <wp:docPr id="18" name="Frame17"/>
                      <a:graphic xmlns:a="http://schemas.openxmlformats.org/drawingml/2006/main">
                        <a:graphicData uri="http://schemas.microsoft.com/office/word/2010/wordprocessingShape">
                          <wps:wsp>
                            <wps:cNvSpPr txBox="1"/>
                            <wps:spPr>
                              <a:xfrm>
                                <a:off x="0" y="0"/>
                                <a:ext cx="3058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715010" cy="175260"/>
                      <wp:effectExtent l="0" t="0" r="0" b="0"/>
                      <wp:wrapNone/>
                      <wp:docPr id="19" name="Frame18"/>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See condensed notes to consolidated financial statements.</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(concluded)</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78" w:name="_35b59042_513d_41a9_9f97_20338827b454"/>
      <w:bookmarkEnd w:id="178"/>
      <w:r>
        <w:rPr>
          <w:rFonts w:ascii="Times New Roman;Times;serif" w:hAnsi="Times New Roman;Times;serif"/>
          <w:b/>
          <w:sz w:val="20"/>
        </w:rPr>
        <w:t>MERIT MEDICAL SYSTEMS, INC. AND SUBSIDIARIES</w:t>
      </w:r>
    </w:p>
    <w:p>
      <w:pPr>
        <w:pStyle w:val="TextBody"/>
        <w:bidi w:val="0"/>
        <w:spacing w:before="0" w:after="0"/>
        <w:ind w:left="0" w:right="0" w:hanging="0"/>
        <w:jc w:val="center"/>
        <w:rPr>
          <w:rFonts w:ascii="Times New Roman;Times;serif" w:hAnsi="Times New Roman;Times;serif"/>
          <w:b/>
          <w:sz w:val="20"/>
        </w:rPr>
      </w:pPr>
      <w:bookmarkStart w:id="179" w:name="STATEMENTSOFINCOME"/>
      <w:bookmarkEnd w:id="179"/>
      <w:r>
        <w:rPr>
          <w:rFonts w:ascii="Times New Roman;Times;serif" w:hAnsi="Times New Roman;Times;serif"/>
          <w:b/>
          <w:sz w:val="20"/>
        </w:rPr>
        <w:t>CONSOLIDATED STATEMENTS OF INCOME</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per share amounts - unaudited)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80" w:name="Tc_zE9PjK78XUaf6cxP7p-_Tw_34_0"/>
      <w:bookmarkStart w:id="181" w:name="Tc_HV8im8ZrKkav2PFwCo2pRg_33_0"/>
      <w:bookmarkStart w:id="182" w:name="Tc_Mzk-CxeFPkWFaAZHtgNf9w_32_0"/>
      <w:bookmarkStart w:id="183" w:name="Tc_84xczdz09U2-_dbDiu9jyg_30_11"/>
      <w:bookmarkStart w:id="184" w:name="Tc_mOYIN_PJZEy1CSkwINODWg_30_8"/>
      <w:bookmarkStart w:id="185" w:name="Tc_7at4TzfZYk6Yy06YxYNptQ_30_5"/>
      <w:bookmarkStart w:id="186" w:name="Tc_CywOgTj0REm3DZXeLqebwQ_30_2"/>
      <w:bookmarkStart w:id="187" w:name="Tc_fx_G9yXEV0uuA-nMkruZqw_30_0"/>
      <w:bookmarkStart w:id="188" w:name="Tc_CtRaa4qDv0yH-mModQgpGw_29_11"/>
      <w:bookmarkStart w:id="189" w:name="Tc_4sisBmJK-EyEY5LejbWFHg_29_8"/>
      <w:bookmarkStart w:id="190" w:name="Tc_JPJgJVIsC0K91k6oQa3xmA_29_5"/>
      <w:bookmarkStart w:id="191" w:name="Tc_0eIRpqQ_XUmltSUjsUATBA_29_2"/>
      <w:bookmarkStart w:id="192" w:name="Tc_PiedTitwC02kIW_DkqhDCQ_29_0"/>
      <w:bookmarkStart w:id="193" w:name="Tc_Xxq3phHBXk-oMmE79qy6uA_28_0"/>
      <w:bookmarkStart w:id="194" w:name="Tc_1wrD-kzUEkqA1dWwwn9ffA_26_11"/>
      <w:bookmarkStart w:id="195" w:name="Tc_iiYEK5WSOkmVJrYo8YjQeg_26_8"/>
      <w:bookmarkStart w:id="196" w:name="Tc_u53lpGqFBUetWVRtxl1Vaw_26_5"/>
      <w:bookmarkStart w:id="197" w:name="Tc_V1_Fk4aUWkCNSFkT575z7w_26_2"/>
      <w:bookmarkStart w:id="198" w:name="Tc_yDT-WStkUkCk4kbAZ2b-gw_26_0"/>
      <w:bookmarkStart w:id="199" w:name="Tc_jwO83kg5BkGuH6Jt8G-cig_24_0"/>
      <w:bookmarkStart w:id="200" w:name="Tc_GT2xQ2WNw06a9N8BEyA-hg_22_0"/>
      <w:bookmarkStart w:id="201" w:name="Tc_kkSwmOUZHkuIjMdw95eZww_20_0"/>
      <w:bookmarkStart w:id="202" w:name="Tc_lHFjDxLxS0-Om6H7RsFjqA_19_0"/>
      <w:bookmarkStart w:id="203" w:name="Tc_5TKW91yzh0eBxEsbj-iPxw_18_0"/>
      <w:bookmarkStart w:id="204" w:name="Tc_M6YjMiYtU0q1IzmMg3UG3g_17_0"/>
      <w:bookmarkStart w:id="205" w:name="Tc_mqqnj5y_j0Ov3YCwvqLVJg_16_0"/>
      <w:bookmarkStart w:id="206" w:name="Tc_Avv8ziIMq0W3HzkDYwh9UQ_14_0"/>
      <w:bookmarkStart w:id="207" w:name="Tc_tpjA_XeVUEObMAlTRtf2-A_12_0"/>
      <w:bookmarkStart w:id="208" w:name="Tc_NdWRgucEdUS57X20Vrld_Q_11_0"/>
      <w:bookmarkStart w:id="209" w:name="Tc_2EEwzhL8WEyGxE9nsa0IKw_10_0"/>
      <w:bookmarkStart w:id="210" w:name="Tc_B-vV6uRprkSS-uZWVA1pSA_9_0"/>
      <w:bookmarkStart w:id="211" w:name="Tc_CUr4qxtZcUuARKq89LtQMA_8_0"/>
      <w:bookmarkStart w:id="212" w:name="Tc_Qob6VvMcY0OK-MvYBeDtwA_6_0"/>
      <w:bookmarkStart w:id="213" w:name="Tc_vMMGYHUVck-yBPSj8xMliw_5_0"/>
      <w:bookmarkStart w:id="214" w:name="Tc_cJsgdCA5xUOFKAr6kS100g_4_11"/>
      <w:bookmarkStart w:id="215" w:name="Tc_45y4rTkiOkyIWIyMkGo69A_4_8"/>
      <w:bookmarkStart w:id="216" w:name="Tc_Q5yMJ5CsPUeq9vkxKbrHlw_4_5"/>
      <w:bookmarkStart w:id="217" w:name="Tc_9oUOQagMtkWyhNtgPWiwpw_4_2"/>
      <w:bookmarkStart w:id="218" w:name="Tc_z4cRfGdST0umX0Ah5ydRxg_4_0"/>
      <w:bookmarkStart w:id="219" w:name="Tc_glBomvb47Eilqi_cFlesmg_3_11"/>
      <w:bookmarkStart w:id="220" w:name="Tc_FCHHI-OS00OmYBvFS1rKMw_3_8"/>
      <w:bookmarkStart w:id="221" w:name="Tc_M37Ma-o0eU6ycTaD97Iv1Q_3_5"/>
      <w:bookmarkStart w:id="222" w:name="Tc_PGeXM7psZUuIEZm8_-8PAg_3_2"/>
      <w:bookmarkStart w:id="223" w:name="Tc_rXbF-cMGjEquDA2vb2a_jA_2_8"/>
      <w:bookmarkStart w:id="224" w:name="Tc_OURKmthvfESs-xPZr2K80g_2_2"/>
      <w:bookmarkStart w:id="225" w:name="Tc_DaEytv1yxkqthyMjSquqLA_1_8"/>
      <w:bookmarkStart w:id="226" w:name="Tc_BgW8CkiHXUm_s0_qdri4oA_1_2"/>
      <w:bookmarkStart w:id="227" w:name="_87973aba_063d_4fe5_9a67_9fe0ae08d281"/>
      <w:bookmarkStart w:id="228" w:name="Tc_zE9PjK78XUaf6cxP7p-_Tw_34_0"/>
      <w:bookmarkStart w:id="229" w:name="Tc_HV8im8ZrKkav2PFwCo2pRg_33_0"/>
      <w:bookmarkStart w:id="230" w:name="Tc_Mzk-CxeFPkWFaAZHtgNf9w_32_0"/>
      <w:bookmarkStart w:id="231" w:name="Tc_84xczdz09U2-_dbDiu9jyg_30_11"/>
      <w:bookmarkStart w:id="232" w:name="Tc_mOYIN_PJZEy1CSkwINODWg_30_8"/>
      <w:bookmarkStart w:id="233" w:name="Tc_7at4TzfZYk6Yy06YxYNptQ_30_5"/>
      <w:bookmarkStart w:id="234" w:name="Tc_CywOgTj0REm3DZXeLqebwQ_30_2"/>
      <w:bookmarkStart w:id="235" w:name="Tc_fx_G9yXEV0uuA-nMkruZqw_30_0"/>
      <w:bookmarkStart w:id="236" w:name="Tc_CtRaa4qDv0yH-mModQgpGw_29_11"/>
      <w:bookmarkStart w:id="237" w:name="Tc_4sisBmJK-EyEY5LejbWFHg_29_8"/>
      <w:bookmarkStart w:id="238" w:name="Tc_JPJgJVIsC0K91k6oQa3xmA_29_5"/>
      <w:bookmarkStart w:id="239" w:name="Tc_0eIRpqQ_XUmltSUjsUATBA_29_2"/>
      <w:bookmarkStart w:id="240" w:name="Tc_PiedTitwC02kIW_DkqhDCQ_29_0"/>
      <w:bookmarkStart w:id="241" w:name="Tc_Xxq3phHBXk-oMmE79qy6uA_28_0"/>
      <w:bookmarkStart w:id="242" w:name="Tc_1wrD-kzUEkqA1dWwwn9ffA_26_11"/>
      <w:bookmarkStart w:id="243" w:name="Tc_iiYEK5WSOkmVJrYo8YjQeg_26_8"/>
      <w:bookmarkStart w:id="244" w:name="Tc_u53lpGqFBUetWVRtxl1Vaw_26_5"/>
      <w:bookmarkStart w:id="245" w:name="Tc_V1_Fk4aUWkCNSFkT575z7w_26_2"/>
      <w:bookmarkStart w:id="246" w:name="Tc_yDT-WStkUkCk4kbAZ2b-gw_26_0"/>
      <w:bookmarkStart w:id="247" w:name="Tc_jwO83kg5BkGuH6Jt8G-cig_24_0"/>
      <w:bookmarkStart w:id="248" w:name="Tc_GT2xQ2WNw06a9N8BEyA-hg_22_0"/>
      <w:bookmarkStart w:id="249" w:name="Tc_kkSwmOUZHkuIjMdw95eZww_20_0"/>
      <w:bookmarkStart w:id="250" w:name="Tc_lHFjDxLxS0-Om6H7RsFjqA_19_0"/>
      <w:bookmarkStart w:id="251" w:name="Tc_5TKW91yzh0eBxEsbj-iPxw_18_0"/>
      <w:bookmarkStart w:id="252" w:name="Tc_M6YjMiYtU0q1IzmMg3UG3g_17_0"/>
      <w:bookmarkStart w:id="253" w:name="Tc_mqqnj5y_j0Ov3YCwvqLVJg_16_0"/>
      <w:bookmarkStart w:id="254" w:name="Tc_Avv8ziIMq0W3HzkDYwh9UQ_14_0"/>
      <w:bookmarkStart w:id="255" w:name="Tc_tpjA_XeVUEObMAlTRtf2-A_12_0"/>
      <w:bookmarkStart w:id="256" w:name="Tc_NdWRgucEdUS57X20Vrld_Q_11_0"/>
      <w:bookmarkStart w:id="257" w:name="Tc_2EEwzhL8WEyGxE9nsa0IKw_10_0"/>
      <w:bookmarkStart w:id="258" w:name="Tc_B-vV6uRprkSS-uZWVA1pSA_9_0"/>
      <w:bookmarkStart w:id="259" w:name="Tc_CUr4qxtZcUuARKq89LtQMA_8_0"/>
      <w:bookmarkStart w:id="260" w:name="Tc_Qob6VvMcY0OK-MvYBeDtwA_6_0"/>
      <w:bookmarkStart w:id="261" w:name="Tc_vMMGYHUVck-yBPSj8xMliw_5_0"/>
      <w:bookmarkStart w:id="262" w:name="Tc_cJsgdCA5xUOFKAr6kS100g_4_11"/>
      <w:bookmarkStart w:id="263" w:name="Tc_45y4rTkiOkyIWIyMkGo69A_4_8"/>
      <w:bookmarkStart w:id="264" w:name="Tc_Q5yMJ5CsPUeq9vkxKbrHlw_4_5"/>
      <w:bookmarkStart w:id="265" w:name="Tc_9oUOQagMtkWyhNtgPWiwpw_4_2"/>
      <w:bookmarkStart w:id="266" w:name="Tc_z4cRfGdST0umX0Ah5ydRxg_4_0"/>
      <w:bookmarkStart w:id="267" w:name="Tc_glBomvb47Eilqi_cFlesmg_3_11"/>
      <w:bookmarkStart w:id="268" w:name="Tc_FCHHI-OS00OmYBvFS1rKMw_3_8"/>
      <w:bookmarkStart w:id="269" w:name="Tc_M37Ma-o0eU6ycTaD97Iv1Q_3_5"/>
      <w:bookmarkStart w:id="270" w:name="Tc_PGeXM7psZUuIEZm8_-8PAg_3_2"/>
      <w:bookmarkStart w:id="271" w:name="Tc_rXbF-cMGjEquDA2vb2a_jA_2_8"/>
      <w:bookmarkStart w:id="272" w:name="Tc_OURKmthvfESs-xPZr2K80g_2_2"/>
      <w:bookmarkStart w:id="273" w:name="Tc_DaEytv1yxkqthyMjSquqLA_1_8"/>
      <w:bookmarkStart w:id="274" w:name="Tc_BgW8CkiHXUm_s0_qdri4oA_1_2"/>
      <w:bookmarkStart w:id="275" w:name="_87973aba_063d_4fe5_9a67_9fe0ae08d281"/>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p>
    <w:tbl>
      <w:tblPr>
        <w:tblW w:w="9088" w:type="dxa"/>
        <w:jc w:val="left"/>
        <w:tblInd w:w="0" w:type="dxa"/>
        <w:tblLayout w:type="fixed"/>
        <w:tblCellMar>
          <w:top w:w="0" w:type="dxa"/>
          <w:left w:w="0" w:type="dxa"/>
          <w:bottom w:w="0" w:type="dxa"/>
          <w:right w:w="0" w:type="dxa"/>
        </w:tblCellMar>
      </w:tblPr>
      <w:tblGrid>
        <w:gridCol w:w="3646"/>
        <w:gridCol w:w="346"/>
        <w:gridCol w:w="211"/>
        <w:gridCol w:w="796"/>
        <w:gridCol w:w="346"/>
        <w:gridCol w:w="211"/>
        <w:gridCol w:w="781"/>
        <w:gridCol w:w="346"/>
        <w:gridCol w:w="211"/>
        <w:gridCol w:w="796"/>
        <w:gridCol w:w="346"/>
        <w:gridCol w:w="211"/>
        <w:gridCol w:w="841"/>
      </w:tblGrid>
      <w:tr>
        <w:trPr/>
        <w:tc>
          <w:tcPr>
            <w:tcW w:w="3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315210" cy="175260"/>
                      <wp:effectExtent l="0" t="0" r="0" b="0"/>
                      <wp:wrapNone/>
                      <wp:docPr id="20" name="Frame19"/>
                      <a:graphic xmlns:a="http://schemas.openxmlformats.org/drawingml/2006/main">
                        <a:graphicData uri="http://schemas.microsoft.com/office/word/2010/wordprocessingShape">
                          <wps:wsp>
                            <wps:cNvSpPr txBox="1"/>
                            <wps:spPr>
                              <a:xfrm>
                                <a:off x="0" y="0"/>
                                <a:ext cx="2315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19710" cy="175260"/>
                      <wp:effectExtent l="0" t="0" r="0" b="0"/>
                      <wp:wrapNone/>
                      <wp:docPr id="21" name="Frame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33985" cy="175260"/>
                      <wp:effectExtent l="0" t="0" r="0" b="0"/>
                      <wp:wrapNone/>
                      <wp:docPr id="22" name="Frame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505460" cy="175260"/>
                      <wp:effectExtent l="0" t="0" r="0" b="0"/>
                      <wp:wrapNone/>
                      <wp:docPr id="23" name="Frame22"/>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19710" cy="175260"/>
                      <wp:effectExtent l="0" t="0" r="0" b="0"/>
                      <wp:wrapNone/>
                      <wp:docPr id="24" name="Frame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33985" cy="175260"/>
                      <wp:effectExtent l="0" t="0" r="0" b="0"/>
                      <wp:wrapNone/>
                      <wp:docPr id="25" name="Frame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495935" cy="175260"/>
                      <wp:effectExtent l="0" t="0" r="0" b="0"/>
                      <wp:wrapNone/>
                      <wp:docPr id="26" name="Frame2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19710" cy="175260"/>
                      <wp:effectExtent l="0" t="0" r="0" b="0"/>
                      <wp:wrapNone/>
                      <wp:docPr id="27" name="Frame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33985" cy="175260"/>
                      <wp:effectExtent l="0" t="0" r="0" b="0"/>
                      <wp:wrapNone/>
                      <wp:docPr id="28" name="Frame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505460" cy="175260"/>
                      <wp:effectExtent l="0" t="0" r="0" b="0"/>
                      <wp:wrapNone/>
                      <wp:docPr id="29" name="Frame28"/>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19710" cy="175260"/>
                      <wp:effectExtent l="0" t="0" r="0" b="0"/>
                      <wp:wrapNone/>
                      <wp:docPr id="30" name="Frame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33985" cy="175260"/>
                      <wp:effectExtent l="0" t="0" r="0" b="0"/>
                      <wp:wrapNone/>
                      <wp:docPr id="31" name="Frame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534035" cy="175260"/>
                      <wp:effectExtent l="0" t="0" r="0" b="0"/>
                      <wp:wrapNone/>
                      <wp:docPr id="32" name="Frame31"/>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34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left"/>
              <w:rPr/>
            </w:pPr>
            <w:r>
              <w:rPr/>
              <w:t>  ​ ​ ​</w:t>
            </w:r>
          </w:p>
        </w:tc>
        <w:tc>
          <w:tcPr>
            <w:tcW w:w="240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36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4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240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6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418,843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382,462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800,720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737,813</w:t>
            </w:r>
          </w:p>
        </w:tc>
      </w:tr>
      <w:tr>
        <w:trPr/>
        <w:tc>
          <w:tcPr>
            <w:tcW w:w="3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203,677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197,975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400,757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381,306</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215,166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184,487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399,963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356,507</w:t>
            </w:r>
          </w:p>
        </w:tc>
      </w:tr>
      <w:tr>
        <w:trPr/>
        <w:tc>
          <w:tcPr>
            <w:tcW w:w="36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left"/>
              <w:rPr/>
            </w:pPr>
            <w:r>
              <w:rPr/>
              <w:t>​</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pPr>
            <w:r>
              <w:rPr/>
              <w:t>  ​</w:t>
            </w:r>
          </w:p>
        </w:tc>
      </w:tr>
      <w:tr>
        <w:trPr/>
        <w:tc>
          <w:tcPr>
            <w:tcW w:w="3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129,229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113,097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247,439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220,583</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25,389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24,367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47,998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46,845</w:t>
            </w:r>
          </w:p>
        </w:tc>
      </w:tr>
      <w:tr>
        <w:trPr/>
        <w:tc>
          <w:tcPr>
            <w:tcW w:w="3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Contingent consideration expense (benefit)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1,166</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154,763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137,607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295,403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268,594</w:t>
            </w:r>
          </w:p>
        </w:tc>
      </w:tr>
      <w:tr>
        <w:trPr/>
        <w:tc>
          <w:tcPr>
            <w:tcW w:w="36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left"/>
              <w:rPr/>
            </w:pPr>
            <w:r>
              <w:rPr/>
              <w:t>​</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from operations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60,403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46,880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104,560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87,913</w:t>
            </w:r>
          </w:p>
        </w:tc>
      </w:tr>
      <w:tr>
        <w:trPr/>
        <w:tc>
          <w:tcPr>
            <w:tcW w:w="36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left"/>
              <w:rPr/>
            </w:pPr>
            <w:r>
              <w:rPr/>
              <w:t>​</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pPr>
            <w:r>
              <w:rPr/>
              <w:t>  ​</w:t>
            </w:r>
          </w:p>
        </w:tc>
      </w:tr>
      <w:tr>
        <w:trPr/>
        <w:tc>
          <w:tcPr>
            <w:tcW w:w="3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7,652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7,551</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(12,118)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(6,775)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(18,644)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(13,343)</w:t>
            </w:r>
          </w:p>
        </w:tc>
      </w:tr>
      <w:tr>
        <w:trPr/>
        <w:tc>
          <w:tcPr>
            <w:tcW w:w="3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 income — net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11,292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(784)</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(expense) income —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(9,089)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(6,576)</w:t>
            </w:r>
          </w:p>
        </w:tc>
      </w:tr>
      <w:tr>
        <w:trPr/>
        <w:tc>
          <w:tcPr>
            <w:tcW w:w="36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left"/>
              <w:rPr/>
            </w:pPr>
            <w:r>
              <w:rPr/>
              <w:t>​</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51,314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43,379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104,860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81,337</w:t>
            </w:r>
          </w:p>
        </w:tc>
      </w:tr>
      <w:tr>
        <w:trPr/>
        <w:tc>
          <w:tcPr>
            <w:tcW w:w="36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left"/>
              <w:rPr/>
            </w:pPr>
            <w:r>
              <w:rPr/>
              <w:t>​</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12,511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10,798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25,062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18,609</w:t>
            </w:r>
          </w:p>
        </w:tc>
      </w:tr>
      <w:tr>
        <w:trPr/>
        <w:tc>
          <w:tcPr>
            <w:tcW w:w="36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left"/>
              <w:rPr/>
            </w:pPr>
            <w:r>
              <w:rPr/>
              <w:t>​</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38,803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32,581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79,798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62,728</w:t>
            </w:r>
          </w:p>
        </w:tc>
      </w:tr>
      <w:tr>
        <w:trPr/>
        <w:tc>
          <w:tcPr>
            <w:tcW w:w="36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left"/>
              <w:rPr/>
            </w:pPr>
            <w:r>
              <w:rPr/>
              <w:t>​</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Earnings per common share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pPr>
            <w:r>
              <w:rPr/>
              <w:t>  ​</w:t>
            </w:r>
          </w:p>
        </w:tc>
      </w:tr>
      <w:tr>
        <w:trPr/>
        <w:tc>
          <w:tcPr>
            <w:tcW w:w="3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w:t>
            </w:r>
          </w:p>
        </w:tc>
      </w:tr>
      <w:tr>
        <w:trPr/>
        <w:tc>
          <w:tcPr>
            <w:tcW w:w="36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left"/>
              <w:rPr/>
            </w:pPr>
            <w:r>
              <w:rPr/>
              <w:t>​</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shares outstanding</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pPr>
            <w:r>
              <w:rPr/>
              <w:t>  ​</w:t>
            </w:r>
          </w:p>
        </w:tc>
      </w:tr>
      <w:tr>
        <w:trPr/>
        <w:tc>
          <w:tcPr>
            <w:tcW w:w="3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59,679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59,140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59,595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59,019</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60,006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60,611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60,010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60,945</w:t>
            </w:r>
          </w:p>
        </w:tc>
      </w:tr>
    </w:tbl>
    <w:p>
      <w:pPr>
        <w:pStyle w:val="TextBody"/>
        <w:bidi w:val="0"/>
        <w:spacing w:before="0" w:after="0"/>
        <w:ind w:left="0" w:right="0" w:hanging="0"/>
        <w:jc w:val="left"/>
        <w:rPr/>
      </w:pPr>
      <w:r>
        <w:rPr/>
        <w:t>​</w:t>
      </w:r>
    </w:p>
    <w:p>
      <w:pPr>
        <w:pStyle w:val="TextBody"/>
        <w:bidi w:val="0"/>
        <w:spacing w:before="0" w:after="40"/>
        <w:ind w:left="0" w:right="0" w:hanging="0"/>
        <w:jc w:val="left"/>
        <w:rPr>
          <w:rFonts w:ascii="Times New Roman;Times;serif" w:hAnsi="Times New Roman;Times;serif"/>
          <w:sz w:val="20"/>
        </w:rPr>
      </w:pPr>
      <w:r>
        <w:rPr>
          <w:rFonts w:ascii="Times New Roman;Times;serif" w:hAnsi="Times New Roman;Times;serif"/>
          <w:sz w:val="20"/>
        </w:rPr>
        <w:t>See condensed notes to consolidated financial statements.</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76" w:name="_f57d8bef_d3e6_4a36_9f87_36b4366fa354"/>
      <w:bookmarkEnd w:id="276"/>
      <w:r>
        <w:rPr>
          <w:rFonts w:ascii="Times New Roman;Times;serif" w:hAnsi="Times New Roman;Times;serif"/>
          <w:b/>
          <w:sz w:val="20"/>
        </w:rPr>
        <w:t>MERIT MEDICAL SYSTEMS, INC. AND SUBSIDIARIES</w:t>
      </w:r>
    </w:p>
    <w:p>
      <w:pPr>
        <w:pStyle w:val="TextBody"/>
        <w:bidi w:val="0"/>
        <w:spacing w:before="0" w:after="0"/>
        <w:ind w:left="0" w:right="0" w:hanging="0"/>
        <w:jc w:val="center"/>
        <w:rPr>
          <w:rFonts w:ascii="Times New Roman;Times;serif" w:hAnsi="Times New Roman;Times;serif"/>
          <w:b/>
          <w:sz w:val="20"/>
        </w:rPr>
      </w:pPr>
      <w:bookmarkStart w:id="277" w:name="COMPREHENSIVEINCOME"/>
      <w:bookmarkEnd w:id="277"/>
      <w:r>
        <w:rPr>
          <w:rFonts w:ascii="Times New Roman;Times;serif" w:hAnsi="Times New Roman;Times;serif"/>
          <w:b/>
          <w:sz w:val="20"/>
        </w:rPr>
        <w:t>CONSOLIDATED STATEMENTS OF COMPREHENSIVE INCOME</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 unaudited)</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278" w:name="Tc_Pmo1LZZBB06YlLcgo_1g5A_11_11"/>
      <w:bookmarkStart w:id="279" w:name="Tc_PgzVNSVG9EKj6QHM9LiBDA_11_8"/>
      <w:bookmarkStart w:id="280" w:name="Tc_BxCM7STLYkm79b8F6JPaMQ_11_5"/>
      <w:bookmarkStart w:id="281" w:name="Tc_paBOdZ8TS02IM_duNk4YPg_11_2"/>
      <w:bookmarkStart w:id="282" w:name="Tc_jiQfuMj-8kqWdTCIr2z30g_11_0"/>
      <w:bookmarkStart w:id="283" w:name="Tc_1-TMYoDFJkS13TeoO0Wt8g_10_0"/>
      <w:bookmarkStart w:id="284" w:name="Tc_SyEqNngt90Sc8CMnnNavtQ_9_0"/>
      <w:bookmarkStart w:id="285" w:name="Tc_wveB7xklnEmNyF2jdzV6QA_8_0"/>
      <w:bookmarkStart w:id="286" w:name="Tc_tJmfP1u2s0q34qPaODqmXg_7_0"/>
      <w:bookmarkStart w:id="287" w:name="Tc_LyK3THqgEUC8KPyO2NTpgg_6_0"/>
      <w:bookmarkStart w:id="288" w:name="Tc_shL3RBR_-ki-U91FOzO7rA_5_0"/>
      <w:bookmarkStart w:id="289" w:name="Tc_gfCawcUa-EuTVJqZ0jXhcw_4_11"/>
      <w:bookmarkStart w:id="290" w:name="Tc_9WAjlSFuhE-NrvOTxae0vg_4_8"/>
      <w:bookmarkStart w:id="291" w:name="Tc_CTjvdCPXHEK9iCFW7xSfVg_4_5"/>
      <w:bookmarkStart w:id="292" w:name="Tc_7C-RQjuYRUmWObdNOe79OA_4_2"/>
      <w:bookmarkStart w:id="293" w:name="Tc_aT29X52GX0CfvMKLRLqUFA_4_0"/>
      <w:bookmarkStart w:id="294" w:name="Tc_pFBhKtbJiUa_NioYmFlhIA_3_11"/>
      <w:bookmarkStart w:id="295" w:name="Tc_lKrPCypgS0-78yW0BuAb6Q_3_8"/>
      <w:bookmarkStart w:id="296" w:name="Tc_MHPotPtFL0qOoDneig4R0w_3_5"/>
      <w:bookmarkStart w:id="297" w:name="Tc_Ag3OxCOkKU-ZYKd2Q2CcHA_3_2"/>
      <w:bookmarkStart w:id="298" w:name="Tc__o9Za4HtYEOwL5CaGKB1JA_2_8"/>
      <w:bookmarkStart w:id="299" w:name="Tc_bcPBWfG1ZE-wMveLlwAqsQ_2_2"/>
      <w:bookmarkStart w:id="300" w:name="Tc_6RYbBpWyHEeyS1B_r9O8LQ_1_8"/>
      <w:bookmarkStart w:id="301" w:name="Tc_ZhCX5zAOGk6_yUqObO86xA_1_2"/>
      <w:bookmarkStart w:id="302" w:name="_bdc502d0_60f1_4e63_9d1e_ab0a5a3261d3"/>
      <w:bookmarkStart w:id="303" w:name="Tc_Pmo1LZZBB06YlLcgo_1g5A_11_11"/>
      <w:bookmarkStart w:id="304" w:name="Tc_PgzVNSVG9EKj6QHM9LiBDA_11_8"/>
      <w:bookmarkStart w:id="305" w:name="Tc_BxCM7STLYkm79b8F6JPaMQ_11_5"/>
      <w:bookmarkStart w:id="306" w:name="Tc_paBOdZ8TS02IM_duNk4YPg_11_2"/>
      <w:bookmarkStart w:id="307" w:name="Tc_jiQfuMj-8kqWdTCIr2z30g_11_0"/>
      <w:bookmarkStart w:id="308" w:name="Tc_1-TMYoDFJkS13TeoO0Wt8g_10_0"/>
      <w:bookmarkStart w:id="309" w:name="Tc_SyEqNngt90Sc8CMnnNavtQ_9_0"/>
      <w:bookmarkStart w:id="310" w:name="Tc_wveB7xklnEmNyF2jdzV6QA_8_0"/>
      <w:bookmarkStart w:id="311" w:name="Tc_tJmfP1u2s0q34qPaODqmXg_7_0"/>
      <w:bookmarkStart w:id="312" w:name="Tc_LyK3THqgEUC8KPyO2NTpgg_6_0"/>
      <w:bookmarkStart w:id="313" w:name="Tc_shL3RBR_-ki-U91FOzO7rA_5_0"/>
      <w:bookmarkStart w:id="314" w:name="Tc_gfCawcUa-EuTVJqZ0jXhcw_4_11"/>
      <w:bookmarkStart w:id="315" w:name="Tc_9WAjlSFuhE-NrvOTxae0vg_4_8"/>
      <w:bookmarkStart w:id="316" w:name="Tc_CTjvdCPXHEK9iCFW7xSfVg_4_5"/>
      <w:bookmarkStart w:id="317" w:name="Tc_7C-RQjuYRUmWObdNOe79OA_4_2"/>
      <w:bookmarkStart w:id="318" w:name="Tc_aT29X52GX0CfvMKLRLqUFA_4_0"/>
      <w:bookmarkStart w:id="319" w:name="Tc_pFBhKtbJiUa_NioYmFlhIA_3_11"/>
      <w:bookmarkStart w:id="320" w:name="Tc_lKrPCypgS0-78yW0BuAb6Q_3_8"/>
      <w:bookmarkStart w:id="321" w:name="Tc_MHPotPtFL0qOoDneig4R0w_3_5"/>
      <w:bookmarkStart w:id="322" w:name="Tc_Ag3OxCOkKU-ZYKd2Q2CcHA_3_2"/>
      <w:bookmarkStart w:id="323" w:name="Tc__o9Za4HtYEOwL5CaGKB1JA_2_8"/>
      <w:bookmarkStart w:id="324" w:name="Tc_bcPBWfG1ZE-wMveLlwAqsQ_2_2"/>
      <w:bookmarkStart w:id="325" w:name="Tc_6RYbBpWyHEeyS1B_r9O8LQ_1_8"/>
      <w:bookmarkStart w:id="326" w:name="Tc_ZhCX5zAOGk6_yUqObO86xA_1_2"/>
      <w:bookmarkStart w:id="327" w:name="_bdc502d0_60f1_4e63_9d1e_ab0a5a3261d3"/>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p>
    <w:tbl>
      <w:tblPr>
        <w:tblW w:w="8488" w:type="dxa"/>
        <w:jc w:val="left"/>
        <w:tblInd w:w="0" w:type="dxa"/>
        <w:tblLayout w:type="fixed"/>
        <w:tblCellMar>
          <w:top w:w="0" w:type="dxa"/>
          <w:left w:w="0" w:type="dxa"/>
          <w:bottom w:w="0" w:type="dxa"/>
          <w:right w:w="0" w:type="dxa"/>
        </w:tblCellMar>
      </w:tblPr>
      <w:tblGrid>
        <w:gridCol w:w="3421"/>
        <w:gridCol w:w="346"/>
        <w:gridCol w:w="211"/>
        <w:gridCol w:w="676"/>
        <w:gridCol w:w="346"/>
        <w:gridCol w:w="211"/>
        <w:gridCol w:w="691"/>
        <w:gridCol w:w="346"/>
        <w:gridCol w:w="211"/>
        <w:gridCol w:w="691"/>
        <w:gridCol w:w="346"/>
        <w:gridCol w:w="211"/>
        <w:gridCol w:w="781"/>
      </w:tblGrid>
      <w:tr>
        <w:trPr/>
        <w:tc>
          <w:tcPr>
            <w:tcW w:w="3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172335" cy="175260"/>
                      <wp:effectExtent l="0" t="0" r="0" b="0"/>
                      <wp:wrapNone/>
                      <wp:docPr id="33" name="Frame32"/>
                      <a:graphic xmlns:a="http://schemas.openxmlformats.org/drawingml/2006/main">
                        <a:graphicData uri="http://schemas.microsoft.com/office/word/2010/wordprocessingShape">
                          <wps:wsp>
                            <wps:cNvSpPr txBox="1"/>
                            <wps:spPr>
                              <a:xfrm>
                                <a:off x="0" y="0"/>
                                <a:ext cx="2172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19710" cy="175260"/>
                      <wp:effectExtent l="0" t="0" r="0" b="0"/>
                      <wp:wrapNone/>
                      <wp:docPr id="34" name="Frame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33985" cy="175260"/>
                      <wp:effectExtent l="0" t="0" r="0" b="0"/>
                      <wp:wrapNone/>
                      <wp:docPr id="35" name="Frame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429260" cy="175260"/>
                      <wp:effectExtent l="0" t="0" r="0" b="0"/>
                      <wp:wrapNone/>
                      <wp:docPr id="36" name="Frame3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19710" cy="175260"/>
                      <wp:effectExtent l="0" t="0" r="0" b="0"/>
                      <wp:wrapNone/>
                      <wp:docPr id="37" name="Frame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33985" cy="175260"/>
                      <wp:effectExtent l="0" t="0" r="0" b="0"/>
                      <wp:wrapNone/>
                      <wp:docPr id="38" name="Frame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438785" cy="175260"/>
                      <wp:effectExtent l="0" t="0" r="0" b="0"/>
                      <wp:wrapNone/>
                      <wp:docPr id="39" name="Frame3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19710" cy="175260"/>
                      <wp:effectExtent l="0" t="0" r="0" b="0"/>
                      <wp:wrapNone/>
                      <wp:docPr id="40" name="Frame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33985" cy="175260"/>
                      <wp:effectExtent l="0" t="0" r="0" b="0"/>
                      <wp:wrapNone/>
                      <wp:docPr id="41" name="Frame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438785" cy="175260"/>
                      <wp:effectExtent l="0" t="0" r="0" b="0"/>
                      <wp:wrapNone/>
                      <wp:docPr id="42" name="Frame4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19710" cy="175260"/>
                      <wp:effectExtent l="0" t="0" r="0" b="0"/>
                      <wp:wrapNone/>
                      <wp:docPr id="43" name="Frame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33985" cy="175260"/>
                      <wp:effectExtent l="0" t="0" r="0" b="0"/>
                      <wp:wrapNone/>
                      <wp:docPr id="44" name="Frame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495935" cy="175260"/>
                      <wp:effectExtent l="0" t="0" r="0" b="0"/>
                      <wp:wrapNone/>
                      <wp:docPr id="45" name="Frame4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13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left"/>
              <w:rPr/>
            </w:pPr>
            <w:r>
              <w:rPr/>
              <w:t>  ​ ​ ​</w:t>
            </w:r>
          </w:p>
        </w:tc>
        <w:tc>
          <w:tcPr>
            <w:tcW w:w="224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34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3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22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4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38,803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32,581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79,798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62,728</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(loss) income: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 hedges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(4,049)</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 benefit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956</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adjustment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(4,889)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19,054</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 benefit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(1,622)</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comprehensive (loss)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10,314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(4,280)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14,339</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comprehensive income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38,455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42,895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75,518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77,067</w:t>
            </w:r>
          </w:p>
        </w:tc>
      </w:tr>
    </w:tbl>
    <w:p>
      <w:pPr>
        <w:pStyle w:val="TextBody"/>
        <w:bidi w:val="0"/>
        <w:spacing w:before="0" w:after="0"/>
        <w:ind w:left="0" w:right="0" w:hanging="0"/>
        <w:jc w:val="left"/>
        <w:rPr/>
      </w:pPr>
      <w:r>
        <w:rPr/>
        <w:t>​</w:t>
      </w:r>
    </w:p>
    <w:p>
      <w:pPr>
        <w:pStyle w:val="TextBody"/>
        <w:bidi w:val="0"/>
        <w:spacing w:before="0" w:after="40"/>
        <w:ind w:left="0" w:right="0" w:hanging="0"/>
        <w:jc w:val="left"/>
        <w:rPr>
          <w:rFonts w:ascii="Times New Roman;Times;serif" w:hAnsi="Times New Roman;Times;serif"/>
          <w:sz w:val="20"/>
        </w:rPr>
      </w:pPr>
      <w:r>
        <w:rPr>
          <w:rFonts w:ascii="Times New Roman;Times;serif" w:hAnsi="Times New Roman;Times;serif"/>
          <w:sz w:val="20"/>
        </w:rPr>
        <w:t>See condensed notes to consolidated financial statements.</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28" w:name="_6581a738_6525_479e_80af_b44f82a18c03"/>
      <w:bookmarkEnd w:id="328"/>
      <w:r>
        <w:rPr>
          <w:rFonts w:ascii="Times New Roman;Times;serif" w:hAnsi="Times New Roman;Times;serif"/>
          <w:b/>
          <w:sz w:val="20"/>
        </w:rPr>
        <w:t>MERIT MEDICAL SYSTEMS, INC.</w:t>
      </w:r>
    </w:p>
    <w:p>
      <w:pPr>
        <w:pStyle w:val="TextBody"/>
        <w:bidi w:val="0"/>
        <w:spacing w:before="0" w:after="0"/>
        <w:ind w:left="0" w:right="0" w:hanging="0"/>
        <w:jc w:val="center"/>
        <w:rPr>
          <w:rFonts w:ascii="Times New Roman;Times;serif" w:hAnsi="Times New Roman;Times;serif"/>
          <w:b/>
          <w:sz w:val="20"/>
        </w:rPr>
      </w:pPr>
      <w:bookmarkStart w:id="329" w:name="STOCKHOLDERSEQUITY"/>
      <w:bookmarkEnd w:id="329"/>
      <w:r>
        <w:rPr>
          <w:rFonts w:ascii="Times New Roman;Times;serif" w:hAnsi="Times New Roman;Times;serif"/>
          <w:b/>
          <w:sz w:val="20"/>
        </w:rPr>
        <w:t>CONSOLIDATED STATEMENTS OF STOCKHOLDERS’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 unaudited)</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330" w:name="Tc_RkFcsFN_uESNiiDaVMbGVA_19_13"/>
      <w:bookmarkStart w:id="331" w:name="Tc_ZrD0Yg4paEecYSAb6inavg_19_10"/>
      <w:bookmarkStart w:id="332" w:name="Tc_z8UX0ZOIk0e1IwnUL9WTgA_19_7"/>
      <w:bookmarkStart w:id="333" w:name="Tc_E9M-AdiyfkyuD9YGhg2yvA_19_4"/>
      <w:bookmarkStart w:id="334" w:name="Tc_UGUy0L-d3EeqswgCRSKUaQ_19_0"/>
      <w:bookmarkStart w:id="335" w:name="Tc_Yv5JxsOh6U2JE4gu0gqStQ_18_0"/>
      <w:bookmarkStart w:id="336" w:name="Tc_8XGxNj7EQk-blm8YmtVA_Q_17_14"/>
      <w:bookmarkStart w:id="337" w:name="Tc_So8uMuia5k-Go0kO2iUx0g_17_5"/>
      <w:bookmarkStart w:id="338" w:name="Tc_WL_QpjqchEepEO-RD7iZCQ_17_0"/>
      <w:bookmarkStart w:id="339" w:name="Tc_797R9WvUQU-pDFWbzta6bw_16_0"/>
      <w:bookmarkStart w:id="340" w:name="Tc_UX1Td1MY20mK-r6RD0_wfg_15_0"/>
      <w:bookmarkStart w:id="341" w:name="Tc_cAgGeT4cPEeUJf3rAhc7iw_14_0"/>
      <w:bookmarkStart w:id="342" w:name="Tc_ulYg-wbTIUyfPkEaPuj57g_13_0"/>
      <w:bookmarkStart w:id="343" w:name="Tc_JSFjW7qgSk6oLdm9Y1HRGw_12_0"/>
      <w:bookmarkStart w:id="344" w:name="Tc_0Ya3gpKq1kKFM7iivSvliw_11_0"/>
      <w:bookmarkStart w:id="345" w:name="Tc_xyBPjUWRT0q98b_UNEOCjw_10_0"/>
      <w:bookmarkStart w:id="346" w:name="Tc_Ho6C5DSTNkqH-sicEJzvmw_9_14"/>
      <w:bookmarkStart w:id="347" w:name="Tc_fJtAhfWU0U25W9zYLZ_mow_9_5"/>
      <w:bookmarkStart w:id="348" w:name="Tc_N-VGpkGkb0uIGD5NPEzYRw_9_0"/>
      <w:bookmarkStart w:id="349" w:name="Tc_xufAmXJce0qhmLi8KwDcIA_8_0"/>
      <w:bookmarkStart w:id="350" w:name="Tc_4SPzLfiooUSiZxFdBUkv0A_7_0"/>
      <w:bookmarkStart w:id="351" w:name="Tc_vcnqi6voQE2BDQvLbw__Yg_6_0"/>
      <w:bookmarkStart w:id="352" w:name="Tc_DktiOnWfbE2V4iQpcFUmbg_5_0"/>
      <w:bookmarkStart w:id="353" w:name="Tc_2VILiWNMsEK4yIFd4npVmw_4_0"/>
      <w:bookmarkStart w:id="354" w:name="Tc_mMXDxqv7VUeNdbqNuFSCcQ_3_13"/>
      <w:bookmarkStart w:id="355" w:name="Tc_VuTnVUvxUkGVGsBd7AZe5w_3_10"/>
      <w:bookmarkStart w:id="356" w:name="Tc_wkMIHNzeIUqcyAmNRimhqw_3_7"/>
      <w:bookmarkStart w:id="357" w:name="Tc_6-uAYf8Ms0KGo42fkfx6aQ_3_4"/>
      <w:bookmarkStart w:id="358" w:name="Tc_kBDWbLtvqE23QkZQemM5dQ_3_0"/>
      <w:bookmarkStart w:id="359" w:name="Tc_rxfhs8jZMk-NNzTIKrXFGQ_2_13"/>
      <w:bookmarkStart w:id="360" w:name="Tc_aZzD5KDgyESL4B_0-6ToDA_2_10"/>
      <w:bookmarkStart w:id="361" w:name="Tc_Djb6uUe39ke5oz2XgFpJLQ_2_7"/>
      <w:bookmarkStart w:id="362" w:name="Tc_OKkBHS2qYkapXfiDVv5f8Q_2_4"/>
      <w:bookmarkStart w:id="363" w:name="Tc_QbYUXHbcsEWzjjShDzUOjQ_2_2"/>
      <w:bookmarkStart w:id="364" w:name="Tc_g8egBlUUSEaBOB7x9s0RyQ_1_10"/>
      <w:bookmarkStart w:id="365" w:name="Tc_uVXreEdC50SY0VexpzvYpg_1_7"/>
      <w:bookmarkStart w:id="366" w:name="Tc_zqf4u1g92ki2OR47_g3dQA_1_2"/>
      <w:bookmarkStart w:id="367" w:name="_704adc66_d987_497c_b44a_19ff8b0281a4"/>
      <w:bookmarkStart w:id="368" w:name="Tc_RkFcsFN_uESNiiDaVMbGVA_19_13"/>
      <w:bookmarkStart w:id="369" w:name="Tc_ZrD0Yg4paEecYSAb6inavg_19_10"/>
      <w:bookmarkStart w:id="370" w:name="Tc_z8UX0ZOIk0e1IwnUL9WTgA_19_7"/>
      <w:bookmarkStart w:id="371" w:name="Tc_E9M-AdiyfkyuD9YGhg2yvA_19_4"/>
      <w:bookmarkStart w:id="372" w:name="Tc_UGUy0L-d3EeqswgCRSKUaQ_19_0"/>
      <w:bookmarkStart w:id="373" w:name="Tc_Yv5JxsOh6U2JE4gu0gqStQ_18_0"/>
      <w:bookmarkStart w:id="374" w:name="Tc_8XGxNj7EQk-blm8YmtVA_Q_17_14"/>
      <w:bookmarkStart w:id="375" w:name="Tc_So8uMuia5k-Go0kO2iUx0g_17_5"/>
      <w:bookmarkStart w:id="376" w:name="Tc_WL_QpjqchEepEO-RD7iZCQ_17_0"/>
      <w:bookmarkStart w:id="377" w:name="Tc_797R9WvUQU-pDFWbzta6bw_16_0"/>
      <w:bookmarkStart w:id="378" w:name="Tc_UX1Td1MY20mK-r6RD0_wfg_15_0"/>
      <w:bookmarkStart w:id="379" w:name="Tc_cAgGeT4cPEeUJf3rAhc7iw_14_0"/>
      <w:bookmarkStart w:id="380" w:name="Tc_ulYg-wbTIUyfPkEaPuj57g_13_0"/>
      <w:bookmarkStart w:id="381" w:name="Tc_JSFjW7qgSk6oLdm9Y1HRGw_12_0"/>
      <w:bookmarkStart w:id="382" w:name="Tc_0Ya3gpKq1kKFM7iivSvliw_11_0"/>
      <w:bookmarkStart w:id="383" w:name="Tc_xyBPjUWRT0q98b_UNEOCjw_10_0"/>
      <w:bookmarkStart w:id="384" w:name="Tc_Ho6C5DSTNkqH-sicEJzvmw_9_14"/>
      <w:bookmarkStart w:id="385" w:name="Tc_fJtAhfWU0U25W9zYLZ_mow_9_5"/>
      <w:bookmarkStart w:id="386" w:name="Tc_N-VGpkGkb0uIGD5NPEzYRw_9_0"/>
      <w:bookmarkStart w:id="387" w:name="Tc_xufAmXJce0qhmLi8KwDcIA_8_0"/>
      <w:bookmarkStart w:id="388" w:name="Tc_4SPzLfiooUSiZxFdBUkv0A_7_0"/>
      <w:bookmarkStart w:id="389" w:name="Tc_vcnqi6voQE2BDQvLbw__Yg_6_0"/>
      <w:bookmarkStart w:id="390" w:name="Tc_DktiOnWfbE2V4iQpcFUmbg_5_0"/>
      <w:bookmarkStart w:id="391" w:name="Tc_2VILiWNMsEK4yIFd4npVmw_4_0"/>
      <w:bookmarkStart w:id="392" w:name="Tc_mMXDxqv7VUeNdbqNuFSCcQ_3_13"/>
      <w:bookmarkStart w:id="393" w:name="Tc_VuTnVUvxUkGVGsBd7AZe5w_3_10"/>
      <w:bookmarkStart w:id="394" w:name="Tc_wkMIHNzeIUqcyAmNRimhqw_3_7"/>
      <w:bookmarkStart w:id="395" w:name="Tc_6-uAYf8Ms0KGo42fkfx6aQ_3_4"/>
      <w:bookmarkStart w:id="396" w:name="Tc_kBDWbLtvqE23QkZQemM5dQ_3_0"/>
      <w:bookmarkStart w:id="397" w:name="Tc_rxfhs8jZMk-NNzTIKrXFGQ_2_13"/>
      <w:bookmarkStart w:id="398" w:name="Tc_aZzD5KDgyESL4B_0-6ToDA_2_10"/>
      <w:bookmarkStart w:id="399" w:name="Tc_Djb6uUe39ke5oz2XgFpJLQ_2_7"/>
      <w:bookmarkStart w:id="400" w:name="Tc_OKkBHS2qYkapXfiDVv5f8Q_2_4"/>
      <w:bookmarkStart w:id="401" w:name="Tc_QbYUXHbcsEWzjjShDzUOjQ_2_2"/>
      <w:bookmarkStart w:id="402" w:name="Tc_g8egBlUUSEaBOB7x9s0RyQ_1_10"/>
      <w:bookmarkStart w:id="403" w:name="Tc_uVXreEdC50SY0VexpzvYpg_1_7"/>
      <w:bookmarkStart w:id="404" w:name="Tc_zqf4u1g92ki2OR47_g3dQA_1_2"/>
      <w:bookmarkStart w:id="405" w:name="_704adc66_d987_497c_b44a_19ff8b0281a4"/>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p>
    <w:tbl>
      <w:tblPr>
        <w:tblW w:w="10205" w:type="dxa"/>
        <w:jc w:val="left"/>
        <w:tblInd w:w="0" w:type="dxa"/>
        <w:tblLayout w:type="fixed"/>
        <w:tblCellMar>
          <w:top w:w="0" w:type="dxa"/>
          <w:left w:w="0" w:type="dxa"/>
          <w:bottom w:w="0" w:type="dxa"/>
          <w:right w:w="0" w:type="dxa"/>
        </w:tblCellMar>
      </w:tblPr>
      <w:tblGrid>
        <w:gridCol w:w="3021"/>
        <w:gridCol w:w="346"/>
        <w:gridCol w:w="676"/>
        <w:gridCol w:w="346"/>
        <w:gridCol w:w="211"/>
        <w:gridCol w:w="781"/>
        <w:gridCol w:w="346"/>
        <w:gridCol w:w="211"/>
        <w:gridCol w:w="781"/>
        <w:gridCol w:w="346"/>
        <w:gridCol w:w="386"/>
        <w:gridCol w:w="1159"/>
        <w:gridCol w:w="346"/>
        <w:gridCol w:w="211"/>
        <w:gridCol w:w="1038"/>
      </w:tblGrid>
      <w:tr>
        <w:trPr/>
        <w:tc>
          <w:tcPr>
            <w:tcW w:w="3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918335" cy="175260"/>
                      <wp:effectExtent l="0" t="0" r="0" b="0"/>
                      <wp:wrapNone/>
                      <wp:docPr id="46" name="Frame45"/>
                      <a:graphic xmlns:a="http://schemas.openxmlformats.org/drawingml/2006/main">
                        <a:graphicData uri="http://schemas.microsoft.com/office/word/2010/wordprocessingShape">
                          <wps:wsp>
                            <wps:cNvSpPr txBox="1"/>
                            <wps:spPr>
                              <a:xfrm>
                                <a:off x="0" y="0"/>
                                <a:ext cx="1918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19710" cy="175260"/>
                      <wp:effectExtent l="0" t="0" r="0" b="0"/>
                      <wp:wrapNone/>
                      <wp:docPr id="47" name="Frame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429260" cy="175260"/>
                      <wp:effectExtent l="0" t="0" r="0" b="0"/>
                      <wp:wrapNone/>
                      <wp:docPr id="48" name="Frame4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19710" cy="175260"/>
                      <wp:effectExtent l="0" t="0" r="0" b="0"/>
                      <wp:wrapNone/>
                      <wp:docPr id="49" name="Frame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33985" cy="175260"/>
                      <wp:effectExtent l="0" t="0" r="0" b="0"/>
                      <wp:wrapNone/>
                      <wp:docPr id="50" name="Frame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495935" cy="175260"/>
                      <wp:effectExtent l="0" t="0" r="0" b="0"/>
                      <wp:wrapNone/>
                      <wp:docPr id="51" name="Frame5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19710" cy="175260"/>
                      <wp:effectExtent l="0" t="0" r="0" b="0"/>
                      <wp:wrapNone/>
                      <wp:docPr id="52" name="Frame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33985" cy="175260"/>
                      <wp:effectExtent l="0" t="0" r="0" b="0"/>
                      <wp:wrapNone/>
                      <wp:docPr id="53" name="Frame5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495935" cy="175260"/>
                      <wp:effectExtent l="0" t="0" r="0" b="0"/>
                      <wp:wrapNone/>
                      <wp:docPr id="54" name="Frame5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19710" cy="175260"/>
                      <wp:effectExtent l="0" t="0" r="0" b="0"/>
                      <wp:wrapNone/>
                      <wp:docPr id="55" name="Frame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45110" cy="175260"/>
                      <wp:effectExtent l="0" t="0" r="0" b="0"/>
                      <wp:wrapNone/>
                      <wp:docPr id="56" name="Frame55"/>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735965" cy="175260"/>
                      <wp:effectExtent l="0" t="0" r="0" b="0"/>
                      <wp:wrapNone/>
                      <wp:docPr id="57" name="Frame56"/>
                      <a:graphic xmlns:a="http://schemas.openxmlformats.org/drawingml/2006/main">
                        <a:graphicData uri="http://schemas.microsoft.com/office/word/2010/wordprocessingShape">
                          <wps:wsp>
                            <wps:cNvSpPr txBox="1"/>
                            <wps:spPr>
                              <a:xfrm>
                                <a:off x="0" y="0"/>
                                <a:ext cx="7359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19710" cy="175260"/>
                      <wp:effectExtent l="0" t="0" r="0" b="0"/>
                      <wp:wrapNone/>
                      <wp:docPr id="58" name="Frame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33985" cy="175260"/>
                      <wp:effectExtent l="0" t="0" r="0" b="0"/>
                      <wp:wrapNone/>
                      <wp:docPr id="59" name="Frame5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59130" cy="175260"/>
                      <wp:effectExtent l="0" t="0" r="0" b="0"/>
                      <wp:wrapNone/>
                      <wp:docPr id="60" name="Frame59"/>
                      <a:graphic xmlns:a="http://schemas.openxmlformats.org/drawingml/2006/main">
                        <a:graphicData uri="http://schemas.microsoft.com/office/word/2010/wordprocessingShape">
                          <wps:wsp>
                            <wps:cNvSpPr txBox="1"/>
                            <wps:spPr>
                              <a:xfrm>
                                <a:off x="0" y="0"/>
                                <a:ext cx="659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1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346" w:type="dxa"/>
            <w:tcBorders/>
            <w:vAlign w:val="center"/>
          </w:tcPr>
          <w:p>
            <w:pPr>
              <w:pStyle w:val="TableContents"/>
              <w:bidi w:val="0"/>
              <w:spacing w:before="0" w:after="0"/>
              <w:ind w:left="0" w:right="0" w:hanging="0"/>
              <w:jc w:val="left"/>
              <w:rPr/>
            </w:pPr>
            <w:r>
              <w:rPr/>
              <w:t>​</w:t>
            </w:r>
          </w:p>
        </w:tc>
        <w:tc>
          <w:tcPr>
            <w:tcW w:w="154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 Other</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8" w:type="dxa"/>
            <w:tcBorders/>
            <w:vAlign w:val="center"/>
          </w:tcPr>
          <w:p>
            <w:pPr>
              <w:pStyle w:val="TableContents"/>
              <w:bidi w:val="0"/>
              <w:spacing w:before="0" w:after="0"/>
              <w:ind w:left="0" w:right="0" w:hanging="0"/>
              <w:jc w:val="center"/>
              <w:rPr/>
            </w:pPr>
            <w:r>
              <w:rPr/>
              <w:t>​</w:t>
            </w:r>
          </w:p>
        </w:tc>
      </w:tr>
      <w:tr>
        <w:trPr/>
        <w:tc>
          <w:tcPr>
            <w:tcW w:w="30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46" w:type="dxa"/>
            <w:tcBorders/>
            <w:vAlign w:val="center"/>
          </w:tcPr>
          <w:p>
            <w:pPr>
              <w:pStyle w:val="TableContents"/>
              <w:bidi w:val="0"/>
              <w:spacing w:before="0" w:after="0"/>
              <w:ind w:left="0" w:right="0" w:hanging="0"/>
              <w:jc w:val="left"/>
              <w:rPr/>
            </w:pPr>
            <w:r>
              <w:rPr/>
              <w:t>  ​ ​ ​</w:t>
            </w:r>
          </w:p>
        </w:tc>
        <w:tc>
          <w:tcPr>
            <w:tcW w:w="1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 Loss</w:t>
            </w:r>
          </w:p>
        </w:tc>
        <w:tc>
          <w:tcPr>
            <w:tcW w:w="346" w:type="dxa"/>
            <w:tcBorders/>
            <w:vAlign w:val="center"/>
          </w:tcPr>
          <w:p>
            <w:pPr>
              <w:pStyle w:val="TableContents"/>
              <w:bidi w:val="0"/>
              <w:spacing w:before="0" w:after="0"/>
              <w:ind w:left="0" w:right="0" w:hanging="0"/>
              <w:jc w:val="left"/>
              <w:rPr/>
            </w:pPr>
            <w:r>
              <w:rPr/>
              <w:t>  ​ ​ ​</w:t>
            </w:r>
          </w:p>
        </w:tc>
        <w:tc>
          <w:tcPr>
            <w:tcW w:w="12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 January 1, 2026</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59,424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763,909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824,030</w:t>
            </w:r>
          </w:p>
        </w:tc>
        <w:tc>
          <w:tcPr>
            <w:tcW w:w="346"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1,584,303</w:t>
            </w:r>
          </w:p>
        </w:tc>
      </w:tr>
      <w:tr>
        <w:trPr/>
        <w:tc>
          <w:tcPr>
            <w:tcW w:w="30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40,995</w:t>
            </w:r>
          </w:p>
        </w:tc>
        <w:tc>
          <w:tcPr>
            <w:tcW w:w="346"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 </w:t>
            </w:r>
          </w:p>
        </w:tc>
        <w:tc>
          <w:tcPr>
            <w:tcW w:w="1159"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40,995</w:t>
            </w:r>
          </w:p>
        </w:tc>
      </w:tr>
      <w:tr>
        <w:trPr/>
        <w:tc>
          <w:tcPr>
            <w:tcW w:w="3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loss</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 </w:t>
            </w:r>
          </w:p>
        </w:tc>
        <w:tc>
          <w:tcPr>
            <w:tcW w:w="11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(3,932)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(3,932)</w:t>
            </w:r>
          </w:p>
        </w:tc>
      </w:tr>
      <w:tr>
        <w:trPr/>
        <w:tc>
          <w:tcPr>
            <w:tcW w:w="30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9,509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 </w:t>
            </w:r>
          </w:p>
        </w:tc>
        <w:tc>
          <w:tcPr>
            <w:tcW w:w="1159"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9,509</w:t>
            </w:r>
          </w:p>
        </w:tc>
      </w:tr>
      <w:tr>
        <w:trPr/>
        <w:tc>
          <w:tcPr>
            <w:tcW w:w="3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Options exercised</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 </w:t>
            </w:r>
          </w:p>
        </w:tc>
        <w:tc>
          <w:tcPr>
            <w:tcW w:w="1159"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2,345</w:t>
            </w:r>
          </w:p>
        </w:tc>
      </w:tr>
      <w:tr>
        <w:trPr/>
        <w:tc>
          <w:tcPr>
            <w:tcW w:w="30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common stock under Employee Stock Purchase Plan</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 </w:t>
            </w:r>
          </w:p>
        </w:tc>
        <w:tc>
          <w:tcPr>
            <w:tcW w:w="1159"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430</w:t>
            </w:r>
          </w:p>
        </w:tc>
      </w:tr>
      <w:tr>
        <w:trPr/>
        <w:tc>
          <w:tcPr>
            <w:tcW w:w="3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issued from time-vested restricted stock units</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115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8" w:type="dxa"/>
            <w:tcBorders/>
            <w:shd w:fill="CCEEFF" w:val="clear"/>
            <w:vAlign w:val="center"/>
          </w:tcPr>
          <w:p>
            <w:pPr>
              <w:pStyle w:val="TableContents"/>
              <w:bidi w:val="0"/>
              <w:spacing w:before="0" w:after="0"/>
              <w:ind w:left="0" w:right="0" w:hanging="0"/>
              <w:jc w:val="right"/>
              <w:rPr/>
            </w:pPr>
            <w:r>
              <w:rPr/>
              <w:t>—</w:t>
            </w:r>
          </w:p>
        </w:tc>
      </w:tr>
      <w:tr>
        <w:trPr/>
        <w:tc>
          <w:tcPr>
            <w:tcW w:w="30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surrendered in exchange for payment of payroll tax liabilities</w:t>
            </w:r>
          </w:p>
        </w:tc>
        <w:tc>
          <w:tcPr>
            <w:tcW w:w="346" w:type="dxa"/>
            <w:tcBorders/>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(6,922)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(6,922)</w:t>
            </w:r>
          </w:p>
        </w:tc>
      </w:tr>
      <w:tr>
        <w:trPr/>
        <w:tc>
          <w:tcPr>
            <w:tcW w:w="3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 March 31, 2026</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59,655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769,271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865,025</w:t>
            </w:r>
          </w:p>
        </w:tc>
        <w:tc>
          <w:tcPr>
            <w:tcW w:w="346"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11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(7,568)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1,626,728</w:t>
            </w:r>
          </w:p>
        </w:tc>
      </w:tr>
      <w:tr>
        <w:trPr/>
        <w:tc>
          <w:tcPr>
            <w:tcW w:w="30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38,803</w:t>
            </w:r>
          </w:p>
        </w:tc>
        <w:tc>
          <w:tcPr>
            <w:tcW w:w="346"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 </w:t>
            </w:r>
          </w:p>
        </w:tc>
        <w:tc>
          <w:tcPr>
            <w:tcW w:w="1159"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38,803</w:t>
            </w:r>
          </w:p>
        </w:tc>
      </w:tr>
      <w:tr>
        <w:trPr/>
        <w:tc>
          <w:tcPr>
            <w:tcW w:w="3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loss</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 </w:t>
            </w:r>
          </w:p>
        </w:tc>
        <w:tc>
          <w:tcPr>
            <w:tcW w:w="11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w:t>
            </w:r>
          </w:p>
        </w:tc>
      </w:tr>
      <w:tr>
        <w:trPr/>
        <w:tc>
          <w:tcPr>
            <w:tcW w:w="30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12,824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 </w:t>
            </w:r>
          </w:p>
        </w:tc>
        <w:tc>
          <w:tcPr>
            <w:tcW w:w="1159"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12,824</w:t>
            </w:r>
          </w:p>
        </w:tc>
      </w:tr>
      <w:tr>
        <w:trPr/>
        <w:tc>
          <w:tcPr>
            <w:tcW w:w="3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Options exercised</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 </w:t>
            </w:r>
          </w:p>
        </w:tc>
        <w:tc>
          <w:tcPr>
            <w:tcW w:w="1159"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1,527</w:t>
            </w:r>
          </w:p>
        </w:tc>
      </w:tr>
      <w:tr>
        <w:trPr/>
        <w:tc>
          <w:tcPr>
            <w:tcW w:w="30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common stock under Employee Stock Purchase Plan</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 </w:t>
            </w:r>
          </w:p>
        </w:tc>
        <w:tc>
          <w:tcPr>
            <w:tcW w:w="1159"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w:t>
            </w:r>
          </w:p>
        </w:tc>
      </w:tr>
      <w:tr>
        <w:trPr/>
        <w:tc>
          <w:tcPr>
            <w:tcW w:w="3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issued from time-vested restricted stock units</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115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8" w:type="dxa"/>
            <w:tcBorders/>
            <w:shd w:fill="CCEEFF" w:val="clear"/>
            <w:vAlign w:val="center"/>
          </w:tcPr>
          <w:p>
            <w:pPr>
              <w:pStyle w:val="TableContents"/>
              <w:bidi w:val="0"/>
              <w:spacing w:before="0" w:after="0"/>
              <w:ind w:left="0" w:right="0" w:hanging="0"/>
              <w:jc w:val="right"/>
              <w:rPr/>
            </w:pPr>
            <w:r>
              <w:rPr/>
              <w:t>—</w:t>
            </w:r>
          </w:p>
        </w:tc>
      </w:tr>
      <w:tr>
        <w:trPr/>
        <w:tc>
          <w:tcPr>
            <w:tcW w:w="30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surrendered in exchange for payment of payroll tax liabilities</w:t>
            </w:r>
          </w:p>
        </w:tc>
        <w:tc>
          <w:tcPr>
            <w:tcW w:w="346" w:type="dxa"/>
            <w:tcBorders/>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r>
      <w:tr>
        <w:trPr/>
        <w:tc>
          <w:tcPr>
            <w:tcW w:w="3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 June 30, 2026</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59,710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783,892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903,828</w:t>
            </w:r>
          </w:p>
        </w:tc>
        <w:tc>
          <w:tcPr>
            <w:tcW w:w="346" w:type="dxa"/>
            <w:tcBorders/>
            <w:shd w:fill="CCEEFF" w:val="clear"/>
            <w:vAlign w:val="center"/>
          </w:tcPr>
          <w:p>
            <w:pPr>
              <w:pStyle w:val="TableContents"/>
              <w:bidi w:val="0"/>
              <w:spacing w:before="0" w:after="0"/>
              <w:ind w:left="0" w:right="0" w:hanging="0"/>
              <w:jc w:val="left"/>
              <w:rPr/>
            </w:pPr>
            <w:r>
              <w:rPr/>
              <w:t>​</w:t>
            </w:r>
          </w:p>
        </w:tc>
        <w:tc>
          <w:tcPr>
            <w:tcW w:w="38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(7,916)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8"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1,679,804</w:t>
            </w:r>
          </w:p>
        </w:tc>
      </w:tr>
    </w:tbl>
    <w:p>
      <w:pPr>
        <w:pStyle w:val="TextBody"/>
        <w:bidi w:val="0"/>
        <w:spacing w:before="0" w:after="0"/>
        <w:ind w:left="0" w:right="0" w:hanging="0"/>
        <w:jc w:val="left"/>
        <w:rPr/>
      </w:pPr>
      <w:r>
        <w:rPr/>
        <w:t>​</w:t>
      </w:r>
    </w:p>
    <w:tbl>
      <w:tblPr>
        <w:tblW w:w="5957" w:type="dxa"/>
        <w:jc w:val="left"/>
        <w:tblInd w:w="0" w:type="dxa"/>
        <w:tblLayout w:type="fixed"/>
        <w:tblCellMar>
          <w:top w:w="0" w:type="dxa"/>
          <w:left w:w="0" w:type="dxa"/>
          <w:bottom w:w="0" w:type="dxa"/>
          <w:right w:w="0" w:type="dxa"/>
        </w:tblCellMar>
      </w:tblPr>
      <w:tblGrid>
        <w:gridCol w:w="4861"/>
        <w:gridCol w:w="1096"/>
      </w:tblGrid>
      <w:tr>
        <w:trPr/>
        <w:tc>
          <w:tcPr>
            <w:tcW w:w="4861"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left"/>
              <w:rPr/>
            </w:pPr>
            <w:r>
              <w:rPr/>
              <w:t>​</w:t>
            </w:r>
          </w:p>
        </w:tc>
      </w:tr>
      <w:tr>
        <w:trPr/>
        <w:tc>
          <w:tcPr>
            <w:tcW w:w="48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See condensed notes to consolidated financial statements. </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(continued)</w:t>
            </w:r>
          </w:p>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MERIT MEDICAL SYSTEMS,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STATEMENTS OF STOCKHOLDERS’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 unaudited)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406" w:name="Tc_DYG4E8vG6EyJQQgoaF0Gzg_19_13"/>
      <w:bookmarkStart w:id="407" w:name="Tc_0ymCzL4hKUa7OwggPeNO7Q_19_10"/>
      <w:bookmarkStart w:id="408" w:name="Tc_d2UsMbqfPk238MHjWrWHGA_19_7"/>
      <w:bookmarkStart w:id="409" w:name="Tc_1otc4nwjT0u1PfuFbl8Tgg_19_4"/>
      <w:bookmarkStart w:id="410" w:name="Tc_B5FVSS0I8UiFz4sp5Y-IDA_19_0"/>
      <w:bookmarkStart w:id="411" w:name="Tc_-lqynDPfUkWIBuU8W0yM0Q_18_14"/>
      <w:bookmarkStart w:id="412" w:name="Tc_2wGNaFJAX0-sFoJIX_DmUg_18_5"/>
      <w:bookmarkStart w:id="413" w:name="Tc_JqiwWzukfkCTKpJRMhVYJw_18_0"/>
      <w:bookmarkStart w:id="414" w:name="Tc_rdCgHCKXf0i3j_bH3Wpc5Q_17_0"/>
      <w:bookmarkStart w:id="415" w:name="Tc_zFwt-gOUf0ah6qccVkkUng_16_0"/>
      <w:bookmarkStart w:id="416" w:name="Tc_meGbVMtjrkiS82nv8-akwQ_15_0"/>
      <w:bookmarkStart w:id="417" w:name="Tc_9ucHNfINq0WRxIFdBozDZQ_14_0"/>
      <w:bookmarkStart w:id="418" w:name="Tc_hxVXIvJB2Uy-9EHnuEhexQ_13_0"/>
      <w:bookmarkStart w:id="419" w:name="Tc_YdRgKZ3i_ky_KpzcXfJZeg_12_0"/>
      <w:bookmarkStart w:id="420" w:name="Tc_qB3Owz20V0SAQr2-HQL-zw_11_0"/>
      <w:bookmarkStart w:id="421" w:name="Tc_kE9JvDnn1k6Ej57i8tp36w_10_0"/>
      <w:bookmarkStart w:id="422" w:name="Tc_-Org6wTRAkqIP1akr8DFUQ_9_14"/>
      <w:bookmarkStart w:id="423" w:name="Tc_4u6m0iVDek6HlR3Er5ZMtA_9_5"/>
      <w:bookmarkStart w:id="424" w:name="Tc_kI5c0bIzakWHtInP6eypVQ_9_0"/>
      <w:bookmarkStart w:id="425" w:name="Tc_Oa8kT2mOeUWhjfcYWkkFSg_8_0"/>
      <w:bookmarkStart w:id="426" w:name="Tc_NQVzfEkRCkKdZ7SAeCx0LA_7_0"/>
      <w:bookmarkStart w:id="427" w:name="Tc_k3S94UfdEEqE45C1EerEHQ_6_0"/>
      <w:bookmarkStart w:id="428" w:name="Tc_RV_mLfdxvEKgj139Y7HhOA_5_0"/>
      <w:bookmarkStart w:id="429" w:name="Tc_fp2gIgZxYkqsBJw4eCiFjA_4_0"/>
      <w:bookmarkStart w:id="430" w:name="Tc_cZ_vdWUZbkiHdy72O9s54A_3_13"/>
      <w:bookmarkStart w:id="431" w:name="Tc_E4gWI5okSUi9Ra4MtahUzA_3_10"/>
      <w:bookmarkStart w:id="432" w:name="Tc_Umm6Z44whEOIf8PCz34QAg_3_7"/>
      <w:bookmarkStart w:id="433" w:name="Tc_EnM7HX3IX0am1k7GFyUE1Q_3_4"/>
      <w:bookmarkStart w:id="434" w:name="Tc_gcPjHF8UfkibAVhzR92B5g_3_0"/>
      <w:bookmarkStart w:id="435" w:name="Tc_HiZIEUrhEUC_GXq5ZvxhOQ_2_13"/>
      <w:bookmarkStart w:id="436" w:name="Tc__1f2oyGQG0Wd2iIkMWPdzg_2_10"/>
      <w:bookmarkStart w:id="437" w:name="Tc_daKvTVKDeUGOhmMQ5Jauqg_2_7"/>
      <w:bookmarkStart w:id="438" w:name="Tc_pOQ5qYYm_E-PfKdkptkgaQ_2_4"/>
      <w:bookmarkStart w:id="439" w:name="Tc_FNcqt9422UeGN-MUxTKSjw_2_2"/>
      <w:bookmarkStart w:id="440" w:name="Tc_SLYMfhjce06-NskBpTppdg_1_10"/>
      <w:bookmarkStart w:id="441" w:name="Tc_S0B3jcA790OO25T3Ee0h-A_1_7"/>
      <w:bookmarkStart w:id="442" w:name="Tc_VqfHm1xfxUurKGquW1zLxg_1_2"/>
      <w:bookmarkStart w:id="443" w:name="_63fb05f0_84b1_4599_8c0d_ce1cf22d3e45"/>
      <w:bookmarkStart w:id="444" w:name="Tc_DYG4E8vG6EyJQQgoaF0Gzg_19_13"/>
      <w:bookmarkStart w:id="445" w:name="Tc_0ymCzL4hKUa7OwggPeNO7Q_19_10"/>
      <w:bookmarkStart w:id="446" w:name="Tc_d2UsMbqfPk238MHjWrWHGA_19_7"/>
      <w:bookmarkStart w:id="447" w:name="Tc_1otc4nwjT0u1PfuFbl8Tgg_19_4"/>
      <w:bookmarkStart w:id="448" w:name="Tc_B5FVSS0I8UiFz4sp5Y-IDA_19_0"/>
      <w:bookmarkStart w:id="449" w:name="Tc_-lqynDPfUkWIBuU8W0yM0Q_18_14"/>
      <w:bookmarkStart w:id="450" w:name="Tc_2wGNaFJAX0-sFoJIX_DmUg_18_5"/>
      <w:bookmarkStart w:id="451" w:name="Tc_JqiwWzukfkCTKpJRMhVYJw_18_0"/>
      <w:bookmarkStart w:id="452" w:name="Tc_rdCgHCKXf0i3j_bH3Wpc5Q_17_0"/>
      <w:bookmarkStart w:id="453" w:name="Tc_zFwt-gOUf0ah6qccVkkUng_16_0"/>
      <w:bookmarkStart w:id="454" w:name="Tc_meGbVMtjrkiS82nv8-akwQ_15_0"/>
      <w:bookmarkStart w:id="455" w:name="Tc_9ucHNfINq0WRxIFdBozDZQ_14_0"/>
      <w:bookmarkStart w:id="456" w:name="Tc_hxVXIvJB2Uy-9EHnuEhexQ_13_0"/>
      <w:bookmarkStart w:id="457" w:name="Tc_YdRgKZ3i_ky_KpzcXfJZeg_12_0"/>
      <w:bookmarkStart w:id="458" w:name="Tc_qB3Owz20V0SAQr2-HQL-zw_11_0"/>
      <w:bookmarkStart w:id="459" w:name="Tc_kE9JvDnn1k6Ej57i8tp36w_10_0"/>
      <w:bookmarkStart w:id="460" w:name="Tc_-Org6wTRAkqIP1akr8DFUQ_9_14"/>
      <w:bookmarkStart w:id="461" w:name="Tc_4u6m0iVDek6HlR3Er5ZMtA_9_5"/>
      <w:bookmarkStart w:id="462" w:name="Tc_kI5c0bIzakWHtInP6eypVQ_9_0"/>
      <w:bookmarkStart w:id="463" w:name="Tc_Oa8kT2mOeUWhjfcYWkkFSg_8_0"/>
      <w:bookmarkStart w:id="464" w:name="Tc_NQVzfEkRCkKdZ7SAeCx0LA_7_0"/>
      <w:bookmarkStart w:id="465" w:name="Tc_k3S94UfdEEqE45C1EerEHQ_6_0"/>
      <w:bookmarkStart w:id="466" w:name="Tc_RV_mLfdxvEKgj139Y7HhOA_5_0"/>
      <w:bookmarkStart w:id="467" w:name="Tc_fp2gIgZxYkqsBJw4eCiFjA_4_0"/>
      <w:bookmarkStart w:id="468" w:name="Tc_cZ_vdWUZbkiHdy72O9s54A_3_13"/>
      <w:bookmarkStart w:id="469" w:name="Tc_E4gWI5okSUi9Ra4MtahUzA_3_10"/>
      <w:bookmarkStart w:id="470" w:name="Tc_Umm6Z44whEOIf8PCz34QAg_3_7"/>
      <w:bookmarkStart w:id="471" w:name="Tc_EnM7HX3IX0am1k7GFyUE1Q_3_4"/>
      <w:bookmarkStart w:id="472" w:name="Tc_gcPjHF8UfkibAVhzR92B5g_3_0"/>
      <w:bookmarkStart w:id="473" w:name="Tc_HiZIEUrhEUC_GXq5ZvxhOQ_2_13"/>
      <w:bookmarkStart w:id="474" w:name="Tc__1f2oyGQG0Wd2iIkMWPdzg_2_10"/>
      <w:bookmarkStart w:id="475" w:name="Tc_daKvTVKDeUGOhmMQ5Jauqg_2_7"/>
      <w:bookmarkStart w:id="476" w:name="Tc_pOQ5qYYm_E-PfKdkptkgaQ_2_4"/>
      <w:bookmarkStart w:id="477" w:name="Tc_FNcqt9422UeGN-MUxTKSjw_2_2"/>
      <w:bookmarkStart w:id="478" w:name="Tc_SLYMfhjce06-NskBpTppdg_1_10"/>
      <w:bookmarkStart w:id="479" w:name="Tc_S0B3jcA790OO25T3Ee0h-A_1_7"/>
      <w:bookmarkStart w:id="480" w:name="Tc_VqfHm1xfxUurKGquW1zLxg_1_2"/>
      <w:bookmarkStart w:id="481" w:name="_63fb05f0_84b1_4599_8c0d_ce1cf22d3e45"/>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p>
    <w:tbl>
      <w:tblPr>
        <w:tblW w:w="10205" w:type="dxa"/>
        <w:jc w:val="left"/>
        <w:tblInd w:w="0" w:type="dxa"/>
        <w:tblLayout w:type="fixed"/>
        <w:tblCellMar>
          <w:top w:w="0" w:type="dxa"/>
          <w:left w:w="0" w:type="dxa"/>
          <w:bottom w:w="0" w:type="dxa"/>
          <w:right w:w="0" w:type="dxa"/>
        </w:tblCellMar>
      </w:tblPr>
      <w:tblGrid>
        <w:gridCol w:w="2977"/>
        <w:gridCol w:w="346"/>
        <w:gridCol w:w="676"/>
        <w:gridCol w:w="346"/>
        <w:gridCol w:w="226"/>
        <w:gridCol w:w="781"/>
        <w:gridCol w:w="346"/>
        <w:gridCol w:w="226"/>
        <w:gridCol w:w="781"/>
        <w:gridCol w:w="346"/>
        <w:gridCol w:w="362"/>
        <w:gridCol w:w="1183"/>
        <w:gridCol w:w="346"/>
        <w:gridCol w:w="226"/>
        <w:gridCol w:w="1037"/>
      </w:tblGrid>
      <w:tr>
        <w:trPr/>
        <w:tc>
          <w:tcPr>
            <w:tcW w:w="29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890395" cy="175260"/>
                      <wp:effectExtent l="0" t="0" r="0" b="0"/>
                      <wp:wrapNone/>
                      <wp:docPr id="61" name="Frame60"/>
                      <a:graphic xmlns:a="http://schemas.openxmlformats.org/drawingml/2006/main">
                        <a:graphicData uri="http://schemas.microsoft.com/office/word/2010/wordprocessingShape">
                          <wps:wsp>
                            <wps:cNvSpPr txBox="1"/>
                            <wps:spPr>
                              <a:xfrm>
                                <a:off x="0" y="0"/>
                                <a:ext cx="18903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19710" cy="175260"/>
                      <wp:effectExtent l="0" t="0" r="0" b="0"/>
                      <wp:wrapNone/>
                      <wp:docPr id="62" name="Frame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429260" cy="175260"/>
                      <wp:effectExtent l="0" t="0" r="0" b="0"/>
                      <wp:wrapNone/>
                      <wp:docPr id="63" name="Frame6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19710" cy="175260"/>
                      <wp:effectExtent l="0" t="0" r="0" b="0"/>
                      <wp:wrapNone/>
                      <wp:docPr id="64" name="Frame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43510" cy="175260"/>
                      <wp:effectExtent l="0" t="0" r="0" b="0"/>
                      <wp:wrapNone/>
                      <wp:docPr id="65" name="Frame6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495935" cy="175260"/>
                      <wp:effectExtent l="0" t="0" r="0" b="0"/>
                      <wp:wrapNone/>
                      <wp:docPr id="66" name="Frame6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19710" cy="175260"/>
                      <wp:effectExtent l="0" t="0" r="0" b="0"/>
                      <wp:wrapNone/>
                      <wp:docPr id="67" name="Frame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43510" cy="175260"/>
                      <wp:effectExtent l="0" t="0" r="0" b="0"/>
                      <wp:wrapNone/>
                      <wp:docPr id="68" name="Frame6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495935" cy="175260"/>
                      <wp:effectExtent l="0" t="0" r="0" b="0"/>
                      <wp:wrapNone/>
                      <wp:docPr id="69" name="Frame6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19710" cy="175260"/>
                      <wp:effectExtent l="0" t="0" r="0" b="0"/>
                      <wp:wrapNone/>
                      <wp:docPr id="70" name="Frame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29870" cy="175260"/>
                      <wp:effectExtent l="0" t="0" r="0" b="0"/>
                      <wp:wrapNone/>
                      <wp:docPr id="71" name="Frame70"/>
                      <a:graphic xmlns:a="http://schemas.openxmlformats.org/drawingml/2006/main">
                        <a:graphicData uri="http://schemas.microsoft.com/office/word/2010/wordprocessingShape">
                          <wps:wsp>
                            <wps:cNvSpPr txBox="1"/>
                            <wps:spPr>
                              <a:xfrm>
                                <a:off x="0" y="0"/>
                                <a:ext cx="229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751205" cy="175260"/>
                      <wp:effectExtent l="0" t="0" r="0" b="0"/>
                      <wp:wrapNone/>
                      <wp:docPr id="72" name="Frame71"/>
                      <a:graphic xmlns:a="http://schemas.openxmlformats.org/drawingml/2006/main">
                        <a:graphicData uri="http://schemas.microsoft.com/office/word/2010/wordprocessingShape">
                          <wps:wsp>
                            <wps:cNvSpPr txBox="1"/>
                            <wps:spPr>
                              <a:xfrm>
                                <a:off x="0" y="0"/>
                                <a:ext cx="751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19710" cy="175260"/>
                      <wp:effectExtent l="0" t="0" r="0" b="0"/>
                      <wp:wrapNone/>
                      <wp:docPr id="73" name="Frame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43510" cy="175260"/>
                      <wp:effectExtent l="0" t="0" r="0" b="0"/>
                      <wp:wrapNone/>
                      <wp:docPr id="74" name="Frame7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58495" cy="175260"/>
                      <wp:effectExtent l="0" t="0" r="0" b="0"/>
                      <wp:wrapNone/>
                      <wp:docPr id="75" name="Frame74"/>
                      <a:graphic xmlns:a="http://schemas.openxmlformats.org/drawingml/2006/main">
                        <a:graphicData uri="http://schemas.microsoft.com/office/word/2010/wordprocessingShape">
                          <wps:wsp>
                            <wps:cNvSpPr txBox="1"/>
                            <wps:spPr>
                              <a:xfrm>
                                <a:off x="0" y="0"/>
                                <a:ext cx="658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7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2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46" w:type="dxa"/>
            <w:tcBorders/>
            <w:vAlign w:val="center"/>
          </w:tcPr>
          <w:p>
            <w:pPr>
              <w:pStyle w:val="TableContents"/>
              <w:bidi w:val="0"/>
              <w:spacing w:before="0" w:after="0"/>
              <w:ind w:left="0" w:right="0" w:hanging="0"/>
              <w:jc w:val="left"/>
              <w:rPr/>
            </w:pPr>
            <w:r>
              <w:rPr/>
              <w:t>​</w:t>
            </w:r>
          </w:p>
        </w:tc>
        <w:tc>
          <w:tcPr>
            <w:tcW w:w="10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346" w:type="dxa"/>
            <w:tcBorders/>
            <w:vAlign w:val="center"/>
          </w:tcPr>
          <w:p>
            <w:pPr>
              <w:pStyle w:val="TableContents"/>
              <w:bidi w:val="0"/>
              <w:spacing w:before="0" w:after="0"/>
              <w:ind w:left="0" w:right="0" w:hanging="0"/>
              <w:jc w:val="left"/>
              <w:rPr/>
            </w:pPr>
            <w:r>
              <w:rPr/>
              <w:t>​</w:t>
            </w:r>
          </w:p>
        </w:tc>
        <w:tc>
          <w:tcPr>
            <w:tcW w:w="154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 Other</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037" w:type="dxa"/>
            <w:tcBorders/>
            <w:vAlign w:val="center"/>
          </w:tcPr>
          <w:p>
            <w:pPr>
              <w:pStyle w:val="TableContents"/>
              <w:bidi w:val="0"/>
              <w:spacing w:before="0" w:after="0"/>
              <w:ind w:left="0" w:right="0" w:hanging="0"/>
              <w:jc w:val="center"/>
              <w:rPr/>
            </w:pPr>
            <w:r>
              <w:rPr/>
              <w:t>​</w:t>
            </w:r>
          </w:p>
        </w:tc>
      </w:tr>
      <w:tr>
        <w:trPr/>
        <w:tc>
          <w:tcPr>
            <w:tcW w:w="297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46" w:type="dxa"/>
            <w:tcBorders/>
            <w:vAlign w:val="center"/>
          </w:tcPr>
          <w:p>
            <w:pPr>
              <w:pStyle w:val="TableContents"/>
              <w:bidi w:val="0"/>
              <w:spacing w:before="0" w:after="0"/>
              <w:ind w:left="0" w:right="0" w:hanging="0"/>
              <w:jc w:val="left"/>
              <w:rPr/>
            </w:pPr>
            <w:r>
              <w:rPr/>
              <w:t>  ​ ​ ​</w:t>
            </w:r>
          </w:p>
        </w:tc>
        <w:tc>
          <w:tcPr>
            <w:tcW w:w="1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 Loss</w:t>
            </w:r>
          </w:p>
        </w:tc>
        <w:tc>
          <w:tcPr>
            <w:tcW w:w="346" w:type="dxa"/>
            <w:tcBorders/>
            <w:vAlign w:val="center"/>
          </w:tcPr>
          <w:p>
            <w:pPr>
              <w:pStyle w:val="TableContents"/>
              <w:bidi w:val="0"/>
              <w:spacing w:before="0" w:after="0"/>
              <w:ind w:left="0" w:right="0" w:hanging="0"/>
              <w:jc w:val="left"/>
              <w:rPr/>
            </w:pPr>
            <w:r>
              <w:rPr/>
              <w:t>  ​ ​ ​</w:t>
            </w:r>
          </w:p>
        </w:tc>
        <w:tc>
          <w:tcPr>
            <w:tcW w:w="126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9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 January 1, 2025</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58,743</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703,219</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695,541</w:t>
            </w:r>
          </w:p>
        </w:tc>
        <w:tc>
          <w:tcPr>
            <w:tcW w:w="346" w:type="dxa"/>
            <w:tcBorders/>
            <w:shd w:fill="CCEEFF" w:val="clear"/>
            <w:vAlign w:val="center"/>
          </w:tcPr>
          <w:p>
            <w:pPr>
              <w:pStyle w:val="TableContents"/>
              <w:bidi w:val="0"/>
              <w:spacing w:before="0" w:after="0"/>
              <w:ind w:left="0" w:right="0" w:hanging="0"/>
              <w:jc w:val="left"/>
              <w:rPr/>
            </w:pPr>
            <w:r>
              <w:rPr/>
              <w:t>​</w:t>
            </w:r>
          </w:p>
        </w:tc>
        <w:tc>
          <w:tcPr>
            <w:tcW w:w="3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(19,401)</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1,379,359</w:t>
            </w:r>
          </w:p>
        </w:tc>
      </w:tr>
      <w:tr>
        <w:trPr/>
        <w:tc>
          <w:tcPr>
            <w:tcW w:w="29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30,147</w:t>
            </w:r>
          </w:p>
        </w:tc>
        <w:tc>
          <w:tcPr>
            <w:tcW w:w="346"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left"/>
              <w:rPr/>
            </w:pPr>
            <w:r>
              <w:rPr/>
              <w:t> </w:t>
            </w:r>
          </w:p>
        </w:tc>
        <w:tc>
          <w:tcPr>
            <w:tcW w:w="1183"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10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30,147</w:t>
            </w:r>
          </w:p>
        </w:tc>
      </w:tr>
      <w:tr>
        <w:trPr/>
        <w:tc>
          <w:tcPr>
            <w:tcW w:w="29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62" w:type="dxa"/>
            <w:tcBorders/>
            <w:shd w:fill="CCEEFF" w:val="clear"/>
            <w:vAlign w:val="center"/>
          </w:tcPr>
          <w:p>
            <w:pPr>
              <w:pStyle w:val="TableContents"/>
              <w:bidi w:val="0"/>
              <w:spacing w:before="0" w:after="0"/>
              <w:ind w:left="0" w:right="0" w:hanging="0"/>
              <w:jc w:val="left"/>
              <w:rPr/>
            </w:pPr>
            <w:r>
              <w:rPr/>
              <w:t> </w:t>
            </w:r>
          </w:p>
        </w:tc>
        <w:tc>
          <w:tcPr>
            <w:tcW w:w="11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4,025</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10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4,025</w:t>
            </w:r>
          </w:p>
        </w:tc>
      </w:tr>
      <w:tr>
        <w:trPr/>
        <w:tc>
          <w:tcPr>
            <w:tcW w:w="29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7,885</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left"/>
              <w:rPr/>
            </w:pPr>
            <w:r>
              <w:rPr/>
              <w:t> </w:t>
            </w:r>
          </w:p>
        </w:tc>
        <w:tc>
          <w:tcPr>
            <w:tcW w:w="118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10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7,885</w:t>
            </w:r>
          </w:p>
        </w:tc>
      </w:tr>
      <w:tr>
        <w:trPr/>
        <w:tc>
          <w:tcPr>
            <w:tcW w:w="29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Options exercised</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14,610</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62" w:type="dxa"/>
            <w:tcBorders/>
            <w:shd w:fill="CCEEFF" w:val="clear"/>
            <w:vAlign w:val="center"/>
          </w:tcPr>
          <w:p>
            <w:pPr>
              <w:pStyle w:val="TableContents"/>
              <w:bidi w:val="0"/>
              <w:spacing w:before="0" w:after="0"/>
              <w:ind w:left="0" w:right="0" w:hanging="0"/>
              <w:jc w:val="left"/>
              <w:rPr/>
            </w:pPr>
            <w:r>
              <w:rPr/>
              <w:t> </w:t>
            </w:r>
          </w:p>
        </w:tc>
        <w:tc>
          <w:tcPr>
            <w:tcW w:w="118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10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14,610</w:t>
            </w:r>
          </w:p>
        </w:tc>
      </w:tr>
      <w:tr>
        <w:trPr/>
        <w:tc>
          <w:tcPr>
            <w:tcW w:w="29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common stock under Employee Stock Purchase Plan</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424</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left"/>
              <w:rPr/>
            </w:pPr>
            <w:r>
              <w:rPr/>
              <w:t> </w:t>
            </w:r>
          </w:p>
        </w:tc>
        <w:tc>
          <w:tcPr>
            <w:tcW w:w="118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10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424</w:t>
            </w:r>
          </w:p>
        </w:tc>
      </w:tr>
      <w:tr>
        <w:trPr/>
        <w:tc>
          <w:tcPr>
            <w:tcW w:w="29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issued from time-vested restricted stock units</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62" w:type="dxa"/>
            <w:tcBorders/>
            <w:shd w:fill="CCEEFF" w:val="clear"/>
            <w:vAlign w:val="center"/>
          </w:tcPr>
          <w:p>
            <w:pPr>
              <w:pStyle w:val="TableContents"/>
              <w:bidi w:val="0"/>
              <w:spacing w:before="0" w:after="0"/>
              <w:ind w:left="0" w:right="0" w:hanging="0"/>
              <w:jc w:val="left"/>
              <w:rPr/>
            </w:pPr>
            <w:r>
              <w:rPr/>
              <w:t>​</w:t>
            </w:r>
          </w:p>
        </w:tc>
        <w:tc>
          <w:tcPr>
            <w:tcW w:w="118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1037" w:type="dxa"/>
            <w:tcBorders/>
            <w:shd w:fill="CCEEFF" w:val="clear"/>
            <w:vAlign w:val="center"/>
          </w:tcPr>
          <w:p>
            <w:pPr>
              <w:pStyle w:val="TableContents"/>
              <w:bidi w:val="0"/>
              <w:spacing w:before="0" w:after="0"/>
              <w:ind w:left="0" w:right="0" w:hanging="0"/>
              <w:jc w:val="right"/>
              <w:rPr/>
            </w:pPr>
            <w:r>
              <w:rPr/>
              <w:t>—</w:t>
            </w:r>
          </w:p>
        </w:tc>
      </w:tr>
      <w:tr>
        <w:trPr/>
        <w:tc>
          <w:tcPr>
            <w:tcW w:w="29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surrendered in exchange for payment of payroll tax liabilities</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(6,145)</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left"/>
              <w:rPr/>
            </w:pPr>
            <w:r>
              <w:rPr/>
              <w:t>​</w:t>
            </w:r>
          </w:p>
        </w:tc>
        <w:tc>
          <w:tcPr>
            <w:tcW w:w="118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0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(6,145)</w:t>
            </w:r>
          </w:p>
        </w:tc>
      </w:tr>
      <w:tr>
        <w:trPr/>
        <w:tc>
          <w:tcPr>
            <w:tcW w:w="29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surrendered in exchange for exercise of stock options</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(1,882)</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6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(1,882)</w:t>
            </w:r>
          </w:p>
        </w:tc>
      </w:tr>
      <w:tr>
        <w:trPr/>
        <w:tc>
          <w:tcPr>
            <w:tcW w:w="29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 March 31, 2025</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59,078</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718,111</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725,688</w:t>
            </w:r>
          </w:p>
        </w:tc>
        <w:tc>
          <w:tcPr>
            <w:tcW w:w="346"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left"/>
              <w:rPr/>
            </w:pPr>
            <w:r>
              <w:rPr/>
              <w:t>​</w:t>
            </w:r>
          </w:p>
        </w:tc>
        <w:tc>
          <w:tcPr>
            <w:tcW w:w="11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(15,376)</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0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1,428,423</w:t>
            </w:r>
          </w:p>
        </w:tc>
      </w:tr>
      <w:tr>
        <w:trPr/>
        <w:tc>
          <w:tcPr>
            <w:tcW w:w="29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32,581</w:t>
            </w:r>
          </w:p>
        </w:tc>
        <w:tc>
          <w:tcPr>
            <w:tcW w:w="346" w:type="dxa"/>
            <w:tcBorders/>
            <w:shd w:fill="CCEEFF" w:val="clear"/>
            <w:vAlign w:val="center"/>
          </w:tcPr>
          <w:p>
            <w:pPr>
              <w:pStyle w:val="TableContents"/>
              <w:bidi w:val="0"/>
              <w:spacing w:before="0" w:after="0"/>
              <w:ind w:left="0" w:right="0" w:hanging="0"/>
              <w:jc w:val="left"/>
              <w:rPr/>
            </w:pPr>
            <w:r>
              <w:rPr/>
              <w:t>​</w:t>
            </w:r>
          </w:p>
        </w:tc>
        <w:tc>
          <w:tcPr>
            <w:tcW w:w="362" w:type="dxa"/>
            <w:tcBorders/>
            <w:shd w:fill="CCEEFF" w:val="clear"/>
            <w:vAlign w:val="center"/>
          </w:tcPr>
          <w:p>
            <w:pPr>
              <w:pStyle w:val="TableContents"/>
              <w:bidi w:val="0"/>
              <w:spacing w:before="0" w:after="0"/>
              <w:ind w:left="0" w:right="0" w:hanging="0"/>
              <w:jc w:val="left"/>
              <w:rPr/>
            </w:pPr>
            <w:r>
              <w:rPr/>
              <w:t> </w:t>
            </w:r>
          </w:p>
        </w:tc>
        <w:tc>
          <w:tcPr>
            <w:tcW w:w="1183"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10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32,581</w:t>
            </w:r>
          </w:p>
        </w:tc>
      </w:tr>
      <w:tr>
        <w:trPr/>
        <w:tc>
          <w:tcPr>
            <w:tcW w:w="29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left"/>
              <w:rPr/>
            </w:pPr>
            <w:r>
              <w:rPr/>
              <w:t> </w:t>
            </w:r>
          </w:p>
        </w:tc>
        <w:tc>
          <w:tcPr>
            <w:tcW w:w="11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10,314</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10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10,314</w:t>
            </w:r>
          </w:p>
        </w:tc>
      </w:tr>
      <w:tr>
        <w:trPr/>
        <w:tc>
          <w:tcPr>
            <w:tcW w:w="29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9,868</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362" w:type="dxa"/>
            <w:tcBorders/>
            <w:shd w:fill="CCEEFF" w:val="clear"/>
            <w:vAlign w:val="center"/>
          </w:tcPr>
          <w:p>
            <w:pPr>
              <w:pStyle w:val="TableContents"/>
              <w:bidi w:val="0"/>
              <w:spacing w:before="0" w:after="0"/>
              <w:ind w:left="0" w:right="0" w:hanging="0"/>
              <w:jc w:val="left"/>
              <w:rPr/>
            </w:pPr>
            <w:r>
              <w:rPr/>
              <w:t> </w:t>
            </w:r>
          </w:p>
        </w:tc>
        <w:tc>
          <w:tcPr>
            <w:tcW w:w="1183"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10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9,868</w:t>
            </w:r>
          </w:p>
        </w:tc>
      </w:tr>
      <w:tr>
        <w:trPr/>
        <w:tc>
          <w:tcPr>
            <w:tcW w:w="29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Options exercised</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6,523</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left"/>
              <w:rPr/>
            </w:pPr>
            <w:r>
              <w:rPr/>
              <w:t> </w:t>
            </w:r>
          </w:p>
        </w:tc>
        <w:tc>
          <w:tcPr>
            <w:tcW w:w="1183"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10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6,523</w:t>
            </w:r>
          </w:p>
        </w:tc>
      </w:tr>
      <w:tr>
        <w:trPr/>
        <w:tc>
          <w:tcPr>
            <w:tcW w:w="29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common stock under Employee Stock Purchase Plan</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339</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362" w:type="dxa"/>
            <w:tcBorders/>
            <w:shd w:fill="CCEEFF" w:val="clear"/>
            <w:vAlign w:val="center"/>
          </w:tcPr>
          <w:p>
            <w:pPr>
              <w:pStyle w:val="TableContents"/>
              <w:bidi w:val="0"/>
              <w:spacing w:before="0" w:after="0"/>
              <w:ind w:left="0" w:right="0" w:hanging="0"/>
              <w:jc w:val="left"/>
              <w:rPr/>
            </w:pPr>
            <w:r>
              <w:rPr/>
              <w:t> </w:t>
            </w:r>
          </w:p>
        </w:tc>
        <w:tc>
          <w:tcPr>
            <w:tcW w:w="1183"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10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339</w:t>
            </w:r>
          </w:p>
        </w:tc>
      </w:tr>
      <w:tr>
        <w:trPr/>
        <w:tc>
          <w:tcPr>
            <w:tcW w:w="29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issued from time-vested restricted stock units</w:t>
            </w:r>
          </w:p>
        </w:tc>
        <w:tc>
          <w:tcPr>
            <w:tcW w:w="346" w:type="dxa"/>
            <w:tcBorders/>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6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8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29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 June 30, 2025</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59,218</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734,841</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758,269</w:t>
            </w:r>
          </w:p>
        </w:tc>
        <w:tc>
          <w:tcPr>
            <w:tcW w:w="346" w:type="dxa"/>
            <w:tcBorders/>
            <w:shd w:fill="CCEEFF" w:val="clear"/>
            <w:vAlign w:val="center"/>
          </w:tcPr>
          <w:p>
            <w:pPr>
              <w:pStyle w:val="TableContents"/>
              <w:bidi w:val="0"/>
              <w:spacing w:before="0" w:after="0"/>
              <w:ind w:left="0" w:right="0" w:hanging="0"/>
              <w:jc w:val="left"/>
              <w:rPr/>
            </w:pPr>
            <w:r>
              <w:rPr/>
              <w:t>​</w:t>
            </w:r>
          </w:p>
        </w:tc>
        <w:tc>
          <w:tcPr>
            <w:tcW w:w="36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118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(5,062)</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1037"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1,488,048</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5987" w:type="dxa"/>
        <w:jc w:val="left"/>
        <w:tblInd w:w="0" w:type="dxa"/>
        <w:tblLayout w:type="fixed"/>
        <w:tblCellMar>
          <w:top w:w="0" w:type="dxa"/>
          <w:left w:w="0" w:type="dxa"/>
          <w:bottom w:w="0" w:type="dxa"/>
          <w:right w:w="0" w:type="dxa"/>
        </w:tblCellMar>
      </w:tblPr>
      <w:tblGrid>
        <w:gridCol w:w="4861"/>
        <w:gridCol w:w="1126"/>
      </w:tblGrid>
      <w:tr>
        <w:trPr/>
        <w:tc>
          <w:tcPr>
            <w:tcW w:w="4861"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left"/>
              <w:rPr/>
            </w:pPr>
            <w:r>
              <w:rPr/>
              <w:t>​</w:t>
            </w:r>
          </w:p>
        </w:tc>
      </w:tr>
      <w:tr>
        <w:trPr/>
        <w:tc>
          <w:tcPr>
            <w:tcW w:w="48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See condensed notes to consolidated financial statements. </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(concluded)</w:t>
            </w:r>
          </w:p>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482" w:name="_87430817_1feb_4353_a679_c57ea4d03fb7"/>
      <w:bookmarkEnd w:id="482"/>
      <w:r>
        <w:rPr>
          <w:rFonts w:ascii="Times New Roman;Times;serif" w:hAnsi="Times New Roman;Times;serif"/>
          <w:b/>
          <w:sz w:val="20"/>
        </w:rPr>
        <w:t>MERIT MEDICAL SYSTEMS, INC. AND SUBSIDIARIES</w:t>
      </w:r>
    </w:p>
    <w:p>
      <w:pPr>
        <w:pStyle w:val="TextBody"/>
        <w:bidi w:val="0"/>
        <w:spacing w:before="0" w:after="0"/>
        <w:ind w:left="0" w:right="0" w:hanging="0"/>
        <w:jc w:val="center"/>
        <w:rPr>
          <w:rFonts w:ascii="Times New Roman;Times;serif" w:hAnsi="Times New Roman;Times;serif"/>
          <w:b/>
          <w:sz w:val="20"/>
        </w:rPr>
      </w:pPr>
      <w:bookmarkStart w:id="483" w:name="CASHFLOWS"/>
      <w:bookmarkEnd w:id="483"/>
      <w:r>
        <w:rPr>
          <w:rFonts w:ascii="Times New Roman;Times;serif" w:hAnsi="Times New Roman;Times;serif"/>
          <w:b/>
          <w:sz w:val="20"/>
        </w:rPr>
        <w:t>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 unaudited)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484" w:name="Tc_JPBrOZEDLkaSNSoM1tJbPg_40_5"/>
      <w:bookmarkStart w:id="485" w:name="Tc_1m9WSNaAfU64Eb4yIPJ7QQ_40_2"/>
      <w:bookmarkStart w:id="486" w:name="Tc_AKY603K_sUqssH90n4aoGQ_40_0"/>
      <w:bookmarkStart w:id="487" w:name="Tc_yNrJytVLkUC_ucp2stL9Qw_39_0"/>
      <w:bookmarkStart w:id="488" w:name="Tc_3AzFCHN3dEaPTp3vcR3q6w_38_3"/>
      <w:bookmarkStart w:id="489" w:name="Tc_ldA0a0CzN0OkuEpift_XgA_38_0"/>
      <w:bookmarkStart w:id="490" w:name="Tc_wFth-KqYZkuhSyZ3zzBQ0w_37_0"/>
      <w:bookmarkStart w:id="491" w:name="Tc_kpDnNqKM7ESJYlr_vm6-Ng_36_0"/>
      <w:bookmarkStart w:id="492" w:name="Tc_VVQbirnnKk-LwDY2GllYUQ_35_0"/>
      <w:bookmarkStart w:id="493" w:name="Tc_h-J0u8IPpEy4aq__Oee12Q_34_0"/>
      <w:bookmarkStart w:id="494" w:name="Tc_9bKqVN6uqUyp1Fe-j2kSug_33_0"/>
      <w:bookmarkStart w:id="495" w:name="Tc_3vqTHItE6EK2EsiOiEOG8Q_31_0"/>
      <w:bookmarkStart w:id="496" w:name="Tc_KTdYk9VdKEGbTj4gxGyu2Q_30_0"/>
      <w:bookmarkStart w:id="497" w:name="Tc_r2sWDfdG2U2BKpyYV5tOnw_29_0"/>
      <w:bookmarkStart w:id="498" w:name="Tc_xuFlpCETI0ee_x3TcaaEKw_28_0"/>
      <w:bookmarkStart w:id="499" w:name="Tc_u4CZugCyjUugH5Cbd56X-A_27_0"/>
      <w:bookmarkStart w:id="500" w:name="Tc_OS7HFN-3306_1qPAuAx3mw_26_0"/>
      <w:bookmarkStart w:id="501" w:name="Tc_bpvd8IaO-EqcmvRMpz15zg_25_0"/>
      <w:bookmarkStart w:id="502" w:name="Tc_bVacRnl0rEC2_02O2Q4JrA_24_0"/>
      <w:bookmarkStart w:id="503" w:name="Tc_haFB0kOADUCVKiwMgrp64g_23_0"/>
      <w:bookmarkStart w:id="504" w:name="Tc_g0CeYNLFv0irWDadoWnLDg_22_0"/>
      <w:bookmarkStart w:id="505" w:name="Tc_NLcvOiJqyEaCAAzn77ZN_g_21_0"/>
      <w:bookmarkStart w:id="506" w:name="Tc_H_vB3v3eqkiyH_RJdUr4Lg_20_0"/>
      <w:bookmarkStart w:id="507" w:name="Tc_ZtuydvnTMk2vwDkUtDKgaA_19_0"/>
      <w:bookmarkStart w:id="508" w:name="Tc_ByIj_0V6h0qa-HoBdGCHjQ_18_0"/>
      <w:bookmarkStart w:id="509" w:name="Tc_VfJ94cqbKEKfxoWJn-cfxA_17_0"/>
      <w:bookmarkStart w:id="510" w:name="Tc_BCIbbD6ypk6IeW5HB3t2bA_16_0"/>
      <w:bookmarkStart w:id="511" w:name="Tc_kQ9yHziVGkOx5Izq_YR13Q_15_0"/>
      <w:bookmarkStart w:id="512" w:name="Tc_i4djv0QRJUuHsfgk2tVIRA_14_0"/>
      <w:bookmarkStart w:id="513" w:name="Tc_hoyD_5RgYUKDh26ojKgfRQ_13_0"/>
      <w:bookmarkStart w:id="514" w:name="Tc_XDCKhdQtXEuPQvlcGAweow_12_0"/>
      <w:bookmarkStart w:id="515" w:name="Tc_ot4Yhtzr1U6_3nWzXuH1Bw_11_0"/>
      <w:bookmarkStart w:id="516" w:name="Tc_19t-Rkcl5kKR8OuJuYFPtw_10_0"/>
      <w:bookmarkStart w:id="517" w:name="Tc_odP9YtRdX0mobT3SyoeojA_9_6"/>
      <w:bookmarkStart w:id="518" w:name="Tc_FGmPEJley0KTptTg-6I1Vw_9_0"/>
      <w:bookmarkStart w:id="519" w:name="Tc_i6oMzXovAkqWDfjFrTU5IA_8_0"/>
      <w:bookmarkStart w:id="520" w:name="Tc_Gu3sScH5DkSj0D4gYgsyzg_7_0"/>
      <w:bookmarkStart w:id="521" w:name="Tc_omlYomCA_0WYK5mKtvM5Uw_6_0"/>
      <w:bookmarkStart w:id="522" w:name="Tc_8KRJEs62U0yL5pmJG8mM6w_5_5"/>
      <w:bookmarkStart w:id="523" w:name="Tc_Ks6aeHJyo0GceS6Kg5bJzg_5_2"/>
      <w:bookmarkStart w:id="524" w:name="Tc_xkp-VAY7oESONs6yC6PEDA_5_0"/>
      <w:bookmarkStart w:id="525" w:name="Tc_zbgYIFDS_k-3Sq9u-zXc6A_4_0"/>
      <w:bookmarkStart w:id="526" w:name="Tc_VafM_Xv2SUKH2DWIaV0nHQ_3_5"/>
      <w:bookmarkStart w:id="527" w:name="Tc_8jApaMfEGkGGSnk6RpB4zQ_3_2"/>
      <w:bookmarkStart w:id="528" w:name="Tc_52znZRyZqUG6rHPrl3Ay1w_2_2"/>
      <w:bookmarkStart w:id="529" w:name="Tc_5QfRPs5_IEi5OLOgRgGoTQ_1_2"/>
      <w:bookmarkStart w:id="530" w:name="_693560a7_b1d1_435d_a824_491fe73688b0"/>
      <w:bookmarkStart w:id="531" w:name="Tc_JPBrOZEDLkaSNSoM1tJbPg_40_5"/>
      <w:bookmarkStart w:id="532" w:name="Tc_1m9WSNaAfU64Eb4yIPJ7QQ_40_2"/>
      <w:bookmarkStart w:id="533" w:name="Tc_AKY603K_sUqssH90n4aoGQ_40_0"/>
      <w:bookmarkStart w:id="534" w:name="Tc_yNrJytVLkUC_ucp2stL9Qw_39_0"/>
      <w:bookmarkStart w:id="535" w:name="Tc_3AzFCHN3dEaPTp3vcR3q6w_38_3"/>
      <w:bookmarkStart w:id="536" w:name="Tc_ldA0a0CzN0OkuEpift_XgA_38_0"/>
      <w:bookmarkStart w:id="537" w:name="Tc_wFth-KqYZkuhSyZ3zzBQ0w_37_0"/>
      <w:bookmarkStart w:id="538" w:name="Tc_kpDnNqKM7ESJYlr_vm6-Ng_36_0"/>
      <w:bookmarkStart w:id="539" w:name="Tc_VVQbirnnKk-LwDY2GllYUQ_35_0"/>
      <w:bookmarkStart w:id="540" w:name="Tc_h-J0u8IPpEy4aq__Oee12Q_34_0"/>
      <w:bookmarkStart w:id="541" w:name="Tc_9bKqVN6uqUyp1Fe-j2kSug_33_0"/>
      <w:bookmarkStart w:id="542" w:name="Tc_3vqTHItE6EK2EsiOiEOG8Q_31_0"/>
      <w:bookmarkStart w:id="543" w:name="Tc_KTdYk9VdKEGbTj4gxGyu2Q_30_0"/>
      <w:bookmarkStart w:id="544" w:name="Tc_r2sWDfdG2U2BKpyYV5tOnw_29_0"/>
      <w:bookmarkStart w:id="545" w:name="Tc_xuFlpCETI0ee_x3TcaaEKw_28_0"/>
      <w:bookmarkStart w:id="546" w:name="Tc_u4CZugCyjUugH5Cbd56X-A_27_0"/>
      <w:bookmarkStart w:id="547" w:name="Tc_OS7HFN-3306_1qPAuAx3mw_26_0"/>
      <w:bookmarkStart w:id="548" w:name="Tc_bpvd8IaO-EqcmvRMpz15zg_25_0"/>
      <w:bookmarkStart w:id="549" w:name="Tc_bVacRnl0rEC2_02O2Q4JrA_24_0"/>
      <w:bookmarkStart w:id="550" w:name="Tc_haFB0kOADUCVKiwMgrp64g_23_0"/>
      <w:bookmarkStart w:id="551" w:name="Tc_g0CeYNLFv0irWDadoWnLDg_22_0"/>
      <w:bookmarkStart w:id="552" w:name="Tc_NLcvOiJqyEaCAAzn77ZN_g_21_0"/>
      <w:bookmarkStart w:id="553" w:name="Tc_H_vB3v3eqkiyH_RJdUr4Lg_20_0"/>
      <w:bookmarkStart w:id="554" w:name="Tc_ZtuydvnTMk2vwDkUtDKgaA_19_0"/>
      <w:bookmarkStart w:id="555" w:name="Tc_ByIj_0V6h0qa-HoBdGCHjQ_18_0"/>
      <w:bookmarkStart w:id="556" w:name="Tc_VfJ94cqbKEKfxoWJn-cfxA_17_0"/>
      <w:bookmarkStart w:id="557" w:name="Tc_BCIbbD6ypk6IeW5HB3t2bA_16_0"/>
      <w:bookmarkStart w:id="558" w:name="Tc_kQ9yHziVGkOx5Izq_YR13Q_15_0"/>
      <w:bookmarkStart w:id="559" w:name="Tc_i4djv0QRJUuHsfgk2tVIRA_14_0"/>
      <w:bookmarkStart w:id="560" w:name="Tc_hoyD_5RgYUKDh26ojKgfRQ_13_0"/>
      <w:bookmarkStart w:id="561" w:name="Tc_XDCKhdQtXEuPQvlcGAweow_12_0"/>
      <w:bookmarkStart w:id="562" w:name="Tc_ot4Yhtzr1U6_3nWzXuH1Bw_11_0"/>
      <w:bookmarkStart w:id="563" w:name="Tc_19t-Rkcl5kKR8OuJuYFPtw_10_0"/>
      <w:bookmarkStart w:id="564" w:name="Tc_odP9YtRdX0mobT3SyoeojA_9_6"/>
      <w:bookmarkStart w:id="565" w:name="Tc_FGmPEJley0KTptTg-6I1Vw_9_0"/>
      <w:bookmarkStart w:id="566" w:name="Tc_i6oMzXovAkqWDfjFrTU5IA_8_0"/>
      <w:bookmarkStart w:id="567" w:name="Tc_Gu3sScH5DkSj0D4gYgsyzg_7_0"/>
      <w:bookmarkStart w:id="568" w:name="Tc_omlYomCA_0WYK5mKtvM5Uw_6_0"/>
      <w:bookmarkStart w:id="569" w:name="Tc_8KRJEs62U0yL5pmJG8mM6w_5_5"/>
      <w:bookmarkStart w:id="570" w:name="Tc_Ks6aeHJyo0GceS6Kg5bJzg_5_2"/>
      <w:bookmarkStart w:id="571" w:name="Tc_xkp-VAY7oESONs6yC6PEDA_5_0"/>
      <w:bookmarkStart w:id="572" w:name="Tc_zbgYIFDS_k-3Sq9u-zXc6A_4_0"/>
      <w:bookmarkStart w:id="573" w:name="Tc_VafM_Xv2SUKH2DWIaV0nHQ_3_5"/>
      <w:bookmarkStart w:id="574" w:name="Tc_8jApaMfEGkGGSnk6RpB4zQ_3_2"/>
      <w:bookmarkStart w:id="575" w:name="Tc_52znZRyZqUG6rHPrl3Ay1w_2_2"/>
      <w:bookmarkStart w:id="576" w:name="Tc_5QfRPs5_IEi5OLOgRgGoTQ_1_2"/>
      <w:bookmarkStart w:id="577" w:name="_693560a7_b1d1_435d_a824_491fe73688b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p>
    <w:tbl>
      <w:tblPr>
        <w:tblW w:w="9682" w:type="dxa"/>
        <w:jc w:val="left"/>
        <w:tblInd w:w="0" w:type="dxa"/>
        <w:tblLayout w:type="fixed"/>
        <w:tblCellMar>
          <w:top w:w="0" w:type="dxa"/>
          <w:left w:w="0" w:type="dxa"/>
          <w:bottom w:w="0" w:type="dxa"/>
          <w:right w:w="0" w:type="dxa"/>
        </w:tblCellMar>
      </w:tblPr>
      <w:tblGrid>
        <w:gridCol w:w="6721"/>
        <w:gridCol w:w="346"/>
        <w:gridCol w:w="211"/>
        <w:gridCol w:w="901"/>
        <w:gridCol w:w="346"/>
        <w:gridCol w:w="211"/>
        <w:gridCol w:w="946"/>
      </w:tblGrid>
      <w:tr>
        <w:trPr/>
        <w:tc>
          <w:tcPr>
            <w:tcW w:w="6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4267835" cy="175260"/>
                      <wp:effectExtent l="0" t="0" r="0" b="0"/>
                      <wp:wrapNone/>
                      <wp:docPr id="76" name="Frame75"/>
                      <a:graphic xmlns:a="http://schemas.openxmlformats.org/drawingml/2006/main">
                        <a:graphicData uri="http://schemas.microsoft.com/office/word/2010/wordprocessingShape">
                          <wps:wsp>
                            <wps:cNvSpPr txBox="1"/>
                            <wps:spPr>
                              <a:xfrm>
                                <a:off x="0" y="0"/>
                                <a:ext cx="426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19710" cy="175260"/>
                      <wp:effectExtent l="0" t="0" r="0" b="0"/>
                      <wp:wrapNone/>
                      <wp:docPr id="77" name="Frame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133985" cy="175260"/>
                      <wp:effectExtent l="0" t="0" r="0" b="0"/>
                      <wp:wrapNone/>
                      <wp:docPr id="78" name="Frame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572135" cy="175260"/>
                      <wp:effectExtent l="0" t="0" r="0" b="0"/>
                      <wp:wrapNone/>
                      <wp:docPr id="79" name="Frame78"/>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19710" cy="175260"/>
                      <wp:effectExtent l="0" t="0" r="0" b="0"/>
                      <wp:wrapNone/>
                      <wp:docPr id="80" name="Frame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33985" cy="175260"/>
                      <wp:effectExtent l="0" t="0" r="0" b="0"/>
                      <wp:wrapNone/>
                      <wp:docPr id="81" name="Frame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00710" cy="175260"/>
                      <wp:effectExtent l="0" t="0" r="0" b="0"/>
                      <wp:wrapNone/>
                      <wp:docPr id="82" name="Frame81"/>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1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6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1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6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1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FLOWS FROM OPERATING ACTIVITIES:</w:t>
            </w:r>
          </w:p>
        </w:tc>
        <w:tc>
          <w:tcPr>
            <w:tcW w:w="346" w:type="dxa"/>
            <w:tcBorders/>
            <w:shd w:fill="CCEEFF" w:val="clear"/>
            <w:vAlign w:val="center"/>
          </w:tcPr>
          <w:p>
            <w:pPr>
              <w:pStyle w:val="TableContents"/>
              <w:bidi w:val="0"/>
              <w:spacing w:before="0" w:after="0"/>
              <w:ind w:left="0" w:right="0" w:hanging="0"/>
              <w:jc w:val="left"/>
              <w:rPr/>
            </w:pPr>
            <w:r>
              <w:rPr/>
              <w:t> </w:t>
            </w:r>
          </w:p>
        </w:tc>
        <w:tc>
          <w:tcPr>
            <w:tcW w:w="1112" w:type="dxa"/>
            <w:gridSpan w:val="2"/>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57" w:type="dxa"/>
            <w:gridSpan w:val="2"/>
            <w:tcBorders/>
            <w:shd w:fill="CCEEFF" w:val="clear"/>
            <w:vAlign w:val="center"/>
          </w:tcPr>
          <w:p>
            <w:pPr>
              <w:pStyle w:val="TableContents"/>
              <w:bidi w:val="0"/>
              <w:spacing w:before="0" w:after="0"/>
              <w:ind w:left="0" w:right="0" w:hanging="0"/>
              <w:jc w:val="center"/>
              <w:rPr/>
            </w:pPr>
            <w:r>
              <w:rPr/>
              <w:t>​</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79,798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62,728</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Adjustments to reconcile net income to net cash provided by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pPr>
            <w:r>
              <w:rPr/>
              <w:t>  ​</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61,538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60,313</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disposition of business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(12,557)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of equity investee loss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pPr>
            <w:r>
              <w:rPr/>
              <w:t>—</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sale or abandonment of property and equipment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Write-off of certain intangible assets and other long-term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right-of-use operating lease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5,779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5,766</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adjustments related to contingent consideration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1,166</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deferred credits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long-term debt issuance costs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2,828</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21,876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19,951</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operating assets and liabilities, net of acquisitions and divestitures: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pPr>
            <w:r>
              <w:rPr/>
              <w:t>​</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 receivables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(21,328)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(7,310)</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receivables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2,817</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(43,579)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(11,720)</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(2,575)</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refund receivables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(3,653)</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(1,471)</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 payables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10,193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3,697</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(4,869)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(2,740)</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 payable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1,537</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compensation payable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603</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(5,925)</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long-term obligations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14,029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(2,229)</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adjustments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30,159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61,151</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cash equivalents, and restricted cash provided by operating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109,957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123,879</w:t>
            </w:r>
          </w:p>
        </w:tc>
      </w:tr>
      <w:tr>
        <w:trPr/>
        <w:tc>
          <w:tcPr>
            <w:tcW w:w="6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left"/>
              <w:rPr/>
            </w:pPr>
            <w:r>
              <w:rPr/>
              <w:t>​</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FLOWS FROM INVESTING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pPr>
            <w:r>
              <w:rPr/>
              <w:t>  ​</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 expenditures for: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pPr>
            <w:r>
              <w:rPr/>
              <w:t>  ​</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(33,340)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(34,812)</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(1,296)</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asset and business dispositions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25,555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paid for notes receivable and other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(14,617)</w:t>
            </w:r>
          </w:p>
        </w:tc>
      </w:tr>
      <w:tr>
        <w:trPr/>
        <w:tc>
          <w:tcPr>
            <w:tcW w:w="6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paid in acquisitions, net of cash acquired</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(92,997)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(122,555)</w:t>
            </w:r>
          </w:p>
        </w:tc>
      </w:tr>
      <w:tr>
        <w:trPr/>
        <w:tc>
          <w:tcPr>
            <w:tcW w:w="6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cash equivalents, and restricted cash used in 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(102,399)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(172,986)</w:t>
            </w:r>
          </w:p>
        </w:tc>
      </w:tr>
    </w:tbl>
    <w:p>
      <w:pPr>
        <w:pStyle w:val="TextBody"/>
        <w:bidi w:val="0"/>
        <w:spacing w:before="0" w:after="0"/>
        <w:ind w:left="0" w:right="0" w:hanging="0"/>
        <w:jc w:val="left"/>
        <w:rPr/>
      </w:pPr>
      <w:r>
        <w:rPr/>
        <w:t>​</w:t>
      </w:r>
    </w:p>
    <w:tbl>
      <w:tblPr>
        <w:tblW w:w="5912" w:type="dxa"/>
        <w:jc w:val="left"/>
        <w:tblInd w:w="0" w:type="dxa"/>
        <w:tblLayout w:type="fixed"/>
        <w:tblCellMar>
          <w:top w:w="0" w:type="dxa"/>
          <w:left w:w="0" w:type="dxa"/>
          <w:bottom w:w="0" w:type="dxa"/>
          <w:right w:w="0" w:type="dxa"/>
        </w:tblCellMar>
      </w:tblPr>
      <w:tblGrid>
        <w:gridCol w:w="4816"/>
        <w:gridCol w:w="1096"/>
      </w:tblGrid>
      <w:tr>
        <w:trPr/>
        <w:tc>
          <w:tcPr>
            <w:tcW w:w="4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3058160" cy="175260"/>
                      <wp:effectExtent l="0" t="0" r="0" b="0"/>
                      <wp:wrapNone/>
                      <wp:docPr id="83" name="Frame82"/>
                      <a:graphic xmlns:a="http://schemas.openxmlformats.org/drawingml/2006/main">
                        <a:graphicData uri="http://schemas.microsoft.com/office/word/2010/wordprocessingShape">
                          <wps:wsp>
                            <wps:cNvSpPr txBox="1"/>
                            <wps:spPr>
                              <a:xfrm>
                                <a:off x="0" y="0"/>
                                <a:ext cx="3058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95960" cy="175260"/>
                      <wp:effectExtent l="0" t="0" r="0" b="0"/>
                      <wp:wrapNone/>
                      <wp:docPr id="84" name="Frame83"/>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See condensed notes to consolidated financial statements.</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(continued)</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MERIT MEDICAL SYSTEMS,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 unaudited)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578" w:name="Tc_qI_MVmmK-0GofKBYX-PdMA_30_0"/>
      <w:bookmarkStart w:id="579" w:name="Tc_y6BQnTYvS0qswr_oQnuM5Q_29_3"/>
      <w:bookmarkStart w:id="580" w:name="Tc_c8GE2CQhr0CO3VgtG1YbDg_29_0"/>
      <w:bookmarkStart w:id="581" w:name="Tc_Mp6nTKByI0qYaRV_pnM0mw_28_0"/>
      <w:bookmarkStart w:id="582" w:name="Tc__Tl3ujwz7UO4XbO6sVwrHw_27_5"/>
      <w:bookmarkStart w:id="583" w:name="Tc_X13a0zp3VE-q0OXF7T-AHg_27_2"/>
      <w:bookmarkStart w:id="584" w:name="Tc_CHA1yHg0xUajcEsxO723rA_27_0"/>
      <w:bookmarkStart w:id="585" w:name="Tc_loJEhWB0jk6OK3MFiUWAaA_26_0"/>
      <w:bookmarkStart w:id="586" w:name="Tc_SNNmMu_xNUqx5p_fYV25xg_24_0"/>
      <w:bookmarkStart w:id="587" w:name="Tc_FzUM7z8l0E-llHq2tjMwUw_23_5"/>
      <w:bookmarkStart w:id="588" w:name="Tc_s5J0nFbXyE6-OSMjenuooA_23_2"/>
      <w:bookmarkStart w:id="589" w:name="Tc_vWHq8wWh6kS2TdpkBP0pEQ_23_0"/>
      <w:bookmarkStart w:id="590" w:name="Tc_Lf23O9s6i0GZeDis_BiNZQ_22_0"/>
      <w:bookmarkStart w:id="591" w:name="Tc_okKA6aU1lEaIQ3-Z8uImDQ_21_0"/>
      <w:bookmarkStart w:id="592" w:name="Tc_1LUnEzqyn0mFm5c-4m2EZg_19_5"/>
      <w:bookmarkStart w:id="593" w:name="Tc_v1K6pe95hEurg1XtBVq5eQ_19_2"/>
      <w:bookmarkStart w:id="594" w:name="Tc_kq50sv5kmkmwe9gvO9Pdhg_19_0"/>
      <w:bookmarkStart w:id="595" w:name="Tc_MZYHc4nIBkiCcgJh5xbCzQ_17_0"/>
      <w:bookmarkStart w:id="596" w:name="Tc_UUSuu6sQ7020YfqqVVKVVA_16_0"/>
      <w:bookmarkStart w:id="597" w:name="Tc_Eh_49QT2REijUpgvLO2GpQ_14_5"/>
      <w:bookmarkStart w:id="598" w:name="Tc_6RqMVutjlUy8EFa3PbXr7w_14_2"/>
      <w:bookmarkStart w:id="599" w:name="Tc_pV64mwmQzU-mbhnNybikkA_14_0"/>
      <w:bookmarkStart w:id="600" w:name="Tc_xmmIf9WHdUGASAR-VqyseA_13_0"/>
      <w:bookmarkStart w:id="601" w:name="Tc_84RNACAxxE-z7OfHwLOqfA_12_0"/>
      <w:bookmarkStart w:id="602" w:name="Tc_HT-bX21v2k6h-dXSHL6q9w_10_0"/>
      <w:bookmarkStart w:id="603" w:name="Tc_AgdBcxeo8kKAtS0EyAy7xA_9_0"/>
      <w:bookmarkStart w:id="604" w:name="Tc_C4JXIpK-L0yIDaT4oNJerw_8_0"/>
      <w:bookmarkStart w:id="605" w:name="Tc_pOuc3GqxOEmsj6uMub5sag_7_0"/>
      <w:bookmarkStart w:id="606" w:name="Tc_3YUtNqUsE0O4W5VVXeR-xQ_6_0"/>
      <w:bookmarkStart w:id="607" w:name="Tc_X5I8KUULhU-CvNy5_uL9Bw_5_5"/>
      <w:bookmarkStart w:id="608" w:name="Tc_Ebqa73LjuE6CGyR3_FOSHg_5_2"/>
      <w:bookmarkStart w:id="609" w:name="Tc_lnP2LqHa90C-J7w7fX5MFQ_5_0"/>
      <w:bookmarkStart w:id="610" w:name="Tc_BldQDeEaI0ep1nRmffXK2A_4_0"/>
      <w:bookmarkStart w:id="611" w:name="Tc_huJDiGx7RUudi9An-dM21w_3_5"/>
      <w:bookmarkStart w:id="612" w:name="Tc_iCKR1HszOUCpds81Vr7h2g_3_2"/>
      <w:bookmarkStart w:id="613" w:name="Tc_0vjDCWl_00KNXabw-Cumkg_2_2"/>
      <w:bookmarkStart w:id="614" w:name="Tc_wPFW1KUJMU-xHHrJjQSUpQ_1_2"/>
      <w:bookmarkStart w:id="615" w:name="_a0df6d4d_70ea_46d0_b610_8f0ada4dc4c8"/>
      <w:bookmarkStart w:id="616" w:name="Tc_qI_MVmmK-0GofKBYX-PdMA_30_0"/>
      <w:bookmarkStart w:id="617" w:name="Tc_y6BQnTYvS0qswr_oQnuM5Q_29_3"/>
      <w:bookmarkStart w:id="618" w:name="Tc_c8GE2CQhr0CO3VgtG1YbDg_29_0"/>
      <w:bookmarkStart w:id="619" w:name="Tc_Mp6nTKByI0qYaRV_pnM0mw_28_0"/>
      <w:bookmarkStart w:id="620" w:name="Tc__Tl3ujwz7UO4XbO6sVwrHw_27_5"/>
      <w:bookmarkStart w:id="621" w:name="Tc_X13a0zp3VE-q0OXF7T-AHg_27_2"/>
      <w:bookmarkStart w:id="622" w:name="Tc_CHA1yHg0xUajcEsxO723rA_27_0"/>
      <w:bookmarkStart w:id="623" w:name="Tc_loJEhWB0jk6OK3MFiUWAaA_26_0"/>
      <w:bookmarkStart w:id="624" w:name="Tc_SNNmMu_xNUqx5p_fYV25xg_24_0"/>
      <w:bookmarkStart w:id="625" w:name="Tc_FzUM7z8l0E-llHq2tjMwUw_23_5"/>
      <w:bookmarkStart w:id="626" w:name="Tc_s5J0nFbXyE6-OSMjenuooA_23_2"/>
      <w:bookmarkStart w:id="627" w:name="Tc_vWHq8wWh6kS2TdpkBP0pEQ_23_0"/>
      <w:bookmarkStart w:id="628" w:name="Tc_Lf23O9s6i0GZeDis_BiNZQ_22_0"/>
      <w:bookmarkStart w:id="629" w:name="Tc_okKA6aU1lEaIQ3-Z8uImDQ_21_0"/>
      <w:bookmarkStart w:id="630" w:name="Tc_1LUnEzqyn0mFm5c-4m2EZg_19_5"/>
      <w:bookmarkStart w:id="631" w:name="Tc_v1K6pe95hEurg1XtBVq5eQ_19_2"/>
      <w:bookmarkStart w:id="632" w:name="Tc_kq50sv5kmkmwe9gvO9Pdhg_19_0"/>
      <w:bookmarkStart w:id="633" w:name="Tc_MZYHc4nIBkiCcgJh5xbCzQ_17_0"/>
      <w:bookmarkStart w:id="634" w:name="Tc_UUSuu6sQ7020YfqqVVKVVA_16_0"/>
      <w:bookmarkStart w:id="635" w:name="Tc_Eh_49QT2REijUpgvLO2GpQ_14_5"/>
      <w:bookmarkStart w:id="636" w:name="Tc_6RqMVutjlUy8EFa3PbXr7w_14_2"/>
      <w:bookmarkStart w:id="637" w:name="Tc_pV64mwmQzU-mbhnNybikkA_14_0"/>
      <w:bookmarkStart w:id="638" w:name="Tc_xmmIf9WHdUGASAR-VqyseA_13_0"/>
      <w:bookmarkStart w:id="639" w:name="Tc_84RNACAxxE-z7OfHwLOqfA_12_0"/>
      <w:bookmarkStart w:id="640" w:name="Tc_HT-bX21v2k6h-dXSHL6q9w_10_0"/>
      <w:bookmarkStart w:id="641" w:name="Tc_AgdBcxeo8kKAtS0EyAy7xA_9_0"/>
      <w:bookmarkStart w:id="642" w:name="Tc_C4JXIpK-L0yIDaT4oNJerw_8_0"/>
      <w:bookmarkStart w:id="643" w:name="Tc_pOuc3GqxOEmsj6uMub5sag_7_0"/>
      <w:bookmarkStart w:id="644" w:name="Tc_3YUtNqUsE0O4W5VVXeR-xQ_6_0"/>
      <w:bookmarkStart w:id="645" w:name="Tc_X5I8KUULhU-CvNy5_uL9Bw_5_5"/>
      <w:bookmarkStart w:id="646" w:name="Tc_Ebqa73LjuE6CGyR3_FOSHg_5_2"/>
      <w:bookmarkStart w:id="647" w:name="Tc_lnP2LqHa90C-J7w7fX5MFQ_5_0"/>
      <w:bookmarkStart w:id="648" w:name="Tc_BldQDeEaI0ep1nRmffXK2A_4_0"/>
      <w:bookmarkStart w:id="649" w:name="Tc_huJDiGx7RUudi9An-dM21w_3_5"/>
      <w:bookmarkStart w:id="650" w:name="Tc_iCKR1HszOUCpds81Vr7h2g_3_2"/>
      <w:bookmarkStart w:id="651" w:name="Tc_0vjDCWl_00KNXabw-Cumkg_2_2"/>
      <w:bookmarkStart w:id="652" w:name="Tc_wPFW1KUJMU-xHHrJjQSUpQ_1_2"/>
      <w:bookmarkStart w:id="653" w:name="_a0df6d4d_70ea_46d0_b610_8f0ada4dc4c8"/>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p>
    <w:tbl>
      <w:tblPr>
        <w:tblW w:w="10205" w:type="dxa"/>
        <w:jc w:val="left"/>
        <w:tblInd w:w="0" w:type="dxa"/>
        <w:tblLayout w:type="fixed"/>
        <w:tblCellMar>
          <w:top w:w="0" w:type="dxa"/>
          <w:left w:w="0" w:type="dxa"/>
          <w:bottom w:w="0" w:type="dxa"/>
          <w:right w:w="0" w:type="dxa"/>
        </w:tblCellMar>
      </w:tblPr>
      <w:tblGrid>
        <w:gridCol w:w="7711"/>
        <w:gridCol w:w="346"/>
        <w:gridCol w:w="211"/>
        <w:gridCol w:w="781"/>
        <w:gridCol w:w="109"/>
        <w:gridCol w:w="211"/>
        <w:gridCol w:w="836"/>
      </w:tblGrid>
      <w:tr>
        <w:trPr/>
        <w:tc>
          <w:tcPr>
            <w:tcW w:w="7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4896485" cy="175260"/>
                      <wp:effectExtent l="0" t="0" r="0" b="0"/>
                      <wp:wrapNone/>
                      <wp:docPr id="85" name="Frame84"/>
                      <a:graphic xmlns:a="http://schemas.openxmlformats.org/drawingml/2006/main">
                        <a:graphicData uri="http://schemas.microsoft.com/office/word/2010/wordprocessingShape">
                          <wps:wsp>
                            <wps:cNvSpPr txBox="1"/>
                            <wps:spPr>
                              <a:xfrm>
                                <a:off x="0" y="0"/>
                                <a:ext cx="4896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19710" cy="175260"/>
                      <wp:effectExtent l="0" t="0" r="0" b="0"/>
                      <wp:wrapNone/>
                      <wp:docPr id="86" name="Frame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33985" cy="175260"/>
                      <wp:effectExtent l="0" t="0" r="0" b="0"/>
                      <wp:wrapNone/>
                      <wp:docPr id="87" name="Frame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495935" cy="175260"/>
                      <wp:effectExtent l="0" t="0" r="0" b="0"/>
                      <wp:wrapNone/>
                      <wp:docPr id="88" name="Frame8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9215" cy="175260"/>
                      <wp:effectExtent l="0" t="0" r="0" b="0"/>
                      <wp:wrapNone/>
                      <wp:docPr id="89" name="Frame8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33985" cy="175260"/>
                      <wp:effectExtent l="0" t="0" r="0" b="0"/>
                      <wp:wrapNone/>
                      <wp:docPr id="90" name="Frame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530860" cy="175260"/>
                      <wp:effectExtent l="0" t="0" r="0" b="0"/>
                      <wp:wrapNone/>
                      <wp:docPr id="91" name="Frame90"/>
                      <a:graphic xmlns:a="http://schemas.openxmlformats.org/drawingml/2006/main">
                        <a:graphicData uri="http://schemas.microsoft.com/office/word/2010/wordprocessingShape">
                          <wps:wsp>
                            <wps:cNvSpPr txBox="1"/>
                            <wps:spPr>
                              <a:xfrm>
                                <a:off x="0" y="0"/>
                                <a:ext cx="530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7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148"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77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4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77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left"/>
              <w:rPr/>
            </w:pPr>
            <w:r>
              <w:rPr/>
              <w:t>​</w:t>
            </w:r>
          </w:p>
        </w:tc>
        <w:tc>
          <w:tcPr>
            <w:tcW w:w="10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FLOWS FROM FINANCING ACTIVITIES:</w:t>
            </w:r>
          </w:p>
        </w:tc>
        <w:tc>
          <w:tcPr>
            <w:tcW w:w="346" w:type="dxa"/>
            <w:tcBorders/>
            <w:shd w:fill="CCEEFF" w:val="clear"/>
            <w:vAlign w:val="center"/>
          </w:tcPr>
          <w:p>
            <w:pPr>
              <w:pStyle w:val="TableContents"/>
              <w:bidi w:val="0"/>
              <w:spacing w:before="0" w:after="0"/>
              <w:ind w:left="0" w:right="0" w:hanging="0"/>
              <w:jc w:val="left"/>
              <w:rPr/>
            </w:pPr>
            <w:r>
              <w:rPr/>
              <w:t> </w:t>
            </w:r>
          </w:p>
        </w:tc>
        <w:tc>
          <w:tcPr>
            <w:tcW w:w="992" w:type="dxa"/>
            <w:gridSpan w:val="2"/>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47" w:type="dxa"/>
            <w:gridSpan w:val="2"/>
            <w:tcBorders/>
            <w:shd w:fill="CCEEFF" w:val="clear"/>
            <w:vAlign w:val="center"/>
          </w:tcPr>
          <w:p>
            <w:pPr>
              <w:pStyle w:val="TableContents"/>
              <w:bidi w:val="0"/>
              <w:spacing w:before="0" w:after="0"/>
              <w:ind w:left="0" w:right="0" w:hanging="0"/>
              <w:jc w:val="center"/>
              <w:rPr/>
            </w:pPr>
            <w:r>
              <w:rPr/>
              <w:t>​</w:t>
            </w:r>
          </w:p>
        </w:tc>
      </w:tr>
      <w:tr>
        <w:trPr/>
        <w:tc>
          <w:tcPr>
            <w:tcW w:w="7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issuance of common stock</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4,623</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20,014</w:t>
            </w:r>
          </w:p>
        </w:tc>
      </w:tr>
      <w:tr>
        <w:trPr/>
        <w:tc>
          <w:tcPr>
            <w:tcW w:w="7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Contingent payments related to acquisitions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(2,567)</w:t>
            </w:r>
          </w:p>
        </w:tc>
      </w:tr>
      <w:tr>
        <w:trPr/>
        <w:tc>
          <w:tcPr>
            <w:tcW w:w="7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 of taxes related to an exchange of common stock</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(6,973)</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(6,145)</w:t>
            </w:r>
          </w:p>
        </w:tc>
      </w:tr>
      <w:tr>
        <w:trPr/>
        <w:tc>
          <w:tcPr>
            <w:tcW w:w="7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cash equivalents, and restricted cash (used in) provided by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(5,341)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11,302</w:t>
            </w:r>
          </w:p>
        </w:tc>
      </w:tr>
      <w:tr>
        <w:trPr/>
        <w:tc>
          <w:tcPr>
            <w:tcW w:w="7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exchange rates on cash, cash equivalents, and restricted cash</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2,953</w:t>
            </w:r>
          </w:p>
        </w:tc>
      </w:tr>
      <w:tr>
        <w:trPr/>
        <w:tc>
          <w:tcPr>
            <w:tcW w:w="7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increase (decrease) in cash, cash equivalents and restricted cash</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(34,852)</w:t>
            </w:r>
          </w:p>
        </w:tc>
      </w:tr>
      <w:tr>
        <w:trPr/>
        <w:tc>
          <w:tcPr>
            <w:tcW w:w="77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6" w:type="dxa"/>
            <w:tcBorders/>
            <w:vAlign w:val="center"/>
          </w:tcPr>
          <w:p>
            <w:pPr>
              <w:pStyle w:val="TableContents"/>
              <w:bidi w:val="0"/>
              <w:spacing w:before="0" w:after="0"/>
              <w:ind w:left="0" w:right="0" w:hanging="0"/>
              <w:jc w:val="left"/>
              <w:rPr/>
            </w:pPr>
            <w:r>
              <w:rPr/>
              <w:t>​</w:t>
            </w:r>
          </w:p>
        </w:tc>
      </w:tr>
      <w:tr>
        <w:trPr/>
        <w:tc>
          <w:tcPr>
            <w:tcW w:w="7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CASH EQUIVALENTS AND RESTRICTED CASH:</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36" w:type="dxa"/>
            <w:tcBorders/>
            <w:shd w:fill="CCEEFF" w:val="clear"/>
            <w:vAlign w:val="center"/>
          </w:tcPr>
          <w:p>
            <w:pPr>
              <w:pStyle w:val="TableContents"/>
              <w:bidi w:val="0"/>
              <w:spacing w:before="0" w:after="0"/>
              <w:ind w:left="0" w:right="0" w:hanging="0"/>
              <w:jc w:val="right"/>
              <w:rPr/>
            </w:pPr>
            <w:r>
              <w:rPr/>
              <w:t>  ​</w:t>
            </w:r>
          </w:p>
        </w:tc>
      </w:tr>
      <w:tr>
        <w:trPr/>
        <w:tc>
          <w:tcPr>
            <w:tcW w:w="7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Beginning of period</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448,549</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378,767</w:t>
            </w:r>
          </w:p>
        </w:tc>
      </w:tr>
      <w:tr>
        <w:trPr/>
        <w:tc>
          <w:tcPr>
            <w:tcW w:w="7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End of period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450,906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343,915</w:t>
            </w:r>
          </w:p>
        </w:tc>
      </w:tr>
      <w:tr>
        <w:trPr/>
        <w:tc>
          <w:tcPr>
            <w:tcW w:w="77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6" w:type="dxa"/>
            <w:tcBorders/>
            <w:vAlign w:val="center"/>
          </w:tcPr>
          <w:p>
            <w:pPr>
              <w:pStyle w:val="TableContents"/>
              <w:bidi w:val="0"/>
              <w:spacing w:before="0" w:after="0"/>
              <w:ind w:left="0" w:right="0" w:hanging="0"/>
              <w:jc w:val="right"/>
              <w:rPr/>
            </w:pPr>
            <w:r>
              <w:rPr/>
              <w:t>​</w:t>
            </w:r>
          </w:p>
        </w:tc>
      </w:tr>
      <w:tr>
        <w:trPr/>
        <w:tc>
          <w:tcPr>
            <w:tcW w:w="7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RECONCILIATION OF CASH, CASH EQUIVALENTS AND RESTRICTED CASH TO THE CONSOLIDATED BALANCE SHEETS: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6" w:type="dxa"/>
            <w:tcBorders/>
            <w:shd w:fill="CCEEFF" w:val="clear"/>
            <w:vAlign w:val="center"/>
          </w:tcPr>
          <w:p>
            <w:pPr>
              <w:pStyle w:val="TableContents"/>
              <w:bidi w:val="0"/>
              <w:spacing w:before="0" w:after="0"/>
              <w:ind w:left="0" w:right="0" w:hanging="0"/>
              <w:jc w:val="right"/>
              <w:rPr/>
            </w:pPr>
            <w:r>
              <w:rPr/>
              <w:t>​</w:t>
            </w:r>
          </w:p>
        </w:tc>
      </w:tr>
      <w:tr>
        <w:trPr/>
        <w:tc>
          <w:tcPr>
            <w:tcW w:w="7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448,699</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341,819</w:t>
            </w:r>
          </w:p>
        </w:tc>
      </w:tr>
      <w:tr>
        <w:trPr/>
        <w:tc>
          <w:tcPr>
            <w:tcW w:w="7711"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 reported in prepaid expenses and other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2,096</w:t>
            </w:r>
          </w:p>
        </w:tc>
      </w:tr>
      <w:tr>
        <w:trPr/>
        <w:tc>
          <w:tcPr>
            <w:tcW w:w="7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cash, cash equivalents and restricted cash </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450,906</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343,915</w:t>
            </w:r>
          </w:p>
        </w:tc>
      </w:tr>
      <w:tr>
        <w:trPr/>
        <w:tc>
          <w:tcPr>
            <w:tcW w:w="77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6" w:type="dxa"/>
            <w:tcBorders/>
            <w:shd w:fill="CCEEFF" w:val="clear"/>
            <w:vAlign w:val="center"/>
          </w:tcPr>
          <w:p>
            <w:pPr>
              <w:pStyle w:val="TableContents"/>
              <w:bidi w:val="0"/>
              <w:spacing w:before="0" w:after="0"/>
              <w:ind w:left="0" w:right="0" w:hanging="0"/>
              <w:jc w:val="left"/>
              <w:rPr/>
            </w:pPr>
            <w:r>
              <w:rPr/>
              <w:t>​</w:t>
            </w:r>
          </w:p>
        </w:tc>
      </w:tr>
      <w:tr>
        <w:trPr/>
        <w:tc>
          <w:tcPr>
            <w:tcW w:w="7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SUPPLEMENTAL DISCLOSURES OF CASH FLOW INFORMATION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36" w:type="dxa"/>
            <w:tcBorders/>
            <w:vAlign w:val="center"/>
          </w:tcPr>
          <w:p>
            <w:pPr>
              <w:pStyle w:val="TableContents"/>
              <w:bidi w:val="0"/>
              <w:spacing w:before="0" w:after="0"/>
              <w:ind w:left="0" w:right="0" w:hanging="0"/>
              <w:jc w:val="right"/>
              <w:rPr/>
            </w:pPr>
            <w:r>
              <w:rPr/>
              <w:t>  ​</w:t>
            </w:r>
          </w:p>
        </w:tc>
      </w:tr>
      <w:tr>
        <w:trPr/>
        <w:tc>
          <w:tcPr>
            <w:tcW w:w="7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paid during the period for: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36" w:type="dxa"/>
            <w:tcBorders/>
            <w:shd w:fill="CCEEFF" w:val="clear"/>
            <w:vAlign w:val="center"/>
          </w:tcPr>
          <w:p>
            <w:pPr>
              <w:pStyle w:val="TableContents"/>
              <w:bidi w:val="0"/>
              <w:spacing w:before="0" w:after="0"/>
              <w:ind w:left="0" w:right="0" w:hanging="0"/>
              <w:jc w:val="right"/>
              <w:rPr/>
            </w:pPr>
            <w:r>
              <w:rPr/>
              <w:t>  ​</w:t>
            </w:r>
          </w:p>
        </w:tc>
      </w:tr>
      <w:tr>
        <w:trPr/>
        <w:tc>
          <w:tcPr>
            <w:tcW w:w="7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(net of capitalized interest of $1,034 and $594, respectively)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15,816</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13,530</w:t>
            </w:r>
          </w:p>
        </w:tc>
      </w:tr>
      <w:tr>
        <w:trPr/>
        <w:tc>
          <w:tcPr>
            <w:tcW w:w="7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21,877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19,658</w:t>
            </w:r>
          </w:p>
        </w:tc>
      </w:tr>
      <w:tr>
        <w:trPr/>
        <w:tc>
          <w:tcPr>
            <w:tcW w:w="77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6" w:type="dxa"/>
            <w:tcBorders/>
            <w:vAlign w:val="center"/>
          </w:tcPr>
          <w:p>
            <w:pPr>
              <w:pStyle w:val="TableContents"/>
              <w:bidi w:val="0"/>
              <w:spacing w:before="0" w:after="0"/>
              <w:ind w:left="0" w:right="0" w:hanging="0"/>
              <w:jc w:val="left"/>
              <w:rPr/>
            </w:pPr>
            <w:r>
              <w:rPr/>
              <w:t>​</w:t>
            </w:r>
          </w:p>
        </w:tc>
      </w:tr>
      <w:tr>
        <w:trPr/>
        <w:tc>
          <w:tcPr>
            <w:tcW w:w="7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SUPPLEMENTAL DISCLOSURES OF NON-CASH INVESTING AND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36" w:type="dxa"/>
            <w:tcBorders/>
            <w:shd w:fill="CCEEFF" w:val="clear"/>
            <w:vAlign w:val="center"/>
          </w:tcPr>
          <w:p>
            <w:pPr>
              <w:pStyle w:val="TableContents"/>
              <w:bidi w:val="0"/>
              <w:spacing w:before="0" w:after="0"/>
              <w:ind w:left="0" w:right="0" w:hanging="0"/>
              <w:jc w:val="right"/>
              <w:rPr/>
            </w:pPr>
            <w:r>
              <w:rPr/>
              <w:t>  ​</w:t>
            </w:r>
          </w:p>
        </w:tc>
      </w:tr>
      <w:tr>
        <w:trPr/>
        <w:tc>
          <w:tcPr>
            <w:tcW w:w="7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purchases in accounts payable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9,062</w:t>
            </w:r>
          </w:p>
        </w:tc>
      </w:tr>
      <w:tr>
        <w:trPr/>
        <w:tc>
          <w:tcPr>
            <w:tcW w:w="7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Acquisition purchases in accrued expenses and other long-term obligations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48,764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4,068</w:t>
            </w:r>
          </w:p>
        </w:tc>
      </w:tr>
      <w:tr>
        <w:trPr/>
        <w:tc>
          <w:tcPr>
            <w:tcW w:w="7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Merit common stock surrendered (0 and 18 shares, respectively) in exchange for exercise of stock options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1,882</w:t>
            </w:r>
          </w:p>
        </w:tc>
      </w:tr>
      <w:tr>
        <w:trPr/>
        <w:tc>
          <w:tcPr>
            <w:tcW w:w="7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operating lease assets obtained in exchange for operating lease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6"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28,504</w:t>
            </w:r>
          </w:p>
        </w:tc>
      </w:tr>
    </w:tbl>
    <w:p>
      <w:pPr>
        <w:pStyle w:val="TextBody"/>
        <w:bidi w:val="0"/>
        <w:spacing w:before="0" w:after="0"/>
        <w:ind w:left="0" w:right="0" w:hanging="0"/>
        <w:jc w:val="left"/>
        <w:rPr>
          <w:color w:val="212529"/>
        </w:rPr>
      </w:pPr>
      <w:r>
        <w:rPr>
          <w:color w:val="212529"/>
        </w:rPr>
        <w:t>​</w:t>
      </w:r>
    </w:p>
    <w:tbl>
      <w:tblPr>
        <w:tblW w:w="5942" w:type="dxa"/>
        <w:jc w:val="left"/>
        <w:tblInd w:w="0" w:type="dxa"/>
        <w:tblLayout w:type="fixed"/>
        <w:tblCellMar>
          <w:top w:w="0" w:type="dxa"/>
          <w:left w:w="0" w:type="dxa"/>
          <w:bottom w:w="0" w:type="dxa"/>
          <w:right w:w="0" w:type="dxa"/>
        </w:tblCellMar>
      </w:tblPr>
      <w:tblGrid>
        <w:gridCol w:w="4816"/>
        <w:gridCol w:w="1126"/>
      </w:tblGrid>
      <w:tr>
        <w:trPr/>
        <w:tc>
          <w:tcPr>
            <w:tcW w:w="4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3058160" cy="175260"/>
                      <wp:effectExtent l="0" t="0" r="0" b="0"/>
                      <wp:wrapNone/>
                      <wp:docPr id="92" name="Frame91"/>
                      <a:graphic xmlns:a="http://schemas.openxmlformats.org/drawingml/2006/main">
                        <a:graphicData uri="http://schemas.microsoft.com/office/word/2010/wordprocessingShape">
                          <wps:wsp>
                            <wps:cNvSpPr txBox="1"/>
                            <wps:spPr>
                              <a:xfrm>
                                <a:off x="0" y="0"/>
                                <a:ext cx="3058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715010" cy="175260"/>
                      <wp:effectExtent l="0" t="0" r="0" b="0"/>
                      <wp:wrapNone/>
                      <wp:docPr id="93" name="Frame92"/>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See condensed notes to consolidated financial statements.</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(concluded)</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654" w:name="_41e5d475_b812_4301_b19c_c89970785d93"/>
      <w:bookmarkEnd w:id="654"/>
      <w:r>
        <w:rPr>
          <w:rFonts w:ascii="Times New Roman;Times;serif" w:hAnsi="Times New Roman;Times;serif"/>
          <w:b/>
          <w:sz w:val="20"/>
        </w:rPr>
        <w:t>MERIT MEDICAL SYSTEMS, INC. AND SUBSIDIARIES</w:t>
      </w:r>
    </w:p>
    <w:p>
      <w:pPr>
        <w:pStyle w:val="TextBody"/>
        <w:bidi w:val="0"/>
        <w:spacing w:before="0" w:after="0"/>
        <w:ind w:left="0" w:right="0" w:hanging="0"/>
        <w:jc w:val="center"/>
        <w:rPr>
          <w:rFonts w:ascii="Times New Roman;Times;serif" w:hAnsi="Times New Roman;Times;serif"/>
          <w:b/>
          <w:sz w:val="20"/>
        </w:rPr>
      </w:pPr>
      <w:bookmarkStart w:id="655" w:name="FINANCIALSTATEMENTS"/>
      <w:bookmarkEnd w:id="655"/>
      <w:r>
        <w:rPr>
          <w:rFonts w:ascii="Times New Roman;Times;serif" w:hAnsi="Times New Roman;Times;serif"/>
          <w:b/>
          <w:sz w:val="20"/>
        </w:rPr>
        <w:t>CONDENSED NOTES TO CONSOLIDATED FINANCIAL STATEMENTS</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00"/>
        <w:ind w:left="0" w:right="0" w:hanging="0"/>
        <w:jc w:val="both"/>
        <w:rPr>
          <w:rFonts w:ascii="Times New Roman;Times;serif" w:hAnsi="Times New Roman;Times;serif"/>
          <w:sz w:val="20"/>
        </w:rPr>
      </w:pPr>
      <w:bookmarkStart w:id="656" w:name="_7d897575_2828_4df5_aa83_44807aacf41c_3"/>
      <w:bookmarkStart w:id="657" w:name="_7d897575_2828_4df5_aa83_44807aacf41c_2"/>
      <w:bookmarkStart w:id="658" w:name="_7d897575_2828_4df5_aa83_44807aacf41c"/>
      <w:bookmarkEnd w:id="656"/>
      <w:bookmarkEnd w:id="657"/>
      <w:bookmarkEnd w:id="658"/>
      <w:r>
        <w:rPr>
          <w:rFonts w:ascii="Times New Roman;Times;serif" w:hAnsi="Times New Roman;Times;serif"/>
          <w:b/>
          <w:sz w:val="20"/>
        </w:rPr>
        <w:t>1.    Basis of Presentation and Other Items.</w:t>
      </w:r>
      <w:r>
        <w:rPr>
          <w:rFonts w:ascii="Times New Roman;Times;serif" w:hAnsi="Times New Roman;Times;serif"/>
          <w:sz w:val="20"/>
        </w:rPr>
        <w:t xml:space="preserve"> The interim consolidated financial statements of Merit Medical Systems, Inc. ("Merit," "we" or "us") for the three and six-month periods ended June 30, 2026 and 2025 are not audited. Our consolidated financial statements are prepared in accordance with the requirements for unaudited interim periods and, consequently, do not include all disclosures required to be made in conformity with accounting principles generally accepted in the United States of America. In the opinion of our management, the accompanying consolidated financial statements contain all adjustments, consisting of normal recurring accruals, necessary for a fair presentation of our financial position, results of operations and cash flows for the periods presented in conformity with GAAP. The results of operations presented in these interim consolidated financial statements are not necessarily indicative of the results for a full-year period. Amounts presented in this report are rounded, while percentages and earnings per share amounts presented are calculated from the underlying amounts. These interim consolidated financial statements should be read in conjunction with the financial statements and risk factors included in our Annual Report on Form 10-K for the year ended December 31, 2025 (the “2025 Annual Report on Form 10-K”)</w:t>
      </w:r>
      <w:r>
        <w:rPr>
          <w:rFonts w:ascii="Times New Roman;Times;serif" w:hAnsi="Times New Roman;Times;serif"/>
          <w:sz w:val="20"/>
          <w:shd w:fill="FFFFFF" w:val="clear"/>
        </w:rPr>
        <w:t>.</w:t>
      </w:r>
    </w:p>
    <w:p>
      <w:pPr>
        <w:pStyle w:val="TextBody"/>
        <w:bidi w:val="0"/>
        <w:spacing w:before="200" w:after="200"/>
        <w:ind w:left="0" w:right="0" w:hanging="0"/>
        <w:jc w:val="both"/>
        <w:rPr>
          <w:rFonts w:ascii="Times New Roman;Times;serif" w:hAnsi="Times New Roman;Times;serif"/>
          <w:sz w:val="20"/>
        </w:rPr>
      </w:pPr>
      <w:r>
        <w:rPr>
          <w:rFonts w:ascii="Times New Roman;Times;serif" w:hAnsi="Times New Roman;Times;serif"/>
          <w:sz w:val="20"/>
          <w:shd w:fill="FFFFFF" w:val="clear"/>
        </w:rPr>
        <w:t xml:space="preserve">On October 3, 2025, Martha G. Aronson became Merit’s new Chief Executive Officer and chief operating decision maker (“CODM”). Beginning in the first quarter of 2026, the CODM began managing Merit’s operations and allocating resources on a consolidated basis and evaluating performance using net income. Based on the information regularly provided to and reviewed by the CODM, Merit has determined that it operates as a single segment. All information previously reported by segment has been recast to conform to this single segment conclusion. Refer to Note 13, </w:t>
      </w:r>
      <w:r>
        <w:rPr>
          <w:rFonts w:ascii="Times New Roman;Times;serif" w:hAnsi="Times New Roman;Times;serif"/>
          <w:i/>
          <w:sz w:val="20"/>
          <w:shd w:fill="FFFFFF" w:val="clear"/>
        </w:rPr>
        <w:t xml:space="preserve">Segment Reporting </w:t>
      </w:r>
      <w:r>
        <w:rPr>
          <w:rFonts w:ascii="Times New Roman;Times;serif" w:hAnsi="Times New Roman;Times;serif"/>
          <w:sz w:val="20"/>
          <w:shd w:fill="FFFFFF" w:val="clear"/>
        </w:rPr>
        <w:t>for further details.</w:t>
      </w:r>
    </w:p>
    <w:p>
      <w:pPr>
        <w:pStyle w:val="TextBody"/>
        <w:bidi w:val="0"/>
        <w:spacing w:before="200" w:after="200"/>
        <w:ind w:left="0" w:right="0" w:hanging="0"/>
        <w:jc w:val="both"/>
        <w:rPr>
          <w:rFonts w:ascii="Times New Roman;Times;serif" w:hAnsi="Times New Roman;Times;serif"/>
          <w:sz w:val="20"/>
        </w:rPr>
      </w:pPr>
      <w:r>
        <w:rPr>
          <w:rFonts w:ascii="Times New Roman;Times;serif" w:hAnsi="Times New Roman;Times;serif"/>
          <w:b/>
          <w:sz w:val="20"/>
        </w:rPr>
        <w:t>Restructuring.</w:t>
      </w:r>
      <w:r>
        <w:rPr>
          <w:rFonts w:ascii="Times New Roman;Times;serif" w:hAnsi="Times New Roman;Times;serif"/>
          <w:sz w:val="20"/>
        </w:rPr>
        <w:t xml:space="preserve"> Restructuring charges consist primarily of termination benefits for employees affected by initiatives aimed at streamlining our operations, improving efficiencies and more affectively aligning teams to our strategic goals. We account for involuntary employee termination benefits that represent a one-time benefit in accordance with ASC 420, </w:t>
      </w:r>
      <w:r>
        <w:rPr>
          <w:rFonts w:ascii="Times New Roman;Times;serif" w:hAnsi="Times New Roman;Times;serif"/>
          <w:i/>
          <w:sz w:val="20"/>
        </w:rPr>
        <w:t>Exit or Disposal Cost Obligations</w:t>
      </w:r>
      <w:r>
        <w:rPr>
          <w:rFonts w:ascii="Times New Roman;Times;serif" w:hAnsi="Times New Roman;Times;serif"/>
          <w:sz w:val="20"/>
        </w:rPr>
        <w:t>. Severance costs accounted for under ASC 420 are recognized when management with the proper level of authority commits to a restructuring plan and communicates these actions to employees and other applicable criteria. We record such costs into expense over the employee’s future service period, if any. Other exit costs are accounted for under ASC 420 and are either deferred or expensed as incurred based on the nature of the expense. We recorded restructuring charges of $2.2 million and $2.6 million for the six-month periods ended June 30, 2026 and 2025, respectively. These expenses are reflected within selling, general and administrative expenses within our consolidated statements of income. The restructuring reserve balance as of June 30, 2026 and December 31, 2025 was $1.5 million and $0.2 million, respectively.</w:t>
      </w:r>
    </w:p>
    <w:p>
      <w:pPr>
        <w:pStyle w:val="TextBody"/>
        <w:bidi w:val="0"/>
        <w:spacing w:before="0" w:after="240"/>
        <w:ind w:left="0" w:right="0" w:hanging="0"/>
        <w:jc w:val="both"/>
        <w:rPr/>
      </w:pPr>
      <w:r>
        <w:rPr/>
        <w: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b/>
          <w:sz w:val="20"/>
        </w:rPr>
        <w:t>2.   Recently</w:t>
      </w:r>
      <w:r>
        <w:rPr>
          <w:rFonts w:ascii="Times New Roman;Times;serif" w:hAnsi="Times New Roman;Times;serif"/>
          <w:sz w:val="20"/>
        </w:rPr>
        <w:t xml:space="preserve"> </w:t>
      </w:r>
      <w:r>
        <w:rPr>
          <w:rFonts w:ascii="Times New Roman;Times;serif" w:hAnsi="Times New Roman;Times;serif"/>
          <w:b/>
          <w:sz w:val="20"/>
        </w:rPr>
        <w:t xml:space="preserve">Issued Accounting Standards. </w:t>
      </w:r>
      <w:r>
        <w:rPr>
          <w:rFonts w:ascii="Times New Roman;Times;serif" w:hAnsi="Times New Roman;Times;serif"/>
          <w:sz w:val="20"/>
        </w:rPr>
        <w:t xml:space="preserve">In November 2024, the FASB issued ASU 2024-03, </w:t>
      </w:r>
      <w:r>
        <w:rPr>
          <w:rFonts w:ascii="Times New Roman;Times;serif" w:hAnsi="Times New Roman;Times;serif"/>
          <w:i/>
          <w:sz w:val="20"/>
        </w:rPr>
        <w:t xml:space="preserve">Disaggregation of Income Statement Expenses, </w:t>
      </w:r>
      <w:r>
        <w:rPr>
          <w:rFonts w:ascii="Times New Roman;Times;serif" w:hAnsi="Times New Roman;Times;serif"/>
          <w:sz w:val="20"/>
        </w:rPr>
        <w:t xml:space="preserve">which requires a public entity to disclose certain operating expenses disaggregated into categories, such as purchases of inventory, employee compensation, depreciation, and intangible asset amortization on an annual and interim basis. ASU 2024-03 is effective for fiscal years beginning after December 15, 2026, and interim periods within fiscal years beginning after December 15, 2027, with early adoption permitted. The provisions within the update may be applied retrospectively for all periods presented in the financial statements. While we are still evaluating the specific impacts and adoption method, we anticipate this guidance will have a significant impact on our consolidated financial statement disclosures.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pPr>
      <w:r>
        <w:rPr/>
        <w:t>​</w:t>
      </w:r>
    </w:p>
    <w:p>
      <w:pPr>
        <w:pStyle w:val="TextBody"/>
        <w:bidi w:val="0"/>
        <w:spacing w:before="0" w:after="200"/>
        <w:ind w:left="0" w:right="0" w:hanging="0"/>
        <w:jc w:val="both"/>
        <w:rPr>
          <w:rFonts w:ascii="Times New Roman;Times;serif" w:hAnsi="Times New Roman;Times;serif"/>
          <w:b/>
          <w:sz w:val="20"/>
        </w:rPr>
      </w:pPr>
      <w:bookmarkStart w:id="659" w:name="Tc_3dQ8mWHt3kOacbyCYpNz7Q_6_11"/>
      <w:bookmarkStart w:id="660" w:name="Tc_jP6nl5CCM0u3A-DFroSIig_6_8"/>
      <w:bookmarkStart w:id="661" w:name="Tc_CTFIi94y_Uan0Lq-NzSoqA_6_5"/>
      <w:bookmarkStart w:id="662" w:name="Tc_B0Ivu1Ir7kG75isRQ4XAJQ_6_2"/>
      <w:bookmarkStart w:id="663" w:name="Tc_4YmGEoI6D0KvCbeatgN4Ig_6_0"/>
      <w:bookmarkStart w:id="664" w:name="Tc_hRiVH1uME02hvDJzbr73Qw_5_0"/>
      <w:bookmarkStart w:id="665" w:name="Tc_NeXr3C1Ln02uW_J4Y9A9rg_4_11"/>
      <w:bookmarkStart w:id="666" w:name="Tc_EKaTw9DFzUiShLyllDRWNQ_4_8"/>
      <w:bookmarkStart w:id="667" w:name="Tc_jcDFjaWdnE-gvrMaCofiTg_4_5"/>
      <w:bookmarkStart w:id="668" w:name="Tc_fa4oeNrlDUu6gmkfaJNx1A_4_2"/>
      <w:bookmarkStart w:id="669" w:name="Tc_mY8iuGOwEEuQmdiDG3tI_Q_4_0"/>
      <w:bookmarkStart w:id="670" w:name="Tc_USUftyqN-0CGxdqbloFh8w_3_11"/>
      <w:bookmarkStart w:id="671" w:name="Tc_Fb6WEIIzCEus_m2uMNgq0Q_3_8"/>
      <w:bookmarkStart w:id="672" w:name="Tc_vannz6UUeUONBmsP3plt4A_3_5"/>
      <w:bookmarkStart w:id="673" w:name="Tc_Dvhv57TAjU2m9YmIFEpIrw_3_2"/>
      <w:bookmarkStart w:id="674" w:name="Tc_guMbKUVFMEaGx_vZJRGaDA_2_8"/>
      <w:bookmarkStart w:id="675" w:name="Tc_geJT9QiOwkyYD7SiiP6XjQ_2_2"/>
      <w:bookmarkStart w:id="676" w:name="Tc_geBjHzepakG1OVqcmjP3KA_1_8"/>
      <w:bookmarkStart w:id="677" w:name="Tc_fogxMA-N0ky0GOlFv5EuKg_1_2"/>
      <w:bookmarkStart w:id="678" w:name="_103eb6e1_7337_49f1_b893_fe159dfaef7f"/>
      <w:bookmarkStart w:id="679" w:name="Tc_8GmNsIawRUGc_oqx8RJ5EQ_21_11"/>
      <w:bookmarkStart w:id="680" w:name="Tc_n74N4L9QGk-2l5-5w6GGEQ_21_8"/>
      <w:bookmarkStart w:id="681" w:name="Tc_tkt8mPFWB06eTKLqLaSbHw_21_5"/>
      <w:bookmarkStart w:id="682" w:name="Tc_VWI1BZ6u6kiiHCPFp-VgDw_21_2"/>
      <w:bookmarkStart w:id="683" w:name="Tc_bGiYHb9WK0GZntOXp19mhw_21_0"/>
      <w:bookmarkStart w:id="684" w:name="Tc_AHIgJrpUd0m7V-xKFEfbNQ_19_0"/>
      <w:bookmarkStart w:id="685" w:name="Tc_KuChnIFWO0WeQxfNWYGq5A_18_0"/>
      <w:bookmarkStart w:id="686" w:name="Tc_Hpi0WTGWEESNY3Y0xBiMKw_17_0"/>
      <w:bookmarkStart w:id="687" w:name="Tc_gevkof5OJEih87sXJzVVTA_16_0"/>
      <w:bookmarkStart w:id="688" w:name="Tc_JouurDtoGkavwri5JP1hag_15_0"/>
      <w:bookmarkStart w:id="689" w:name="Tc_kPGPcbX3x0av3SW7KKROSg_14_0"/>
      <w:bookmarkStart w:id="690" w:name="Tc_F2198uan4Uaob8l4Hf-dLQ_13_0"/>
      <w:bookmarkStart w:id="691" w:name="Tc_HZ1I7fmQ60-FUFezj0slXA_12_0"/>
      <w:bookmarkStart w:id="692" w:name="Tc_P1CRUrEAYEmAqT02_SVmlg_10_0"/>
      <w:bookmarkStart w:id="693" w:name="Tc_35uX6JBBV0ux1vpp0iAmvg_9_0"/>
      <w:bookmarkStart w:id="694" w:name="Tc_NPHHqVWsEE-ZOLX5wTufsA_8_0"/>
      <w:bookmarkStart w:id="695" w:name="Tc_ULHErcP7qkWDNmnLya3G5w_7_0"/>
      <w:bookmarkStart w:id="696" w:name="Tc_Kf1Pi94ko06XY0L9kAMEqQ_6_0"/>
      <w:bookmarkStart w:id="697" w:name="Tc_6kU7z4vlvkG6upmJkjNO_Q_5_11"/>
      <w:bookmarkStart w:id="698" w:name="Tc_o6r-rJj6DkuWJ_B0FwBdpg_5_8"/>
      <w:bookmarkStart w:id="699" w:name="Tc_ZouEt9bbUEiXzrn_6ay36Q_5_5"/>
      <w:bookmarkStart w:id="700" w:name="Tc_GMo-I_8hrUuwl6nB69lorw_5_2"/>
      <w:bookmarkStart w:id="701" w:name="Tc_3a0TsaLlWkG2yVlyUkYvzg_5_0"/>
      <w:bookmarkStart w:id="702" w:name="Tc_-aDAa3_NE0-31A3WUFhBLw_4_0"/>
      <w:bookmarkStart w:id="703" w:name="Tc_XpkTNWkRsE-bwT9f_I5fsg_3_11"/>
      <w:bookmarkStart w:id="704" w:name="Tc_2jyCsPNCiEWBfO2aF-G4-A_3_8"/>
      <w:bookmarkStart w:id="705" w:name="Tc_j7wDlnUwg0iaOil4lHZMlg_3_5"/>
      <w:bookmarkStart w:id="706" w:name="Tc_ujqtPrtpSkqNUn0gjND_RA_3_2"/>
      <w:bookmarkStart w:id="707" w:name="Tc_JZ6lov7lfUKqhmjTJTk7YA_2_8"/>
      <w:bookmarkStart w:id="708" w:name="Tc_oLHqoZlRqEG3ZaLHdX_wFA_2_2"/>
      <w:bookmarkStart w:id="709" w:name="Tc_sfvSOLWnjEeRci4YGuH9Jw_1_8"/>
      <w:bookmarkStart w:id="710" w:name="Tc_cdzJCkPtikGwxQTJ2nOq6w_1_2"/>
      <w:bookmarkStart w:id="711" w:name="_87bec0a6_cbf5_4f4d_8ab8_513ecf69d3a5"/>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r>
        <w:rPr>
          <w:rFonts w:ascii="Times New Roman;Times;serif" w:hAnsi="Times New Roman;Times;serif"/>
          <w:b/>
          <w:sz w:val="20"/>
        </w:rPr>
        <w:t xml:space="preserve">3.   Revenue from Contracts with Customers. </w:t>
      </w:r>
      <w:r>
        <w:rPr>
          <w:rFonts w:ascii="Times New Roman;Times;serif" w:hAnsi="Times New Roman;Times;serif"/>
          <w:b w:val="false"/>
          <w:sz w:val="20"/>
        </w:rPr>
        <w:t>We recognize revenue when a customer obtains control of promised goods. The amount of revenue recognized reflects the consideration we expect to receive in exchange for these goods. Our revenue recognition policies have not changed from those disclosed in Note 1 to our consolidated financial statements in Item 8 of the 2025 Annual Report on Form 10-K.</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Disaggregation of Revenue</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Our revenue is disaggregated based on product category, platform and geographic region. In addition to the change in segments, beginning in the first quarter of 2026, we adjusted our product categories and platforms to better reflect the clinical uses of our products. As a result of these changes, our revenue categories have been recast for the historical periods presented.</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We design, develop, manufacture and market medical products for interventional, diagnostic and therapeutic procedures. For financial reporting purposes, we report our operations as a </w:t>
      </w:r>
      <w:r>
        <w:rPr>
          <w:rFonts w:ascii="Times New Roman;Times;serif" w:hAnsi="Times New Roman;Times;serif"/>
          <w:b w:val="false"/>
          <w:i w:val="false"/>
          <w:caps w:val="false"/>
          <w:smallCaps w:val="false"/>
          <w:sz w:val="20"/>
        </w:rPr>
        <w:t>single</w:t>
      </w:r>
      <w:r>
        <w:rPr>
          <w:rFonts w:ascii="Times New Roman;Times;serif" w:hAnsi="Times New Roman;Times;serif"/>
          <w:sz w:val="20"/>
        </w:rPr>
        <w:t xml:space="preserve"> operating segment with two product categories: foundational and therapeutic. Foundational products are used primarily for access and enabling functions in vascular and other procedures, and include product platforms such as access devices, procedural solutions, original equipment manufacturer (“OEM”) products, and vascular intervention. Therapeutic products are devices and systems used to treat a broad array of diseases, and include product platforms such as cardiac therapies, oncology, renal therapies, vascular intervention, OEM products and endoscopy.</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following table presents revenue from contracts with customers by product category and platform for the three and six-month periods ended June 30, 2026 and 2025 (in thousands):</w:t>
      </w:r>
    </w:p>
    <w:tbl>
      <w:tblPr>
        <w:tblW w:w="6418" w:type="dxa"/>
        <w:jc w:val="left"/>
        <w:tblInd w:w="0" w:type="dxa"/>
        <w:tblLayout w:type="fixed"/>
        <w:tblCellMar>
          <w:top w:w="0" w:type="dxa"/>
          <w:left w:w="0" w:type="dxa"/>
          <w:bottom w:w="0" w:type="dxa"/>
          <w:right w:w="0" w:type="dxa"/>
        </w:tblCellMar>
      </w:tblPr>
      <w:tblGrid>
        <w:gridCol w:w="1621"/>
        <w:gridCol w:w="286"/>
        <w:gridCol w:w="196"/>
        <w:gridCol w:w="691"/>
        <w:gridCol w:w="286"/>
        <w:gridCol w:w="196"/>
        <w:gridCol w:w="691"/>
        <w:gridCol w:w="286"/>
        <w:gridCol w:w="196"/>
        <w:gridCol w:w="691"/>
        <w:gridCol w:w="286"/>
        <w:gridCol w:w="196"/>
        <w:gridCol w:w="796"/>
      </w:tblGrid>
      <w:tr>
        <w:trPr/>
        <w:tc>
          <w:tcPr>
            <w:tcW w:w="16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029335" cy="175260"/>
                      <wp:effectExtent l="0" t="0" r="0" b="0"/>
                      <wp:wrapNone/>
                      <wp:docPr id="94" name="Frame93"/>
                      <a:graphic xmlns:a="http://schemas.openxmlformats.org/drawingml/2006/main">
                        <a:graphicData uri="http://schemas.microsoft.com/office/word/2010/wordprocessingShape">
                          <wps:wsp>
                            <wps:cNvSpPr txBox="1"/>
                            <wps:spPr>
                              <a:xfrm>
                                <a:off x="0" y="0"/>
                                <a:ext cx="1029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81610" cy="175260"/>
                      <wp:effectExtent l="0" t="0" r="0" b="0"/>
                      <wp:wrapNone/>
                      <wp:docPr id="95" name="Frame94"/>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24460" cy="175260"/>
                      <wp:effectExtent l="0" t="0" r="0" b="0"/>
                      <wp:wrapNone/>
                      <wp:docPr id="96" name="Frame9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438785" cy="175260"/>
                      <wp:effectExtent l="0" t="0" r="0" b="0"/>
                      <wp:wrapNone/>
                      <wp:docPr id="97" name="Frame9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81610" cy="175260"/>
                      <wp:effectExtent l="0" t="0" r="0" b="0"/>
                      <wp:wrapNone/>
                      <wp:docPr id="98" name="Frame97"/>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24460" cy="175260"/>
                      <wp:effectExtent l="0" t="0" r="0" b="0"/>
                      <wp:wrapNone/>
                      <wp:docPr id="99" name="Frame9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438785" cy="175260"/>
                      <wp:effectExtent l="0" t="0" r="0" b="0"/>
                      <wp:wrapNone/>
                      <wp:docPr id="100" name="Frame9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181610" cy="175260"/>
                      <wp:effectExtent l="0" t="0" r="0" b="0"/>
                      <wp:wrapNone/>
                      <wp:docPr id="101" name="Frame100"/>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24460" cy="175260"/>
                      <wp:effectExtent l="0" t="0" r="0" b="0"/>
                      <wp:wrapNone/>
                      <wp:docPr id="102" name="Frame10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438785" cy="175260"/>
                      <wp:effectExtent l="0" t="0" r="0" b="0"/>
                      <wp:wrapNone/>
                      <wp:docPr id="103" name="Frame10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181610" cy="175260"/>
                      <wp:effectExtent l="0" t="0" r="0" b="0"/>
                      <wp:wrapNone/>
                      <wp:docPr id="104" name="Frame103"/>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24460" cy="175260"/>
                      <wp:effectExtent l="0" t="0" r="0" b="0"/>
                      <wp:wrapNone/>
                      <wp:docPr id="105" name="Frame10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505460" cy="175260"/>
                      <wp:effectExtent l="0" t="0" r="0" b="0"/>
                      <wp:wrapNone/>
                      <wp:docPr id="106" name="Frame10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621"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c>
          <w:tcPr>
            <w:tcW w:w="2060" w:type="dxa"/>
            <w:gridSpan w:val="5"/>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 xml:space="preserve">Three Months Ended </w:t>
            </w:r>
          </w:p>
        </w:tc>
        <w:tc>
          <w:tcPr>
            <w:tcW w:w="286" w:type="dxa"/>
            <w:tcBorders/>
            <w:vAlign w:val="center"/>
          </w:tcPr>
          <w:p>
            <w:pPr>
              <w:pStyle w:val="TableContents"/>
              <w:bidi w:val="0"/>
              <w:spacing w:before="0" w:after="1"/>
              <w:ind w:left="0" w:right="0" w:hanging="0"/>
              <w:jc w:val="left"/>
              <w:rPr/>
            </w:pPr>
            <w:r>
              <w:rPr/>
              <w:t>​</w:t>
            </w:r>
          </w:p>
        </w:tc>
        <w:tc>
          <w:tcPr>
            <w:tcW w:w="2165" w:type="dxa"/>
            <w:gridSpan w:val="5"/>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 xml:space="preserve">Six Months Ended </w:t>
            </w:r>
          </w:p>
        </w:tc>
      </w:tr>
      <w:tr>
        <w:trPr/>
        <w:tc>
          <w:tcPr>
            <w:tcW w:w="1621"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c>
          <w:tcPr>
            <w:tcW w:w="206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June 30, </w:t>
            </w:r>
          </w:p>
        </w:tc>
        <w:tc>
          <w:tcPr>
            <w:tcW w:w="286" w:type="dxa"/>
            <w:tcBorders/>
            <w:vAlign w:val="center"/>
          </w:tcPr>
          <w:p>
            <w:pPr>
              <w:pStyle w:val="TableContents"/>
              <w:bidi w:val="0"/>
              <w:spacing w:before="0" w:after="1"/>
              <w:ind w:left="0" w:right="0" w:hanging="0"/>
              <w:jc w:val="left"/>
              <w:rPr/>
            </w:pPr>
            <w:r>
              <w:rPr/>
              <w:t>​</w:t>
            </w:r>
          </w:p>
        </w:tc>
        <w:tc>
          <w:tcPr>
            <w:tcW w:w="216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June 30, </w:t>
            </w:r>
          </w:p>
        </w:tc>
      </w:tr>
      <w:tr>
        <w:trPr/>
        <w:tc>
          <w:tcPr>
            <w:tcW w:w="1621"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2026</w:t>
            </w:r>
          </w:p>
        </w:tc>
        <w:tc>
          <w:tcPr>
            <w:tcW w:w="286" w:type="dxa"/>
            <w:tcBorders/>
            <w:vAlign w:val="center"/>
          </w:tcPr>
          <w:p>
            <w:pPr>
              <w:pStyle w:val="TableContents"/>
              <w:bidi w:val="0"/>
              <w:spacing w:before="0" w:after="1"/>
              <w:ind w:left="0" w:right="0" w:hanging="0"/>
              <w:jc w:val="left"/>
              <w:rPr/>
            </w:pPr>
            <w:r>
              <w:rPr/>
              <w:t>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2025</w:t>
            </w:r>
          </w:p>
        </w:tc>
        <w:tc>
          <w:tcPr>
            <w:tcW w:w="286" w:type="dxa"/>
            <w:tcBorders/>
            <w:vAlign w:val="center"/>
          </w:tcPr>
          <w:p>
            <w:pPr>
              <w:pStyle w:val="TableContents"/>
              <w:bidi w:val="0"/>
              <w:spacing w:before="0" w:after="1"/>
              <w:ind w:left="0" w:right="0" w:hanging="0"/>
              <w:jc w:val="left"/>
              <w:rPr/>
            </w:pPr>
            <w:r>
              <w:rPr/>
              <w:t>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2026</w:t>
            </w:r>
          </w:p>
        </w:tc>
        <w:tc>
          <w:tcPr>
            <w:tcW w:w="286" w:type="dxa"/>
            <w:tcBorders/>
            <w:vAlign w:val="center"/>
          </w:tcPr>
          <w:p>
            <w:pPr>
              <w:pStyle w:val="TableContents"/>
              <w:bidi w:val="0"/>
              <w:spacing w:before="0" w:after="1"/>
              <w:ind w:left="0" w:right="0" w:hanging="0"/>
              <w:jc w:val="left"/>
              <w:rPr/>
            </w:pPr>
            <w:r>
              <w:rPr/>
              <w:t>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2025</w:t>
            </w:r>
          </w:p>
        </w:tc>
      </w:tr>
      <w:tr>
        <w:trPr/>
        <w:tc>
          <w:tcPr>
            <w:tcW w:w="1621"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Foundational</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r>
      <w:tr>
        <w:trPr/>
        <w:tc>
          <w:tcPr>
            <w:tcW w:w="162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Access</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161,786</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152,122</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312,910</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286,520</w:t>
            </w:r>
          </w:p>
        </w:tc>
      </w:tr>
      <w:tr>
        <w:trPr/>
        <w:tc>
          <w:tcPr>
            <w:tcW w:w="162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OEM</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48,338</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43,218</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87,878</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86,641</w:t>
            </w:r>
          </w:p>
        </w:tc>
      </w:tr>
      <w:tr>
        <w:trPr/>
        <w:tc>
          <w:tcPr>
            <w:tcW w:w="162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Procedural Solutions</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27,949</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31,741</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54,437</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60,310</w:t>
            </w:r>
          </w:p>
        </w:tc>
      </w:tr>
      <w:tr>
        <w:trPr/>
        <w:tc>
          <w:tcPr>
            <w:tcW w:w="162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Vascular Intervention</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41,652</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34,955</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80,690</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67,804</w:t>
            </w:r>
          </w:p>
        </w:tc>
      </w:tr>
      <w:tr>
        <w:trPr/>
        <w:tc>
          <w:tcPr>
            <w:tcW w:w="162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w:t>
            </w:r>
          </w:p>
        </w:tc>
        <w:tc>
          <w:tcPr>
            <w:tcW w:w="28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1,236</w:t>
            </w:r>
          </w:p>
        </w:tc>
        <w:tc>
          <w:tcPr>
            <w:tcW w:w="28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346</w:t>
            </w:r>
          </w:p>
        </w:tc>
        <w:tc>
          <w:tcPr>
            <w:tcW w:w="28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525</w:t>
            </w:r>
          </w:p>
        </w:tc>
        <w:tc>
          <w:tcPr>
            <w:tcW w:w="28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1,489</w:t>
            </w:r>
          </w:p>
        </w:tc>
      </w:tr>
      <w:tr>
        <w:trPr/>
        <w:tc>
          <w:tcPr>
            <w:tcW w:w="1621"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Foundational</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280,961</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262,382</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536,440</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502,764</w:t>
            </w:r>
          </w:p>
        </w:tc>
      </w:tr>
      <w:tr>
        <w:trPr/>
        <w:tc>
          <w:tcPr>
            <w:tcW w:w="1621"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r>
      <w:tr>
        <w:trPr/>
        <w:tc>
          <w:tcPr>
            <w:tcW w:w="1621"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Therapeutic</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r>
      <w:tr>
        <w:trPr/>
        <w:tc>
          <w:tcPr>
            <w:tcW w:w="162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Cardiac Therapies</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28,510</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22,930</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55,914</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43,489</w:t>
            </w:r>
          </w:p>
        </w:tc>
      </w:tr>
      <w:tr>
        <w:trPr/>
        <w:tc>
          <w:tcPr>
            <w:tcW w:w="162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Endoscopy</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23,647</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18,400</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45,339</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34,951</w:t>
            </w:r>
          </w:p>
        </w:tc>
      </w:tr>
      <w:tr>
        <w:trPr/>
        <w:tc>
          <w:tcPr>
            <w:tcW w:w="162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OEM</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12,797</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9,735</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20,276</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20,877</w:t>
            </w:r>
          </w:p>
        </w:tc>
      </w:tr>
      <w:tr>
        <w:trPr/>
        <w:tc>
          <w:tcPr>
            <w:tcW w:w="162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Oncology</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25,774</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23,943</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49,282</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45,994</w:t>
            </w:r>
          </w:p>
        </w:tc>
      </w:tr>
      <w:tr>
        <w:trPr/>
        <w:tc>
          <w:tcPr>
            <w:tcW w:w="162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Renal Therapies</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12,713</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12,817</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24,225</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26,206</w:t>
            </w:r>
          </w:p>
        </w:tc>
      </w:tr>
      <w:tr>
        <w:trPr/>
        <w:tc>
          <w:tcPr>
            <w:tcW w:w="162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Vascular Intervention</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34,441</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32,255</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69,244</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63,532</w:t>
            </w:r>
          </w:p>
        </w:tc>
      </w:tr>
      <w:tr>
        <w:trPr/>
        <w:tc>
          <w:tcPr>
            <w:tcW w:w="1621"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Therapeutic</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137,882</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120,080</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264,280</w:t>
            </w:r>
          </w:p>
        </w:tc>
        <w:tc>
          <w:tcPr>
            <w:tcW w:w="28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235,049</w:t>
            </w:r>
          </w:p>
        </w:tc>
      </w:tr>
      <w:tr>
        <w:trPr/>
        <w:tc>
          <w:tcPr>
            <w:tcW w:w="1621" w:type="dxa"/>
            <w:tcBorders/>
            <w:shd w:fill="CCEEFF" w:val="clear"/>
            <w:vAlign w:val="center"/>
          </w:tcPr>
          <w:p>
            <w:pPr>
              <w:pStyle w:val="TableContents"/>
              <w:bidi w:val="0"/>
              <w:spacing w:before="0" w:after="1"/>
              <w:ind w:left="0" w:right="0" w:hanging="0"/>
              <w:jc w:val="lef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1621"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w:t>
            </w:r>
          </w:p>
        </w:tc>
        <w:tc>
          <w:tcPr>
            <w:tcW w:w="28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418,843</w:t>
            </w:r>
          </w:p>
        </w:tc>
        <w:tc>
          <w:tcPr>
            <w:tcW w:w="28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382,462</w:t>
            </w:r>
          </w:p>
        </w:tc>
        <w:tc>
          <w:tcPr>
            <w:tcW w:w="28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800,720</w:t>
            </w:r>
          </w:p>
        </w:tc>
        <w:tc>
          <w:tcPr>
            <w:tcW w:w="28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6"/>
              </w:rPr>
            </w:pPr>
            <w:r>
              <w:rPr>
                <w:rFonts w:ascii="Times New Roman;Times;serif" w:hAnsi="Times New Roman;Times;serif"/>
                <w:sz w:val="16"/>
              </w:rPr>
              <w:t>737,813</w:t>
            </w:r>
          </w:p>
        </w:tc>
      </w:tr>
    </w:tbl>
    <w:p>
      <w:pPr>
        <w:pStyle w:val="TextBody"/>
        <w:bidi w:val="0"/>
        <w:spacing w:before="200" w:after="200"/>
        <w:ind w:left="0" w:right="0" w:hanging="0"/>
        <w:jc w:val="both"/>
        <w:rPr>
          <w:rFonts w:ascii="Times New Roman;Times;serif" w:hAnsi="Times New Roman;Times;serif"/>
          <w:sz w:val="20"/>
        </w:rPr>
      </w:pPr>
      <w:r>
        <w:rPr>
          <w:rFonts w:ascii="Times New Roman;Times;serif" w:hAnsi="Times New Roman;Times;serif"/>
          <w:sz w:val="20"/>
        </w:rPr>
        <w:t>The following table presents revenue from contracts with customers by geographic region for the the three and six-month periods ended June 30, 2026 and 2025 (in thousands):</w:t>
      </w:r>
    </w:p>
    <w:tbl>
      <w:tblPr>
        <w:tblW w:w="5803" w:type="dxa"/>
        <w:jc w:val="left"/>
        <w:tblInd w:w="0" w:type="dxa"/>
        <w:tblLayout w:type="fixed"/>
        <w:tblCellMar>
          <w:top w:w="0" w:type="dxa"/>
          <w:left w:w="0" w:type="dxa"/>
          <w:bottom w:w="0" w:type="dxa"/>
          <w:right w:w="0" w:type="dxa"/>
        </w:tblCellMar>
      </w:tblPr>
      <w:tblGrid>
        <w:gridCol w:w="1006"/>
        <w:gridCol w:w="286"/>
        <w:gridCol w:w="196"/>
        <w:gridCol w:w="691"/>
        <w:gridCol w:w="286"/>
        <w:gridCol w:w="196"/>
        <w:gridCol w:w="691"/>
        <w:gridCol w:w="286"/>
        <w:gridCol w:w="196"/>
        <w:gridCol w:w="691"/>
        <w:gridCol w:w="286"/>
        <w:gridCol w:w="196"/>
        <w:gridCol w:w="796"/>
      </w:tblGrid>
      <w:tr>
        <w:trPr/>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38810" cy="175260"/>
                      <wp:effectExtent l="0" t="0" r="0" b="0"/>
                      <wp:wrapNone/>
                      <wp:docPr id="107" name="Frame106"/>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81610" cy="175260"/>
                      <wp:effectExtent l="0" t="0" r="0" b="0"/>
                      <wp:wrapNone/>
                      <wp:docPr id="108" name="Frame107"/>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24460" cy="175260"/>
                      <wp:effectExtent l="0" t="0" r="0" b="0"/>
                      <wp:wrapNone/>
                      <wp:docPr id="109" name="Frame10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438785" cy="175260"/>
                      <wp:effectExtent l="0" t="0" r="0" b="0"/>
                      <wp:wrapNone/>
                      <wp:docPr id="110" name="Frame10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81610" cy="175260"/>
                      <wp:effectExtent l="0" t="0" r="0" b="0"/>
                      <wp:wrapNone/>
                      <wp:docPr id="111" name="Frame110"/>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24460" cy="175260"/>
                      <wp:effectExtent l="0" t="0" r="0" b="0"/>
                      <wp:wrapNone/>
                      <wp:docPr id="112" name="Frame11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438785" cy="175260"/>
                      <wp:effectExtent l="0" t="0" r="0" b="0"/>
                      <wp:wrapNone/>
                      <wp:docPr id="113" name="Frame11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81610" cy="175260"/>
                      <wp:effectExtent l="0" t="0" r="0" b="0"/>
                      <wp:wrapNone/>
                      <wp:docPr id="114" name="Frame113"/>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24460" cy="175260"/>
                      <wp:effectExtent l="0" t="0" r="0" b="0"/>
                      <wp:wrapNone/>
                      <wp:docPr id="115" name="Frame11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438785" cy="175260"/>
                      <wp:effectExtent l="0" t="0" r="0" b="0"/>
                      <wp:wrapNone/>
                      <wp:docPr id="116" name="Frame11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181610" cy="175260"/>
                      <wp:effectExtent l="0" t="0" r="0" b="0"/>
                      <wp:wrapNone/>
                      <wp:docPr id="117" name="Frame116"/>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24460" cy="175260"/>
                      <wp:effectExtent l="0" t="0" r="0" b="0"/>
                      <wp:wrapNone/>
                      <wp:docPr id="118" name="Frame11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505460" cy="175260"/>
                      <wp:effectExtent l="0" t="0" r="0" b="0"/>
                      <wp:wrapNone/>
                      <wp:docPr id="119" name="Frame118"/>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006"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c>
          <w:tcPr>
            <w:tcW w:w="2060" w:type="dxa"/>
            <w:gridSpan w:val="5"/>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 xml:space="preserve">Three Months Ended </w:t>
            </w:r>
          </w:p>
        </w:tc>
        <w:tc>
          <w:tcPr>
            <w:tcW w:w="286" w:type="dxa"/>
            <w:tcBorders/>
            <w:vAlign w:val="center"/>
          </w:tcPr>
          <w:p>
            <w:pPr>
              <w:pStyle w:val="TableContents"/>
              <w:bidi w:val="0"/>
              <w:spacing w:before="0" w:after="1"/>
              <w:ind w:left="0" w:right="0" w:hanging="0"/>
              <w:jc w:val="left"/>
              <w:rPr/>
            </w:pPr>
            <w:r>
              <w:rPr/>
              <w:t>​</w:t>
            </w:r>
          </w:p>
        </w:tc>
        <w:tc>
          <w:tcPr>
            <w:tcW w:w="2165" w:type="dxa"/>
            <w:gridSpan w:val="5"/>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 xml:space="preserve">Six Months Ended </w:t>
            </w:r>
          </w:p>
        </w:tc>
      </w:tr>
      <w:tr>
        <w:trPr/>
        <w:tc>
          <w:tcPr>
            <w:tcW w:w="1006"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c>
          <w:tcPr>
            <w:tcW w:w="206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June 30, </w:t>
            </w:r>
          </w:p>
        </w:tc>
        <w:tc>
          <w:tcPr>
            <w:tcW w:w="286" w:type="dxa"/>
            <w:tcBorders/>
            <w:vAlign w:val="center"/>
          </w:tcPr>
          <w:p>
            <w:pPr>
              <w:pStyle w:val="TableContents"/>
              <w:bidi w:val="0"/>
              <w:spacing w:before="0" w:after="1"/>
              <w:ind w:left="0" w:right="0" w:hanging="0"/>
              <w:jc w:val="left"/>
              <w:rPr/>
            </w:pPr>
            <w:r>
              <w:rPr/>
              <w:t>​</w:t>
            </w:r>
          </w:p>
        </w:tc>
        <w:tc>
          <w:tcPr>
            <w:tcW w:w="216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June 30, </w:t>
            </w:r>
          </w:p>
        </w:tc>
      </w:tr>
      <w:tr>
        <w:trPr/>
        <w:tc>
          <w:tcPr>
            <w:tcW w:w="1006"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2026</w:t>
            </w:r>
          </w:p>
        </w:tc>
        <w:tc>
          <w:tcPr>
            <w:tcW w:w="286" w:type="dxa"/>
            <w:tcBorders/>
            <w:vAlign w:val="center"/>
          </w:tcPr>
          <w:p>
            <w:pPr>
              <w:pStyle w:val="TableContents"/>
              <w:bidi w:val="0"/>
              <w:spacing w:before="0" w:after="1"/>
              <w:ind w:left="0" w:right="0" w:hanging="0"/>
              <w:jc w:val="left"/>
              <w:rPr/>
            </w:pPr>
            <w:r>
              <w:rPr/>
              <w:t>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2025</w:t>
            </w:r>
          </w:p>
        </w:tc>
        <w:tc>
          <w:tcPr>
            <w:tcW w:w="286" w:type="dxa"/>
            <w:tcBorders/>
            <w:vAlign w:val="center"/>
          </w:tcPr>
          <w:p>
            <w:pPr>
              <w:pStyle w:val="TableContents"/>
              <w:bidi w:val="0"/>
              <w:spacing w:before="0" w:after="1"/>
              <w:ind w:left="0" w:right="0" w:hanging="0"/>
              <w:jc w:val="left"/>
              <w:rPr/>
            </w:pPr>
            <w:r>
              <w:rPr/>
              <w:t>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2026</w:t>
            </w:r>
          </w:p>
        </w:tc>
        <w:tc>
          <w:tcPr>
            <w:tcW w:w="286" w:type="dxa"/>
            <w:tcBorders/>
            <w:vAlign w:val="center"/>
          </w:tcPr>
          <w:p>
            <w:pPr>
              <w:pStyle w:val="TableContents"/>
              <w:bidi w:val="0"/>
              <w:spacing w:before="0" w:after="1"/>
              <w:ind w:left="0" w:right="0" w:hanging="0"/>
              <w:jc w:val="left"/>
              <w:rPr/>
            </w:pPr>
            <w:r>
              <w:rPr/>
              <w:t>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2025</w:t>
            </w:r>
          </w:p>
        </w:tc>
      </w:tr>
      <w:tr>
        <w:trPr/>
        <w:tc>
          <w:tcPr>
            <w:tcW w:w="100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Domestic</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252,051</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227,082</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478,567</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440,646</w:t>
            </w:r>
          </w:p>
        </w:tc>
      </w:tr>
      <w:tr>
        <w:trPr/>
        <w:tc>
          <w:tcPr>
            <w:tcW w:w="100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International</w:t>
            </w:r>
          </w:p>
        </w:tc>
        <w:tc>
          <w:tcPr>
            <w:tcW w:w="28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166,792</w:t>
            </w:r>
          </w:p>
        </w:tc>
        <w:tc>
          <w:tcPr>
            <w:tcW w:w="28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155,380</w:t>
            </w:r>
          </w:p>
        </w:tc>
        <w:tc>
          <w:tcPr>
            <w:tcW w:w="28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322,153</w:t>
            </w:r>
          </w:p>
        </w:tc>
        <w:tc>
          <w:tcPr>
            <w:tcW w:w="28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297,167</w:t>
            </w:r>
          </w:p>
        </w:tc>
      </w:tr>
      <w:tr>
        <w:trPr/>
        <w:tc>
          <w:tcPr>
            <w:tcW w:w="100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418,843</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382,462</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800,720</w:t>
            </w:r>
          </w:p>
        </w:tc>
        <w:tc>
          <w:tcPr>
            <w:tcW w:w="28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6"/>
              </w:rPr>
            </w:pPr>
            <w:r>
              <w:rPr>
                <w:rFonts w:ascii="Times New Roman;Times;serif" w:hAnsi="Times New Roman;Times;serif"/>
                <w:sz w:val="16"/>
              </w:rPr>
              <w:t>737,813</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00"/>
        <w:ind w:left="0" w:right="0" w:hanging="0"/>
        <w:jc w:val="both"/>
        <w:rPr>
          <w:rFonts w:ascii="Times New Roman;Times;serif" w:hAnsi="Times New Roman;Times;serif"/>
          <w:b/>
          <w:sz w:val="20"/>
        </w:rPr>
      </w:pPr>
      <w:bookmarkStart w:id="712" w:name="Tc_G9pksceQI0WnRKHTAxY7bQ_20_2"/>
      <w:bookmarkStart w:id="713" w:name="Tc_QqyBRY27U0amKJNFz9ejiw_20_0"/>
      <w:bookmarkStart w:id="714" w:name="Tc_sijs2lne2Um5XtC6-9TlcQ_19_0"/>
      <w:bookmarkStart w:id="715" w:name="Tc_oXD-TbbQDUOyJWQHE_w4Qg_18_0"/>
      <w:bookmarkStart w:id="716" w:name="Tc_jsycgh5ASEujdgxJRP1QbQ_17_0"/>
      <w:bookmarkStart w:id="717" w:name="Tc_HjVGZkRgxEu0nJ7Apri9JA_16_0"/>
      <w:bookmarkStart w:id="718" w:name="Tc_KMFGjc7EBUOIwxPiQ7qXYw_15_0"/>
      <w:bookmarkStart w:id="719" w:name="Tc_57Ishazjhk-KeN0aeU039Q_14_0"/>
      <w:bookmarkStart w:id="720" w:name="Tc_--mOCt-gnkiTYoa01nrLew_13_0"/>
      <w:bookmarkStart w:id="721" w:name="Tc_7QBAgI-blU2DKku_3fUjzQ_11_0"/>
      <w:bookmarkStart w:id="722" w:name="Tc_LILjS3MQRUKNNry8dCy6pA_10_0"/>
      <w:bookmarkStart w:id="723" w:name="Tc_sGECmyvQwkmF4W8pguBGpQ_9_0"/>
      <w:bookmarkStart w:id="724" w:name="Tc_VCWNT7vVME2BANDaaHbSJA_8_0"/>
      <w:bookmarkStart w:id="725" w:name="Tc_prCu_KvmHkuHnuoqeD8-Sw_7_0"/>
      <w:bookmarkStart w:id="726" w:name="Tc_2KmX4Xn-20yYUG8KyodbjQ_6_0"/>
      <w:bookmarkStart w:id="727" w:name="Tc_aOaoHtUVAkimqv3y90zChA_5_0"/>
      <w:bookmarkStart w:id="728" w:name="Tc_sNQN1EJHkECvq5EI3jE8eg_4_0"/>
      <w:bookmarkStart w:id="729" w:name="Tc_CMkc_tJ0DkqFNMbWy7TmUQ_3_0"/>
      <w:bookmarkStart w:id="730" w:name="Tc_y5oj_biAEkqgsDwPZXh_Ig_2_2"/>
      <w:bookmarkStart w:id="731" w:name="Tc__CA0o9CRQkOd4iat-qDaLw_2_0"/>
      <w:bookmarkStart w:id="732" w:name="Tc_ghhRZWO_cU6nLvpd-8jzdA_1_0"/>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r>
        <w:rPr>
          <w:rFonts w:ascii="Times New Roman;Times;serif" w:hAnsi="Times New Roman;Times;serif"/>
          <w:b/>
          <w:sz w:val="20"/>
        </w:rPr>
        <w:t>4.   Acquisitions and Divestitures.</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Acquisitions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On April 1, 2026, Merit entered into an Agreement and Plan of Merger (the “View Point Agreement”) by and among Merit, View Point Medical, Inc., a Delaware corporation (“View Point”), VPM Merger Sub Inc, a Delaware corporation, and Fortis Advisors LLC, a Delaware limited liability company. Pursuant to the terms of the View Point Agreement, on April 1, 2026, VPM Merger Sub, Inc merged with and into View Point, with View Point continuing as the surviving corporation and a wholly-owned subsidiary of Merit (the “View Point Merger”). The purchase consideration consisted of an upfront payment of $90 million plus working capital and other adjustments of $2.8 million in cash, plus two deferred payments of $25 million each, due on the first and second anniversaries of the View Point Merger, respectively. Such deferred payments may be subject to acceleration based on the achievement of specified sales targets prior to the first and second anniversaries and were determined to have a total fair value of $47.2 million on the acquisition date, which is recorded within accrued expenses and other long-term obligations. View Point manufactures the OneMark® Detection Imaging System and OneMark Tissue Markers. We accounted for the View Point Merger as a business combination. There were no sales of the acquired products for the three and six-month periods ended June 30, 2026. It is not practical to separately report earnings related to the products acquired in connection with the View Point Merger, as we cannot split our administrative costs related solely to the View Point products, principally as a result of the integration of the acquired commercial and administrative infratstructure. Acquisition-related costs associated with the View Point Merger, which are included in selling, general and administrative expenses in the accompanying consolidated statements of income, were approximately $5.6 million during the six-month period ended June 30, 2026. The purchase price was preliminarily allocated as follows (in thousands):</w:t>
      </w:r>
    </w:p>
    <w:p>
      <w:pPr>
        <w:pStyle w:val="TextBody"/>
        <w:bidi w:val="0"/>
        <w:spacing w:before="0" w:after="0"/>
        <w:ind w:left="0" w:right="0" w:hanging="0"/>
        <w:jc w:val="left"/>
        <w:rPr/>
      </w:pPr>
      <w:r>
        <w:rPr/>
        <w:t>​</w:t>
      </w:r>
    </w:p>
    <w:tbl>
      <w:tblPr>
        <w:tblW w:w="5374" w:type="dxa"/>
        <w:jc w:val="left"/>
        <w:tblInd w:w="0" w:type="dxa"/>
        <w:tblLayout w:type="fixed"/>
        <w:tblCellMar>
          <w:top w:w="0" w:type="dxa"/>
          <w:left w:w="0" w:type="dxa"/>
          <w:bottom w:w="0" w:type="dxa"/>
          <w:right w:w="0" w:type="dxa"/>
        </w:tblCellMar>
      </w:tblPr>
      <w:tblGrid>
        <w:gridCol w:w="3931"/>
        <w:gridCol w:w="346"/>
        <w:gridCol w:w="211"/>
        <w:gridCol w:w="886"/>
      </w:tblGrid>
      <w:tr>
        <w:trPr/>
        <w:tc>
          <w:tcPr>
            <w:tcW w:w="3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496185" cy="175260"/>
                      <wp:effectExtent l="0" t="0" r="0" b="0"/>
                      <wp:wrapNone/>
                      <wp:docPr id="120" name="Frame119"/>
                      <a:graphic xmlns:a="http://schemas.openxmlformats.org/drawingml/2006/main">
                        <a:graphicData uri="http://schemas.microsoft.com/office/word/2010/wordprocessingShape">
                          <wps:wsp>
                            <wps:cNvSpPr txBox="1"/>
                            <wps:spPr>
                              <a:xfrm>
                                <a:off x="0" y="0"/>
                                <a:ext cx="2496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19710" cy="175260"/>
                      <wp:effectExtent l="0" t="0" r="0" b="0"/>
                      <wp:wrapNone/>
                      <wp:docPr id="121" name="Frame1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33985" cy="175260"/>
                      <wp:effectExtent l="0" t="0" r="0" b="0"/>
                      <wp:wrapNone/>
                      <wp:docPr id="122" name="Frame1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562610" cy="175260"/>
                      <wp:effectExtent l="0" t="0" r="0" b="0"/>
                      <wp:wrapNone/>
                      <wp:docPr id="123" name="Frame122"/>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3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Assets Acquired</w:t>
            </w:r>
          </w:p>
        </w:tc>
        <w:tc>
          <w:tcPr>
            <w:tcW w:w="346" w:type="dxa"/>
            <w:tcBorders/>
            <w:vAlign w:val="center"/>
          </w:tcPr>
          <w:p>
            <w:pPr>
              <w:pStyle w:val="TableContents"/>
              <w:bidi w:val="0"/>
              <w:spacing w:before="0" w:after="1"/>
              <w:ind w:left="0" w:right="0" w:hanging="0"/>
              <w:jc w:val="left"/>
              <w:rPr/>
            </w:pPr>
            <w:r>
              <w:rPr/>
              <w:t>  ​ ​ ​</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pPr>
            <w:r>
              <w:rPr/>
              <w:t>  ​</w:t>
            </w:r>
          </w:p>
        </w:tc>
      </w:tr>
      <w:tr>
        <w:trPr/>
        <w:tc>
          <w:tcPr>
            <w:tcW w:w="39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2,724</w:t>
            </w:r>
          </w:p>
        </w:tc>
      </w:tr>
      <w:tr>
        <w:trPr/>
        <w:tc>
          <w:tcPr>
            <w:tcW w:w="39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receivables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w:t>
            </w:r>
          </w:p>
        </w:tc>
      </w:tr>
      <w:tr>
        <w:trPr/>
        <w:tc>
          <w:tcPr>
            <w:tcW w:w="39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39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Inventories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324</w:t>
            </w:r>
          </w:p>
        </w:tc>
      </w:tr>
      <w:tr>
        <w:trPr/>
        <w:tc>
          <w:tcPr>
            <w:tcW w:w="39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Property and equipment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w:t>
            </w:r>
          </w:p>
        </w:tc>
      </w:tr>
      <w:tr>
        <w:trPr/>
        <w:tc>
          <w:tcPr>
            <w:tcW w:w="39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Intangible assets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left"/>
              <w:rPr/>
            </w:pPr>
            <w:r>
              <w:rPr/>
              <w:t>​</w:t>
            </w:r>
          </w:p>
        </w:tc>
      </w:tr>
      <w:tr>
        <w:trPr/>
        <w:tc>
          <w:tcPr>
            <w:tcW w:w="39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Developed technology</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116,400</w:t>
            </w:r>
          </w:p>
        </w:tc>
      </w:tr>
      <w:tr>
        <w:trPr/>
        <w:tc>
          <w:tcPr>
            <w:tcW w:w="39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Trademarks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4,300</w:t>
            </w:r>
          </w:p>
        </w:tc>
      </w:tr>
      <w:tr>
        <w:trPr/>
        <w:tc>
          <w:tcPr>
            <w:tcW w:w="39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Goodwill</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36,377</w:t>
            </w:r>
          </w:p>
        </w:tc>
      </w:tr>
      <w:tr>
        <w:trPr/>
        <w:tc>
          <w:tcPr>
            <w:tcW w:w="39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assets acquired</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160,351</w:t>
            </w:r>
          </w:p>
        </w:tc>
      </w:tr>
      <w:tr>
        <w:trPr/>
        <w:tc>
          <w:tcPr>
            <w:tcW w:w="393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left"/>
              <w:rPr/>
            </w:pPr>
            <w:r>
              <w:rPr/>
              <w:t>​</w:t>
            </w:r>
          </w:p>
        </w:tc>
      </w:tr>
      <w:tr>
        <w:trPr/>
        <w:tc>
          <w:tcPr>
            <w:tcW w:w="393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Liabilities Assumed</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pPr>
            <w:r>
              <w:rPr/>
              <w:t>  ​</w:t>
            </w:r>
          </w:p>
        </w:tc>
      </w:tr>
      <w:tr>
        <w:trPr/>
        <w:tc>
          <w:tcPr>
            <w:tcW w:w="39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Trade payables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w:t>
            </w:r>
          </w:p>
        </w:tc>
      </w:tr>
      <w:tr>
        <w:trPr/>
        <w:tc>
          <w:tcPr>
            <w:tcW w:w="39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expenses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w:t>
            </w:r>
          </w:p>
        </w:tc>
      </w:tr>
      <w:tr>
        <w:trPr/>
        <w:tc>
          <w:tcPr>
            <w:tcW w:w="39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income tax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20,040</w:t>
            </w:r>
          </w:p>
        </w:tc>
      </w:tr>
      <w:tr>
        <w:trPr/>
        <w:tc>
          <w:tcPr>
            <w:tcW w:w="39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liabilities assumed</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20,370</w:t>
            </w:r>
          </w:p>
        </w:tc>
      </w:tr>
      <w:tr>
        <w:trPr/>
        <w:tc>
          <w:tcPr>
            <w:tcW w:w="39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assets acquired, net of liabilities assumed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139,981</w:t>
            </w:r>
          </w:p>
        </w:tc>
      </w:tr>
      <w:tr>
        <w:trPr/>
        <w:tc>
          <w:tcPr>
            <w:tcW w:w="39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Cash acquired</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(2,724)</w:t>
            </w:r>
          </w:p>
        </w:tc>
      </w:tr>
      <w:tr>
        <w:trPr/>
        <w:tc>
          <w:tcPr>
            <w:tcW w:w="393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Purchase price, net of cash acquired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137,257</w:t>
            </w:r>
          </w:p>
        </w:tc>
      </w:tr>
    </w:tbl>
    <w:p>
      <w:pPr>
        <w:pStyle w:val="TextBody"/>
        <w:bidi w:val="0"/>
        <w:spacing w:before="0" w:after="240"/>
        <w:ind w:left="0" w:right="0" w:hanging="0"/>
        <w:jc w:val="both"/>
        <w:rPr/>
      </w:pPr>
      <w:r>
        <w:rPr/>
        <w: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We are amortizing the View Point </w:t>
      </w:r>
      <w:r>
        <w:rPr>
          <w:rFonts w:ascii="Times New Roman;Times;serif" w:hAnsi="Times New Roman;Times;serif"/>
          <w:b w:val="false"/>
          <w:i w:val="false"/>
          <w:caps w:val="false"/>
          <w:smallCaps w:val="false"/>
          <w:sz w:val="20"/>
        </w:rPr>
        <w:t>developed technology</w:t>
      </w:r>
      <w:r>
        <w:rPr>
          <w:rFonts w:ascii="Times New Roman;Times;serif" w:hAnsi="Times New Roman;Times;serif"/>
          <w:sz w:val="20"/>
        </w:rPr>
        <w:t xml:space="preserve"> and tradename intangible assets over 12 years, with the estimated weighted average life of all intangible assets acquired in connection with the View Point Merger to be 12 years. The goodwill consists largely of the synergies expected from combining operations and View Point’s developed workforce and is not expected to be deductible for tax purposes. The pro forma effects to our consolidated results of operations of the View Point Merger are not material in relation to reported sales.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b/>
          <w:sz w:val="20"/>
        </w:rPr>
      </w:pPr>
      <w:bookmarkStart w:id="733" w:name="Tc__nVciHNlS0K0yj0kyGoUjQ_9_2"/>
      <w:bookmarkStart w:id="734" w:name="Tc_wER4Y13Oi0ODrZrYF3vm_w_9_0"/>
      <w:bookmarkStart w:id="735" w:name="Tc_ktSb_flnjU68Ti8f9x64Zg_8_0"/>
      <w:bookmarkStart w:id="736" w:name="Tc_zONoB0DZbEm1pZSjAgBkxA_7_0"/>
      <w:bookmarkStart w:id="737" w:name="Tc_Cf2BLqWVcUerQZVWYsui7A_6_0"/>
      <w:bookmarkStart w:id="738" w:name="Tc_RS97SIYvoEeUh9jTLprVWw_5_0"/>
      <w:bookmarkStart w:id="739" w:name="Tc_Y8UfoOAwvUmEDyRts0kHvQ_4_0"/>
      <w:bookmarkStart w:id="740" w:name="Tc_QkLydcKz2Eq59dhVXwr6-w_3_0"/>
      <w:bookmarkStart w:id="741" w:name="Tc_MZ7JgDJogEW2oGTw-OCWvQ_2_2"/>
      <w:bookmarkStart w:id="742" w:name="Tc_4Qky8xBJ-06SJFSqqZZtDg_2_0"/>
      <w:bookmarkStart w:id="743" w:name="Tc_I_R3iFQqw0i4ucum4m15AQ_1_0"/>
      <w:bookmarkStart w:id="744" w:name="_c6e0fa40_7035_4696_ab0d_4e2c1d2de55b"/>
      <w:bookmarkEnd w:id="733"/>
      <w:bookmarkEnd w:id="734"/>
      <w:bookmarkEnd w:id="735"/>
      <w:bookmarkEnd w:id="736"/>
      <w:bookmarkEnd w:id="737"/>
      <w:bookmarkEnd w:id="738"/>
      <w:bookmarkEnd w:id="739"/>
      <w:bookmarkEnd w:id="740"/>
      <w:bookmarkEnd w:id="741"/>
      <w:bookmarkEnd w:id="742"/>
      <w:bookmarkEnd w:id="743"/>
      <w:bookmarkEnd w:id="744"/>
      <w:r>
        <w:rPr>
          <w:rFonts w:ascii="Times New Roman;Times;serif" w:hAnsi="Times New Roman;Times;serif"/>
          <w:b w:val="false"/>
          <w:sz w:val="20"/>
        </w:rPr>
        <w:t>On November 3, 2025, we entered into an Asset Purchase Agreement with Pentax of America, Inc., a subsidiary of PENTAX® Medical, Inc. (“Pentax”), pursuant to which we acquired the C2 CryoBalloon® device and related technology (the “C2 Acquisition”). The total purchase price consisted of a $19</w:t>
      </w:r>
      <w:r>
        <w:rPr>
          <w:rFonts w:ascii="Times New Roman;Times;serif" w:hAnsi="Times New Roman;Times;serif"/>
          <w:b/>
          <w:sz w:val="20"/>
        </w:rPr>
        <w:t xml:space="preserve"> </w:t>
      </w:r>
      <w:r>
        <w:rPr>
          <w:rFonts w:ascii="Times New Roman;Times;serif" w:hAnsi="Times New Roman;Times;serif"/>
          <w:b w:val="false"/>
          <w:sz w:val="20"/>
        </w:rPr>
        <w:t>million cash payment at closing and potential contingent payments of up to $3</w:t>
      </w:r>
      <w:r>
        <w:rPr>
          <w:rFonts w:ascii="Times New Roman;Times;serif" w:hAnsi="Times New Roman;Times;serif"/>
          <w:b/>
          <w:sz w:val="20"/>
        </w:rPr>
        <w:t xml:space="preserve"> </w:t>
      </w:r>
      <w:r>
        <w:rPr>
          <w:rFonts w:ascii="Times New Roman;Times;serif" w:hAnsi="Times New Roman;Times;serif"/>
          <w:b w:val="false"/>
          <w:sz w:val="20"/>
        </w:rPr>
        <w:t>million payable in 2026 upon meeting certain milestones relating to the operational transition of the acquired assets. We accounted for this transaction under the acquisition method of accounting as a business combination. Acquisition-related costs associated with the C2 Acquisition, which are included in selling, general and administrative expenses in the accompanying consolidated statements of income, were approximately $0.4</w:t>
      </w:r>
      <w:r>
        <w:rPr>
          <w:rFonts w:ascii="Times New Roman;Times;serif" w:hAnsi="Times New Roman;Times;serif"/>
          <w:b/>
          <w:sz w:val="20"/>
        </w:rPr>
        <w:t xml:space="preserve"> </w:t>
      </w:r>
      <w:r>
        <w:rPr>
          <w:rFonts w:ascii="Times New Roman;Times;serif" w:hAnsi="Times New Roman;Times;serif"/>
          <w:b w:val="false"/>
          <w:sz w:val="20"/>
        </w:rPr>
        <w:t>million during the year ended December 31, 2025. The purchase price was allocated as follows (in thousands):</w:t>
      </w:r>
    </w:p>
    <w:tbl>
      <w:tblPr>
        <w:tblW w:w="3544" w:type="dxa"/>
        <w:jc w:val="left"/>
        <w:tblInd w:w="0" w:type="dxa"/>
        <w:tblLayout w:type="fixed"/>
        <w:tblCellMar>
          <w:top w:w="0" w:type="dxa"/>
          <w:left w:w="0" w:type="dxa"/>
          <w:bottom w:w="0" w:type="dxa"/>
          <w:right w:w="0" w:type="dxa"/>
        </w:tblCellMar>
      </w:tblPr>
      <w:tblGrid>
        <w:gridCol w:w="2206"/>
        <w:gridCol w:w="346"/>
        <w:gridCol w:w="211"/>
        <w:gridCol w:w="781"/>
      </w:tblGrid>
      <w:tr>
        <w:trPr/>
        <w:tc>
          <w:tcPr>
            <w:tcW w:w="2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400810" cy="175260"/>
                      <wp:effectExtent l="0" t="0" r="0" b="0"/>
                      <wp:wrapNone/>
                      <wp:docPr id="124" name="Frame123"/>
                      <a:graphic xmlns:a="http://schemas.openxmlformats.org/drawingml/2006/main">
                        <a:graphicData uri="http://schemas.microsoft.com/office/word/2010/wordprocessingShape">
                          <wps:wsp>
                            <wps:cNvSpPr txBox="1"/>
                            <wps:spPr>
                              <a:xfrm>
                                <a:off x="0" y="0"/>
                                <a:ext cx="1400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19710" cy="175260"/>
                      <wp:effectExtent l="0" t="0" r="0" b="0"/>
                      <wp:wrapNone/>
                      <wp:docPr id="125" name="Frame1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33985" cy="175260"/>
                      <wp:effectExtent l="0" t="0" r="0" b="0"/>
                      <wp:wrapNone/>
                      <wp:docPr id="126" name="Frame1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495935" cy="175260"/>
                      <wp:effectExtent l="0" t="0" r="0" b="0"/>
                      <wp:wrapNone/>
                      <wp:docPr id="127" name="Frame12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0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Assets Acquired</w:t>
            </w:r>
          </w:p>
        </w:tc>
        <w:tc>
          <w:tcPr>
            <w:tcW w:w="346" w:type="dxa"/>
            <w:tcBorders/>
            <w:vAlign w:val="center"/>
          </w:tcPr>
          <w:p>
            <w:pPr>
              <w:pStyle w:val="TableContents"/>
              <w:bidi w:val="0"/>
              <w:spacing w:before="0" w:after="1"/>
              <w:ind w:left="0" w:right="0" w:hanging="0"/>
              <w:jc w:val="left"/>
              <w:rPr/>
            </w:pPr>
            <w:r>
              <w:rPr/>
              <w:t>  ​ ​ ​</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  ​</w:t>
            </w:r>
          </w:p>
        </w:tc>
      </w:tr>
      <w:tr>
        <w:trPr/>
        <w:tc>
          <w:tcPr>
            <w:tcW w:w="22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Inventories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431</w:t>
            </w:r>
          </w:p>
        </w:tc>
      </w:tr>
      <w:tr>
        <w:trPr/>
        <w:tc>
          <w:tcPr>
            <w:tcW w:w="22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Property and equipment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w:t>
            </w:r>
          </w:p>
        </w:tc>
      </w:tr>
      <w:tr>
        <w:trPr/>
        <w:tc>
          <w:tcPr>
            <w:tcW w:w="22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Intangible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left"/>
              <w:rPr/>
            </w:pPr>
            <w:r>
              <w:rPr/>
              <w:t>​</w:t>
            </w:r>
          </w:p>
        </w:tc>
      </w:tr>
      <w:tr>
        <w:trPr/>
        <w:tc>
          <w:tcPr>
            <w:tcW w:w="22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Developed technology</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16,000</w:t>
            </w:r>
          </w:p>
        </w:tc>
      </w:tr>
      <w:tr>
        <w:trPr/>
        <w:tc>
          <w:tcPr>
            <w:tcW w:w="22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Trademarks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1,200</w:t>
            </w:r>
          </w:p>
        </w:tc>
      </w:tr>
      <w:tr>
        <w:trPr/>
        <w:tc>
          <w:tcPr>
            <w:tcW w:w="22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list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1,200</w:t>
            </w:r>
          </w:p>
        </w:tc>
      </w:tr>
      <w:tr>
        <w:trPr/>
        <w:tc>
          <w:tcPr>
            <w:tcW w:w="22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Goodwill</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2,906</w:t>
            </w:r>
          </w:p>
        </w:tc>
      </w:tr>
      <w:tr>
        <w:trPr/>
        <w:tc>
          <w:tcPr>
            <w:tcW w:w="220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net assets acquired</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21,876</w:t>
            </w:r>
          </w:p>
        </w:tc>
      </w:tr>
    </w:tbl>
    <w:p>
      <w:pPr>
        <w:pStyle w:val="TextBody"/>
        <w:bidi w:val="0"/>
        <w:spacing w:before="200" w:after="200"/>
        <w:ind w:left="0" w:right="0" w:hanging="0"/>
        <w:jc w:val="both"/>
        <w:rPr>
          <w:rFonts w:ascii="Times New Roman;Times;serif" w:hAnsi="Times New Roman;Times;serif"/>
          <w:sz w:val="20"/>
        </w:rPr>
      </w:pPr>
      <w:r>
        <w:rPr>
          <w:rFonts w:ascii="Times New Roman;Times;serif" w:hAnsi="Times New Roman;Times;serif"/>
          <w:sz w:val="20"/>
        </w:rPr>
        <w:t>We are amortizing the C2 developed technology intangible assets over 12 years, the trade name intangible assets over 12 years, and the customer list intangible asset on an accelerated basis over 12 years. We have estimated the weighted average life of the intangible assets acquired from Pentax to be 12 years. The goodwill consists largely of the synergies expected from combining operations and is expected to be deductible for tax purposes. The pro forma effects to our consolidated results of operations of the C2 Acquisition are not material in relation to reported sales.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b/>
          <w:sz w:val="20"/>
        </w:rPr>
      </w:pPr>
      <w:bookmarkStart w:id="745" w:name="Tc_q34Sj6l8F0SfNx2pXmSSPg_24_2"/>
      <w:bookmarkStart w:id="746" w:name="Tc__NGCfS8mjEygGeM1GPWDPg_24_0"/>
      <w:bookmarkStart w:id="747" w:name="Tc_h44vhnLZtUOgWZK0sEOA2Q_23_0"/>
      <w:bookmarkStart w:id="748" w:name="Tc_G3oBH1Eq5UqgKsKiBik0Ew_22_0"/>
      <w:bookmarkStart w:id="749" w:name="Tc_OjJBrQwV4UCp4KArSG5Lnw_21_0"/>
      <w:bookmarkStart w:id="750" w:name="Tc_UoeSClr-XU-b8XUpJOE7Lg_20_0"/>
      <w:bookmarkStart w:id="751" w:name="Tc_NqHiEPvoI0CHcLd_axQU4A_19_0"/>
      <w:bookmarkStart w:id="752" w:name="Tc_iRcZ2lee-k67txsJk0zvjw_18_0"/>
      <w:bookmarkStart w:id="753" w:name="Tc_ZsT-Z-ilbEOiHB0NRJSzTQ_17_0"/>
      <w:bookmarkStart w:id="754" w:name="Tc_kzeC-BQdekCemDL-E3S9ww_16_0"/>
      <w:bookmarkStart w:id="755" w:name="Tc_9pJNQ6L1P0KoHtKWEhUkTA_15_0"/>
      <w:bookmarkStart w:id="756" w:name="Tc_haGoJA6l90GoJg-GyfvpiQ_13_0"/>
      <w:bookmarkStart w:id="757" w:name="Tc_bKlsdqdKlkWqotBd1D25Rg_12_0"/>
      <w:bookmarkStart w:id="758" w:name="Tc_tj1IKtbwiki4BxHJyHxLTQ_11_0"/>
      <w:bookmarkStart w:id="759" w:name="Tc_t0BTLSOYB0mc3matRGFDNg_10_0"/>
      <w:bookmarkStart w:id="760" w:name="Tc_xZ1aWGYQGk-B8emyv3K4Cg_9_0"/>
      <w:bookmarkStart w:id="761" w:name="Tc_cLywYxZ1IEaPrLoQJYC_ew_8_0"/>
      <w:bookmarkStart w:id="762" w:name="Tc_g9jvvQv25EmeRL7CoMZyDg_7_0"/>
      <w:bookmarkStart w:id="763" w:name="Tc_flaDRJuDCUuPZNy0fZYPfA_6_0"/>
      <w:bookmarkStart w:id="764" w:name="Tc_nI4P8jfRCkyMACHBfwBoiw_5_0"/>
      <w:bookmarkStart w:id="765" w:name="Tc_XCR0B1f5Vk-05uJxtwvL7A_4_0"/>
      <w:bookmarkStart w:id="766" w:name="Tc_Qi-zD8L84kqOyEllZmQPdw_3_0"/>
      <w:bookmarkStart w:id="767" w:name="Tc_1dM0aWS2_ki8tcnndxd94g_2_2"/>
      <w:bookmarkStart w:id="768" w:name="Tc_DnEfwJu-W0mu58EhTVPuDg_2_0"/>
      <w:bookmarkStart w:id="769" w:name="Tc_9IxFf-jQUEqZydVdtvkUCg_1_0"/>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r>
        <w:rPr>
          <w:rFonts w:ascii="Times New Roman;Times;serif" w:hAnsi="Times New Roman;Times;serif"/>
          <w:b w:val="false"/>
          <w:sz w:val="20"/>
        </w:rPr>
        <w:t>On May 16, 2025, Merit entered into an Agreement and Plan of Merger (the “Biolife Agreement”) by and among, Merit, Biolife, L.L.C., a Florida limited liability company (“FL Biolife”), Biolife Transaction Sub, LLC, a Delaware limited liability company (“Biolife Merger Sub”), and Shareholder Representative Services LLC, a Colorado limited liability company. Promptly following the execution of the Biolife Agreement, FL Biolife converted from a Florida limited liability company to a Delaware limited liability company called Biolife Delaware, L.L.C. (“Biolife”). Pursuant to the terms of the Biolife Agreement, on May 20, 2025, Biolife Merger Sub merged with and into Biolife, with Biolife continuing as the surviving corporation and a wholly-owned subsidiary of Merit (the “Biolife Merger”). The purchase consideration consisted of an upfront payment of $120</w:t>
      </w:r>
      <w:r>
        <w:rPr>
          <w:rFonts w:ascii="Times New Roman;Times;serif" w:hAnsi="Times New Roman;Times;serif"/>
          <w:b/>
          <w:sz w:val="20"/>
        </w:rPr>
        <w:t xml:space="preserve"> </w:t>
      </w:r>
      <w:r>
        <w:rPr>
          <w:rFonts w:ascii="Times New Roman;Times;serif" w:hAnsi="Times New Roman;Times;serif"/>
          <w:b w:val="false"/>
          <w:sz w:val="20"/>
        </w:rPr>
        <w:t>million plus working capital and other adjustments of $7.2</w:t>
      </w:r>
      <w:r>
        <w:rPr>
          <w:rFonts w:ascii="Times New Roman;Times;serif" w:hAnsi="Times New Roman;Times;serif"/>
          <w:b/>
          <w:sz w:val="20"/>
        </w:rPr>
        <w:t xml:space="preserve"> </w:t>
      </w:r>
      <w:r>
        <w:rPr>
          <w:rFonts w:ascii="Times New Roman;Times;serif" w:hAnsi="Times New Roman;Times;serif"/>
          <w:b w:val="false"/>
          <w:sz w:val="20"/>
        </w:rPr>
        <w:t>million in cash. Biolife manufactures unique patented hemostatic devices under the brand names StatSeal and WoundSeal. We accounted for the Biolife Merger as a business combination. Acquisition-related costs associated with the Biolife Merger, which are included in selling, general and administrative expenses in the accompanying consolidated statements of income, were approximately $1.9</w:t>
      </w:r>
      <w:r>
        <w:rPr>
          <w:rFonts w:ascii="Times New Roman;Times;serif" w:hAnsi="Times New Roman;Times;serif"/>
          <w:b/>
          <w:sz w:val="20"/>
        </w:rPr>
        <w:t xml:space="preserve"> </w:t>
      </w:r>
      <w:r>
        <w:rPr>
          <w:rFonts w:ascii="Times New Roman;Times;serif" w:hAnsi="Times New Roman;Times;serif"/>
          <w:b w:val="false"/>
          <w:sz w:val="20"/>
        </w:rPr>
        <w:t>million during the year ended December 31, 2025. The purchase price was allocated as follows (in thousands):</w:t>
      </w:r>
    </w:p>
    <w:p>
      <w:pPr>
        <w:pStyle w:val="TextBody"/>
        <w:bidi w:val="0"/>
        <w:spacing w:before="0" w:after="0"/>
        <w:ind w:left="0" w:right="0" w:hanging="0"/>
        <w:jc w:val="left"/>
        <w:rPr/>
      </w:pPr>
      <w:r>
        <w:rPr/>
        <w:t>​</w:t>
      </w:r>
    </w:p>
    <w:tbl>
      <w:tblPr>
        <w:tblW w:w="5374" w:type="dxa"/>
        <w:jc w:val="left"/>
        <w:tblInd w:w="0" w:type="dxa"/>
        <w:tblLayout w:type="fixed"/>
        <w:tblCellMar>
          <w:top w:w="0" w:type="dxa"/>
          <w:left w:w="0" w:type="dxa"/>
          <w:bottom w:w="0" w:type="dxa"/>
          <w:right w:w="0" w:type="dxa"/>
        </w:tblCellMar>
      </w:tblPr>
      <w:tblGrid>
        <w:gridCol w:w="3931"/>
        <w:gridCol w:w="346"/>
        <w:gridCol w:w="211"/>
        <w:gridCol w:w="886"/>
      </w:tblGrid>
      <w:tr>
        <w:trPr/>
        <w:tc>
          <w:tcPr>
            <w:tcW w:w="3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496185" cy="175260"/>
                      <wp:effectExtent l="0" t="0" r="0" b="0"/>
                      <wp:wrapNone/>
                      <wp:docPr id="128" name="Frame127"/>
                      <a:graphic xmlns:a="http://schemas.openxmlformats.org/drawingml/2006/main">
                        <a:graphicData uri="http://schemas.microsoft.com/office/word/2010/wordprocessingShape">
                          <wps:wsp>
                            <wps:cNvSpPr txBox="1"/>
                            <wps:spPr>
                              <a:xfrm>
                                <a:off x="0" y="0"/>
                                <a:ext cx="2496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19710" cy="175260"/>
                      <wp:effectExtent l="0" t="0" r="0" b="0"/>
                      <wp:wrapNone/>
                      <wp:docPr id="129" name="Frame1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133985" cy="175260"/>
                      <wp:effectExtent l="0" t="0" r="0" b="0"/>
                      <wp:wrapNone/>
                      <wp:docPr id="130" name="Frame1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562610" cy="175260"/>
                      <wp:effectExtent l="0" t="0" r="0" b="0"/>
                      <wp:wrapNone/>
                      <wp:docPr id="131" name="Frame130"/>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3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Assets Acquired</w:t>
            </w:r>
          </w:p>
        </w:tc>
        <w:tc>
          <w:tcPr>
            <w:tcW w:w="346" w:type="dxa"/>
            <w:tcBorders/>
            <w:vAlign w:val="center"/>
          </w:tcPr>
          <w:p>
            <w:pPr>
              <w:pStyle w:val="TableContents"/>
              <w:bidi w:val="0"/>
              <w:spacing w:before="0" w:after="1"/>
              <w:ind w:left="0" w:right="0" w:hanging="0"/>
              <w:jc w:val="left"/>
              <w:rPr/>
            </w:pPr>
            <w:r>
              <w:rPr/>
              <w:t>  ​ ​ ​</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pPr>
            <w:r>
              <w:rPr/>
              <w:t>  ​</w:t>
            </w:r>
          </w:p>
        </w:tc>
      </w:tr>
      <w:tr>
        <w:trPr/>
        <w:tc>
          <w:tcPr>
            <w:tcW w:w="39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7,380</w:t>
            </w:r>
          </w:p>
        </w:tc>
      </w:tr>
      <w:tr>
        <w:trPr/>
        <w:tc>
          <w:tcPr>
            <w:tcW w:w="39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Trade receivables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1,562</w:t>
            </w:r>
          </w:p>
        </w:tc>
      </w:tr>
      <w:tr>
        <w:trPr/>
        <w:tc>
          <w:tcPr>
            <w:tcW w:w="39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Inventories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1,748</w:t>
            </w:r>
          </w:p>
        </w:tc>
      </w:tr>
      <w:tr>
        <w:trPr/>
        <w:tc>
          <w:tcPr>
            <w:tcW w:w="39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w:t>
            </w:r>
          </w:p>
        </w:tc>
      </w:tr>
      <w:tr>
        <w:trPr/>
        <w:tc>
          <w:tcPr>
            <w:tcW w:w="39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refund receivables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w:t>
            </w:r>
          </w:p>
        </w:tc>
      </w:tr>
      <w:tr>
        <w:trPr/>
        <w:tc>
          <w:tcPr>
            <w:tcW w:w="39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Property and equipment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4,609</w:t>
            </w:r>
          </w:p>
        </w:tc>
      </w:tr>
      <w:tr>
        <w:trPr/>
        <w:tc>
          <w:tcPr>
            <w:tcW w:w="39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Intangible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left"/>
              <w:rPr/>
            </w:pPr>
            <w:r>
              <w:rPr/>
              <w:t>​</w:t>
            </w:r>
          </w:p>
        </w:tc>
      </w:tr>
      <w:tr>
        <w:trPr/>
        <w:tc>
          <w:tcPr>
            <w:tcW w:w="39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Developed technology</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90,500</w:t>
            </w:r>
          </w:p>
        </w:tc>
      </w:tr>
      <w:tr>
        <w:trPr/>
        <w:tc>
          <w:tcPr>
            <w:tcW w:w="39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Trademarks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3,700</w:t>
            </w:r>
          </w:p>
        </w:tc>
      </w:tr>
      <w:tr>
        <w:trPr/>
        <w:tc>
          <w:tcPr>
            <w:tcW w:w="39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list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4,500</w:t>
            </w:r>
          </w:p>
        </w:tc>
      </w:tr>
      <w:tr>
        <w:trPr/>
        <w:tc>
          <w:tcPr>
            <w:tcW w:w="39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Goodwill</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37,607</w:t>
            </w:r>
          </w:p>
        </w:tc>
      </w:tr>
      <w:tr>
        <w:trPr/>
        <w:tc>
          <w:tcPr>
            <w:tcW w:w="39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assets acquired</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151,947</w:t>
            </w:r>
          </w:p>
        </w:tc>
      </w:tr>
      <w:tr>
        <w:trPr/>
        <w:tc>
          <w:tcPr>
            <w:tcW w:w="393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left"/>
              <w:rPr/>
            </w:pPr>
            <w:r>
              <w:rPr/>
              <w:t>​</w:t>
            </w:r>
          </w:p>
        </w:tc>
      </w:tr>
      <w:tr>
        <w:trPr/>
        <w:tc>
          <w:tcPr>
            <w:tcW w:w="393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Liabilities Assumed</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pPr>
            <w:r>
              <w:rPr/>
              <w:t>  ​</w:t>
            </w:r>
          </w:p>
        </w:tc>
      </w:tr>
      <w:tr>
        <w:trPr/>
        <w:tc>
          <w:tcPr>
            <w:tcW w:w="39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Trade payables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w:t>
            </w:r>
          </w:p>
        </w:tc>
      </w:tr>
      <w:tr>
        <w:trPr/>
        <w:tc>
          <w:tcPr>
            <w:tcW w:w="39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expenses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1,551</w:t>
            </w:r>
          </w:p>
        </w:tc>
      </w:tr>
      <w:tr>
        <w:trPr/>
        <w:tc>
          <w:tcPr>
            <w:tcW w:w="39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income tax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22,842</w:t>
            </w:r>
          </w:p>
        </w:tc>
      </w:tr>
      <w:tr>
        <w:trPr/>
        <w:tc>
          <w:tcPr>
            <w:tcW w:w="39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Liabilities related to unrecognized tax benefits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w:t>
            </w:r>
          </w:p>
        </w:tc>
      </w:tr>
      <w:tr>
        <w:trPr/>
        <w:tc>
          <w:tcPr>
            <w:tcW w:w="39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long-term obligations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w:t>
            </w:r>
          </w:p>
        </w:tc>
      </w:tr>
      <w:tr>
        <w:trPr/>
        <w:tc>
          <w:tcPr>
            <w:tcW w:w="39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liabilities assumed</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24,716</w:t>
            </w:r>
          </w:p>
        </w:tc>
      </w:tr>
      <w:tr>
        <w:trPr/>
        <w:tc>
          <w:tcPr>
            <w:tcW w:w="39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assets acquired, net of liabilities assumed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127,231</w:t>
            </w:r>
          </w:p>
        </w:tc>
      </w:tr>
      <w:tr>
        <w:trPr/>
        <w:tc>
          <w:tcPr>
            <w:tcW w:w="39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Cash acquired</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(7,380)</w:t>
            </w:r>
          </w:p>
        </w:tc>
      </w:tr>
      <w:tr>
        <w:trPr/>
        <w:tc>
          <w:tcPr>
            <w:tcW w:w="393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Purchase price, net of cash acquired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119,851</w:t>
            </w:r>
          </w:p>
        </w:tc>
      </w:tr>
    </w:tbl>
    <w:p>
      <w:pPr>
        <w:pStyle w:val="TextBody"/>
        <w:bidi w:val="0"/>
        <w:spacing w:before="0" w:after="0"/>
        <w:ind w:left="0" w:right="0" w:hanging="0"/>
        <w:jc w:val="left"/>
        <w:rPr/>
      </w:pPr>
      <w:r>
        <w:rPr/>
        <w:t>​</w:t>
      </w:r>
    </w:p>
    <w:p>
      <w:pPr>
        <w:pStyle w:val="TextBody"/>
        <w:bidi w:val="0"/>
        <w:spacing w:before="200" w:after="200"/>
        <w:ind w:left="0" w:right="0" w:hanging="0"/>
        <w:jc w:val="both"/>
        <w:rPr>
          <w:rFonts w:ascii="Times New Roman;Times;serif" w:hAnsi="Times New Roman;Times;serif"/>
          <w:sz w:val="20"/>
        </w:rPr>
      </w:pPr>
      <w:r>
        <w:rPr>
          <w:rFonts w:ascii="Times New Roman;Times;serif" w:hAnsi="Times New Roman;Times;serif"/>
          <w:sz w:val="20"/>
        </w:rPr>
        <w:t>We are amortizing the Biolife developed technology intangible assets over 12 years, the trademark intangible assets over 12 years, and the customer list intangible asset on an accelerated basis over 12 years. We have estimated the weighted average life of the intangible assets acquired in connection with the Biolife Merger to be 12 years. The goodwill consists largely of the synergies expected from combining operations and is not expected to be deductible for tax purposes. The pro forma effects to our consolidated results of operations of the Biolife Merger are not material in relation to reported sales</w:t>
      </w:r>
      <w:r>
        <w:rPr>
          <w:rFonts w:ascii="Times New Roman;Times;serif" w:hAnsi="Times New Roman;Times;serif"/>
          <w:sz w:val="20"/>
          <w:shd w:fill="FFFFFF"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b/>
          <w:sz w:val="20"/>
          <w:shd w:fill="FFFFFF" w:val="clear"/>
        </w:rPr>
      </w:pPr>
      <w:bookmarkStart w:id="770" w:name="Tc_R5saThb9XUyQ-0kt3p-RSw_8_2"/>
      <w:bookmarkStart w:id="771" w:name="Tc_-ySeXSbivkiJreHJKFhKeA_8_0"/>
      <w:bookmarkStart w:id="772" w:name="Tc_uIF-xrIZ60eVUtgm1fGMNw_7_0"/>
      <w:bookmarkStart w:id="773" w:name="Tc_pOfJxnqvPkqegkKaaH-6AQ_6_0"/>
      <w:bookmarkStart w:id="774" w:name="Tc_IvbwyD9t10WNtVNp6-yzwQ_5_0"/>
      <w:bookmarkStart w:id="775" w:name="Tc_5Pv-hJywPEOY0xUnoLMp_w_4_0"/>
      <w:bookmarkStart w:id="776" w:name="Tc_pkp7yf2zV0a0aejioyBj8Q_3_0"/>
      <w:bookmarkStart w:id="777" w:name="Tc_e3VIPDr1P0GMXsMOMntLtg_2_0"/>
      <w:bookmarkStart w:id="778" w:name="Tc_GKdnanxQgkiBraAOovxqjw_1_2"/>
      <w:bookmarkStart w:id="779" w:name="Tc_--mRATgqKE66tAwm_fJCUA_1_0"/>
      <w:bookmarkEnd w:id="770"/>
      <w:bookmarkEnd w:id="771"/>
      <w:bookmarkEnd w:id="772"/>
      <w:bookmarkEnd w:id="773"/>
      <w:bookmarkEnd w:id="774"/>
      <w:bookmarkEnd w:id="775"/>
      <w:bookmarkEnd w:id="776"/>
      <w:bookmarkEnd w:id="777"/>
      <w:bookmarkEnd w:id="778"/>
      <w:bookmarkEnd w:id="779"/>
      <w:r>
        <w:rPr>
          <w:rFonts w:ascii="Times New Roman;Times;serif" w:hAnsi="Times New Roman;Times;serif"/>
          <w:b/>
          <w:sz w:val="20"/>
          <w:shd w:fill="FFFFFF" w:val="clear"/>
        </w:rPr>
        <w:t>Divestitures</w:t>
      </w:r>
    </w:p>
    <w:p>
      <w:pPr>
        <w:pStyle w:val="TextBody"/>
        <w:bidi w:val="0"/>
        <w:spacing w:before="200" w:after="200"/>
        <w:ind w:left="0" w:right="0" w:hanging="0"/>
        <w:jc w:val="both"/>
        <w:rPr>
          <w:rFonts w:ascii="Times New Roman;Times;serif" w:hAnsi="Times New Roman;Times;serif"/>
          <w:sz w:val="20"/>
        </w:rPr>
      </w:pPr>
      <w:r>
        <w:rPr>
          <w:rFonts w:ascii="Times New Roman;Times;serif" w:hAnsi="Times New Roman;Times;serif"/>
          <w:sz w:val="20"/>
          <w:shd w:fill="FFFFFF" w:val="clear"/>
        </w:rPr>
        <w:t xml:space="preserve">On January 31, 2026, Merit and Health Line International Corporation (“Health Line”) entered into an Asset Purchase Agreement (the “Health Line Purchase Agreement”), pursuant to which Merit agreed to sell certain assets relating to the DualCap® product line to Health Line for a purchase price of $28 million (the “Purchase Price” and such transaction, the “Health Line Transaction”), resulting in a </w:t>
      </w:r>
      <w:r>
        <w:rPr>
          <w:rFonts w:ascii="Times New Roman;Times;serif" w:hAnsi="Times New Roman;Times;serif"/>
          <w:b w:val="false"/>
          <w:i w:val="false"/>
          <w:caps w:val="false"/>
          <w:smallCaps w:val="false"/>
          <w:sz w:val="20"/>
          <w:shd w:fill="FFFFFF" w:val="clear"/>
        </w:rPr>
        <w:t>pre-tax</w:t>
      </w:r>
      <w:r>
        <w:rPr>
          <w:rFonts w:ascii="Times New Roman;Times;serif" w:hAnsi="Times New Roman;Times;serif"/>
          <w:sz w:val="20"/>
          <w:shd w:fill="FFFFFF" w:val="clear"/>
        </w:rPr>
        <w:t xml:space="preserve"> book gain of $12.5 million. Merit and Health Line closed the Health Line Transaction on February 17, 2026. Pursuant to the terms of the Health Line Purchase Agreement, at the closing, Health Line (i) paid Merit $25.5 million of the Purchase Price and (ii) held back the remaining $2.5 million of the Purchase Price for a period of 18 months following closing as security (with a right of offset) for breaches of Merit’s representations and warranties and certain other obligations under the Health Line Purchase Agreement.</w:t>
      </w:r>
    </w:p>
    <w:p>
      <w:pPr>
        <w:pStyle w:val="TextBody"/>
        <w:bidi w:val="0"/>
        <w:spacing w:before="200" w:after="20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In order to facilitate the transition of the DualCap® business from Merit to Health Line, at the closing of the Health Line Transaction, Merit and Health Line entered into, among other agreements, a contract manufacturing agreement and a transition and distribution services agreement, pursuant to which Merit is obligated to perform certain manufacturing, transition and distribution services to Health Line for a period of up to 24 months after the closing.</w:t>
      </w:r>
    </w:p>
    <w:p>
      <w:pPr>
        <w:pStyle w:val="TextBody"/>
        <w:bidi w:val="0"/>
        <w:spacing w:before="200" w:after="20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The following table summarizes the major classes of assets sold on the date of the sale:</w:t>
      </w:r>
    </w:p>
    <w:p>
      <w:pPr>
        <w:pStyle w:val="TextBody"/>
        <w:bidi w:val="0"/>
        <w:spacing w:before="0" w:after="0"/>
        <w:ind w:left="0" w:right="0" w:hanging="0"/>
        <w:jc w:val="left"/>
        <w:rPr/>
      </w:pPr>
      <w:r>
        <w:rPr/>
        <w:t>​</w:t>
      </w:r>
    </w:p>
    <w:tbl>
      <w:tblPr>
        <w:tblW w:w="3409" w:type="dxa"/>
        <w:jc w:val="left"/>
        <w:tblInd w:w="0" w:type="dxa"/>
        <w:tblLayout w:type="fixed"/>
        <w:tblCellMar>
          <w:top w:w="0" w:type="dxa"/>
          <w:left w:w="0" w:type="dxa"/>
          <w:bottom w:w="0" w:type="dxa"/>
          <w:right w:w="0" w:type="dxa"/>
        </w:tblCellMar>
      </w:tblPr>
      <w:tblGrid>
        <w:gridCol w:w="2071"/>
        <w:gridCol w:w="346"/>
        <w:gridCol w:w="211"/>
        <w:gridCol w:w="781"/>
      </w:tblGrid>
      <w:tr>
        <w:trPr/>
        <w:tc>
          <w:tcPr>
            <w:tcW w:w="20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1315085" cy="175260"/>
                      <wp:effectExtent l="0" t="0" r="0" b="0"/>
                      <wp:wrapNone/>
                      <wp:docPr id="132" name="Frame131"/>
                      <a:graphic xmlns:a="http://schemas.openxmlformats.org/drawingml/2006/main">
                        <a:graphicData uri="http://schemas.microsoft.com/office/word/2010/wordprocessingShape">
                          <wps:wsp>
                            <wps:cNvSpPr txBox="1"/>
                            <wps:spPr>
                              <a:xfrm>
                                <a:off x="0" y="0"/>
                                <a:ext cx="1315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19710" cy="175260"/>
                      <wp:effectExtent l="0" t="0" r="0" b="0"/>
                      <wp:wrapNone/>
                      <wp:docPr id="133" name="Frame1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133985" cy="175260"/>
                      <wp:effectExtent l="0" t="0" r="0" b="0"/>
                      <wp:wrapNone/>
                      <wp:docPr id="134" name="Frame1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495935" cy="175260"/>
                      <wp:effectExtent l="0" t="0" r="0" b="0"/>
                      <wp:wrapNone/>
                      <wp:docPr id="135" name="Frame13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0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Inventories</w:t>
            </w:r>
          </w:p>
        </w:tc>
        <w:tc>
          <w:tcPr>
            <w:tcW w:w="346" w:type="dxa"/>
            <w:tcBorders/>
            <w:shd w:fill="CCEEFF" w:val="clear"/>
            <w:vAlign w:val="center"/>
          </w:tcPr>
          <w:p>
            <w:pPr>
              <w:pStyle w:val="TableContents"/>
              <w:bidi w:val="0"/>
              <w:spacing w:before="0" w:after="1"/>
              <w:ind w:left="0" w:right="0" w:hanging="0"/>
              <w:jc w:val="left"/>
              <w:rPr/>
            </w:pPr>
            <w:r>
              <w:rPr/>
              <w:t>  ​ ​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3,910</w:t>
            </w:r>
          </w:p>
        </w:tc>
      </w:tr>
      <w:tr>
        <w:trPr/>
        <w:tc>
          <w:tcPr>
            <w:tcW w:w="20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Property and equipment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522</w:t>
            </w:r>
          </w:p>
        </w:tc>
      </w:tr>
      <w:tr>
        <w:trPr/>
        <w:tc>
          <w:tcPr>
            <w:tcW w:w="20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Intangible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r>
      <w:tr>
        <w:trPr/>
        <w:tc>
          <w:tcPr>
            <w:tcW w:w="20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Developed technology</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5,129</w:t>
            </w:r>
          </w:p>
        </w:tc>
      </w:tr>
      <w:tr>
        <w:trPr/>
        <w:tc>
          <w:tcPr>
            <w:tcW w:w="20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Trademarks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266</w:t>
            </w:r>
          </w:p>
        </w:tc>
      </w:tr>
      <w:tr>
        <w:trPr/>
        <w:tc>
          <w:tcPr>
            <w:tcW w:w="20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Patents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243</w:t>
            </w:r>
          </w:p>
        </w:tc>
      </w:tr>
      <w:tr>
        <w:trPr/>
        <w:tc>
          <w:tcPr>
            <w:tcW w:w="20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Goodwill</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2,928</w:t>
            </w:r>
          </w:p>
        </w:tc>
      </w:tr>
      <w:tr>
        <w:trPr/>
        <w:tc>
          <w:tcPr>
            <w:tcW w:w="207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12,998</w:t>
            </w:r>
          </w:p>
        </w:tc>
      </w:tr>
    </w:tbl>
    <w:p>
      <w:pPr>
        <w:pStyle w:val="TextBody"/>
        <w:bidi w:val="0"/>
        <w:spacing w:before="0" w:after="240"/>
        <w:ind w:left="0" w:right="0" w:hanging="0"/>
        <w:jc w:val="both"/>
        <w:rPr>
          <w:shd w:fill="FFFFFF" w:val="clear"/>
        </w:rPr>
      </w:pPr>
      <w:r>
        <w:rPr>
          <w:shd w:fill="FFFFFF" w:val="clear"/>
        </w:rPr>
        <w:t>​</w:t>
      </w:r>
    </w:p>
    <w:p>
      <w:pPr>
        <w:pStyle w:val="TextBody"/>
        <w:bidi w:val="0"/>
        <w:spacing w:before="0" w:after="240"/>
        <w:ind w:left="0" w:right="0" w:hanging="0"/>
        <w:jc w:val="both"/>
        <w:rPr/>
      </w:pPr>
      <w:r>
        <w:rPr/>
        <w:t>​</w:t>
      </w:r>
    </w:p>
    <w:p>
      <w:pPr>
        <w:pStyle w:val="TextBody"/>
        <w:bidi w:val="0"/>
        <w:spacing w:before="0" w:after="200"/>
        <w:ind w:left="0" w:right="0" w:hanging="0"/>
        <w:jc w:val="left"/>
        <w:rPr>
          <w:rFonts w:ascii="Times New Roman;Times;serif" w:hAnsi="Times New Roman;Times;serif"/>
          <w:b/>
          <w:sz w:val="20"/>
        </w:rPr>
      </w:pPr>
      <w:bookmarkStart w:id="780" w:name="Tc_sjh8DkcVkkqn-CiPGAb5AQ_5_5"/>
      <w:bookmarkStart w:id="781" w:name="Tc_SuAHIQTjEEOjTQi7EmnjEg_5_2"/>
      <w:bookmarkStart w:id="782" w:name="Tc_oWrM0v4A5EKX0a66D055og_5_0"/>
      <w:bookmarkStart w:id="783" w:name="Tc_z9qKqpBMZ0-6sOdoZ2zI7w_4_0"/>
      <w:bookmarkStart w:id="784" w:name="Tc_CrUlCF69P0a49ocxifGhsg_3_0"/>
      <w:bookmarkStart w:id="785" w:name="Tc_yA9ODMJrwEuUocPaaVbCbw_2_5"/>
      <w:bookmarkStart w:id="786" w:name="Tc_m0_RLhR8lkCP3dxAR09xJA_2_2"/>
      <w:bookmarkStart w:id="787" w:name="Tc_jwtUpllRb0SNI8mYxC9_3g_2_0"/>
      <w:bookmarkStart w:id="788" w:name="Tc_19H0T0nVNU2a1hDAbsAcbA_1_5"/>
      <w:bookmarkStart w:id="789" w:name="Tc_7sfBooFpyEyYrGalV3obZQ_1_2"/>
      <w:bookmarkEnd w:id="780"/>
      <w:bookmarkEnd w:id="781"/>
      <w:bookmarkEnd w:id="782"/>
      <w:bookmarkEnd w:id="783"/>
      <w:bookmarkEnd w:id="784"/>
      <w:bookmarkEnd w:id="785"/>
      <w:bookmarkEnd w:id="786"/>
      <w:bookmarkEnd w:id="787"/>
      <w:bookmarkEnd w:id="788"/>
      <w:bookmarkEnd w:id="789"/>
      <w:r>
        <w:rPr>
          <w:rFonts w:ascii="Times New Roman;Times;serif" w:hAnsi="Times New Roman;Times;serif"/>
          <w:b/>
          <w:sz w:val="20"/>
        </w:rPr>
        <w:t xml:space="preserve">5. Inventories. </w:t>
      </w:r>
      <w:r>
        <w:rPr>
          <w:rFonts w:ascii="Times New Roman;Times;serif" w:hAnsi="Times New Roman;Times;serif"/>
          <w:b w:val="false"/>
          <w:sz w:val="20"/>
        </w:rPr>
        <w:t>Inventories at June 30, 2026 and December 31, 2025 consisted of the following (in thousands):</w:t>
      </w:r>
    </w:p>
    <w:p>
      <w:pPr>
        <w:pStyle w:val="TextBody"/>
        <w:bidi w:val="0"/>
        <w:spacing w:before="0" w:after="0"/>
        <w:ind w:left="0" w:right="0" w:hanging="0"/>
        <w:jc w:val="left"/>
        <w:rPr/>
      </w:pPr>
      <w:r>
        <w:rPr/>
        <w:t>​</w:t>
      </w:r>
    </w:p>
    <w:tbl>
      <w:tblPr>
        <w:tblW w:w="4880" w:type="dxa"/>
        <w:jc w:val="left"/>
        <w:tblInd w:w="0" w:type="dxa"/>
        <w:tblLayout w:type="fixed"/>
        <w:tblCellMar>
          <w:top w:w="0" w:type="dxa"/>
          <w:left w:w="0" w:type="dxa"/>
          <w:bottom w:w="0" w:type="dxa"/>
          <w:right w:w="0" w:type="dxa"/>
        </w:tblCellMar>
      </w:tblPr>
      <w:tblGrid>
        <w:gridCol w:w="1516"/>
        <w:gridCol w:w="346"/>
        <w:gridCol w:w="239"/>
        <w:gridCol w:w="887"/>
        <w:gridCol w:w="346"/>
        <w:gridCol w:w="297"/>
        <w:gridCol w:w="1249"/>
      </w:tblGrid>
      <w:tr>
        <w:trPr/>
        <w:tc>
          <w:tcPr>
            <w:tcW w:w="1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962660" cy="175260"/>
                      <wp:effectExtent l="0" t="0" r="0" b="0"/>
                      <wp:wrapNone/>
                      <wp:docPr id="136" name="Frame135"/>
                      <a:graphic xmlns:a="http://schemas.openxmlformats.org/drawingml/2006/main">
                        <a:graphicData uri="http://schemas.microsoft.com/office/word/2010/wordprocessingShape">
                          <wps:wsp>
                            <wps:cNvSpPr txBox="1"/>
                            <wps:spPr>
                              <a:xfrm>
                                <a:off x="0" y="0"/>
                                <a:ext cx="962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19710" cy="175260"/>
                      <wp:effectExtent l="0" t="0" r="0" b="0"/>
                      <wp:wrapNone/>
                      <wp:docPr id="137" name="Frame1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151765" cy="175260"/>
                      <wp:effectExtent l="0" t="0" r="0" b="0"/>
                      <wp:wrapNone/>
                      <wp:docPr id="138" name="Frame137"/>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563245" cy="175260"/>
                      <wp:effectExtent l="0" t="0" r="0" b="0"/>
                      <wp:wrapNone/>
                      <wp:docPr id="139" name="Frame138"/>
                      <a:graphic xmlns:a="http://schemas.openxmlformats.org/drawingml/2006/main">
                        <a:graphicData uri="http://schemas.microsoft.com/office/word/2010/wordprocessingShape">
                          <wps:wsp>
                            <wps:cNvSpPr txBox="1"/>
                            <wps:spPr>
                              <a:xfrm>
                                <a:off x="0" y="0"/>
                                <a:ext cx="563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19710" cy="175260"/>
                      <wp:effectExtent l="0" t="0" r="0" b="0"/>
                      <wp:wrapNone/>
                      <wp:docPr id="140" name="Frame1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188595" cy="175260"/>
                      <wp:effectExtent l="0" t="0" r="0" b="0"/>
                      <wp:wrapNone/>
                      <wp:docPr id="141" name="Frame140"/>
                      <a:graphic xmlns:a="http://schemas.openxmlformats.org/drawingml/2006/main">
                        <a:graphicData uri="http://schemas.microsoft.com/office/word/2010/wordprocessingShape">
                          <wps:wsp>
                            <wps:cNvSpPr txBox="1"/>
                            <wps:spPr>
                              <a:xfrm>
                                <a:off x="0" y="0"/>
                                <a:ext cx="188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793115" cy="175260"/>
                      <wp:effectExtent l="0" t="0" r="0" b="0"/>
                      <wp:wrapNone/>
                      <wp:docPr id="142" name="Frame141"/>
                      <a:graphic xmlns:a="http://schemas.openxmlformats.org/drawingml/2006/main">
                        <a:graphicData uri="http://schemas.microsoft.com/office/word/2010/wordprocessingShape">
                          <wps:wsp>
                            <wps:cNvSpPr txBox="1"/>
                            <wps:spPr>
                              <a:xfrm>
                                <a:off x="0" y="0"/>
                                <a:ext cx="793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0"/>
              <w:ind w:left="0" w:right="0" w:hanging="0"/>
              <w:jc w:val="left"/>
              <w:rPr/>
            </w:pPr>
            <w:r>
              <w:rPr/>
              <w:t>  ​ ​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Finished goods</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202,546</w:t>
            </w:r>
          </w:p>
        </w:tc>
        <w:tc>
          <w:tcPr>
            <w:tcW w:w="34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190,616</w:t>
            </w:r>
          </w:p>
        </w:tc>
      </w:tr>
      <w:tr>
        <w:trPr/>
        <w:tc>
          <w:tcPr>
            <w:tcW w:w="15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Work-in-process</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44,518</w:t>
            </w:r>
          </w:p>
        </w:tc>
        <w:tc>
          <w:tcPr>
            <w:tcW w:w="34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 </w:t>
            </w:r>
          </w:p>
        </w:tc>
        <w:tc>
          <w:tcPr>
            <w:tcW w:w="12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32,391</w:t>
            </w:r>
          </w:p>
        </w:tc>
      </w:tr>
      <w:tr>
        <w:trPr/>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Raw materials</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127,048</w:t>
            </w:r>
          </w:p>
        </w:tc>
        <w:tc>
          <w:tcPr>
            <w:tcW w:w="346" w:type="dxa"/>
            <w:tcBorders/>
            <w:shd w:fill="CCEEFF" w:val="clear"/>
            <w:vAlign w:val="center"/>
          </w:tcPr>
          <w:p>
            <w:pPr>
              <w:pStyle w:val="TableContents"/>
              <w:bidi w:val="0"/>
              <w:spacing w:before="0" w:after="0"/>
              <w:ind w:left="0" w:right="0" w:hanging="0"/>
              <w:jc w:val="left"/>
              <w:rPr/>
            </w:pPr>
            <w:r>
              <w:rPr/>
              <w:t>​</w:t>
            </w:r>
          </w:p>
        </w:tc>
        <w:tc>
          <w:tcPr>
            <w:tcW w:w="2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110,698</w:t>
            </w:r>
          </w:p>
        </w:tc>
      </w:tr>
      <w:tr>
        <w:trPr/>
        <w:tc>
          <w:tcPr>
            <w:tcW w:w="15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inventories</w:t>
            </w:r>
          </w:p>
        </w:tc>
        <w:tc>
          <w:tcPr>
            <w:tcW w:w="346" w:type="dxa"/>
            <w:tcBorders/>
            <w:vAlign w:val="center"/>
          </w:tcPr>
          <w:p>
            <w:pPr>
              <w:pStyle w:val="TableContents"/>
              <w:bidi w:val="0"/>
              <w:spacing w:before="0" w:after="0"/>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374,112</w:t>
            </w:r>
          </w:p>
        </w:tc>
        <w:tc>
          <w:tcPr>
            <w:tcW w:w="346" w:type="dxa"/>
            <w:tcBorders/>
            <w:vAlign w:val="center"/>
          </w:tcPr>
          <w:p>
            <w:pPr>
              <w:pStyle w:val="TableContents"/>
              <w:bidi w:val="0"/>
              <w:spacing w:before="0" w:after="0"/>
              <w:ind w:left="0" w:right="0" w:hanging="0"/>
              <w:jc w:val="left"/>
              <w:rPr/>
            </w:pPr>
            <w:r>
              <w:rPr/>
              <w:t>​</w:t>
            </w:r>
          </w:p>
        </w:tc>
        <w:tc>
          <w:tcPr>
            <w:tcW w:w="29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333,705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bookmarkStart w:id="790" w:name="Tc_NQph1QaKt0umktkdhXOwjA_6_2"/>
      <w:bookmarkStart w:id="791" w:name="Tc_baGQBnWCSEaiFSBk8CAeNg_6_0"/>
      <w:bookmarkStart w:id="792" w:name="Tc_m-RJBrE5ZEmBJxEEHajdMg_5_0"/>
      <w:bookmarkStart w:id="793" w:name="Tc_xMcbga1O602v1p2LQikzAw_4_0"/>
      <w:bookmarkStart w:id="794" w:name="Tc_g0UmI6c6NUKMotAIz0pXDQ_3_0"/>
      <w:bookmarkStart w:id="795" w:name="Tc_ip4JiE-mDE63-2S2aj7I9A_2_2"/>
      <w:bookmarkStart w:id="796" w:name="Tc_qyVbY3XI_ki9PWJmEU7Wmw_2_0"/>
      <w:bookmarkStart w:id="797" w:name="Tc_WZ-tLVETsEmhV_6VS2jRJA_1_2"/>
      <w:bookmarkEnd w:id="790"/>
      <w:bookmarkEnd w:id="791"/>
      <w:bookmarkEnd w:id="792"/>
      <w:bookmarkEnd w:id="793"/>
      <w:bookmarkEnd w:id="794"/>
      <w:bookmarkEnd w:id="795"/>
      <w:bookmarkEnd w:id="796"/>
      <w:bookmarkEnd w:id="797"/>
      <w:r>
        <w:rPr>
          <w:rFonts w:ascii="Times New Roman;Times;serif" w:hAnsi="Times New Roman;Times;serif"/>
          <w:b/>
          <w:sz w:val="20"/>
        </w:rPr>
        <w:t xml:space="preserve">6.   Goodwill and Intangible Assets. </w:t>
      </w:r>
      <w:r>
        <w:rPr>
          <w:rFonts w:ascii="Times New Roman;Times;serif" w:hAnsi="Times New Roman;Times;serif"/>
          <w:b w:val="false"/>
          <w:sz w:val="20"/>
        </w:rPr>
        <w:t>The change in the carrying amount of goodwill for the six-month period ended June 30, 2026 is detailed as follows (in thousands):</w:t>
      </w:r>
    </w:p>
    <w:p>
      <w:pPr>
        <w:pStyle w:val="TextBody"/>
        <w:bidi w:val="0"/>
        <w:spacing w:before="0" w:after="0"/>
        <w:ind w:left="0" w:right="0" w:hanging="0"/>
        <w:jc w:val="left"/>
        <w:rPr/>
      </w:pPr>
      <w:r>
        <w:rPr/>
        <w:t>​</w:t>
      </w:r>
    </w:p>
    <w:tbl>
      <w:tblPr>
        <w:tblW w:w="7175" w:type="dxa"/>
        <w:jc w:val="left"/>
        <w:tblInd w:w="0" w:type="dxa"/>
        <w:tblLayout w:type="fixed"/>
        <w:tblCellMar>
          <w:top w:w="0" w:type="dxa"/>
          <w:left w:w="0" w:type="dxa"/>
          <w:bottom w:w="0" w:type="dxa"/>
          <w:right w:w="0" w:type="dxa"/>
        </w:tblCellMar>
      </w:tblPr>
      <w:tblGrid>
        <w:gridCol w:w="4546"/>
        <w:gridCol w:w="109"/>
        <w:gridCol w:w="484"/>
        <w:gridCol w:w="2036"/>
      </w:tblGrid>
      <w:tr>
        <w:trPr/>
        <w:tc>
          <w:tcPr>
            <w:tcW w:w="4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886710" cy="175260"/>
                      <wp:effectExtent l="0" t="0" r="0" b="0"/>
                      <wp:wrapNone/>
                      <wp:docPr id="143" name="Frame142"/>
                      <a:graphic xmlns:a="http://schemas.openxmlformats.org/drawingml/2006/main">
                        <a:graphicData uri="http://schemas.microsoft.com/office/word/2010/wordprocessingShape">
                          <wps:wsp>
                            <wps:cNvSpPr txBox="1"/>
                            <wps:spPr>
                              <a:xfrm>
                                <a:off x="0" y="0"/>
                                <a:ext cx="2886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9215" cy="175260"/>
                      <wp:effectExtent l="0" t="0" r="0" b="0"/>
                      <wp:wrapNone/>
                      <wp:docPr id="144" name="Frame14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307340" cy="175260"/>
                      <wp:effectExtent l="0" t="0" r="0" b="0"/>
                      <wp:wrapNone/>
                      <wp:docPr id="145" name="Frame144"/>
                      <a:graphic xmlns:a="http://schemas.openxmlformats.org/drawingml/2006/main">
                        <a:graphicData uri="http://schemas.microsoft.com/office/word/2010/wordprocessingShape">
                          <wps:wsp>
                            <wps:cNvSpPr txBox="1"/>
                            <wps:spPr>
                              <a:xfrm>
                                <a:off x="0" y="0"/>
                                <a:ext cx="307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1292860" cy="175260"/>
                      <wp:effectExtent l="0" t="0" r="0" b="0"/>
                      <wp:wrapNone/>
                      <wp:docPr id="146" name="Frame145"/>
                      <a:graphic xmlns:a="http://schemas.openxmlformats.org/drawingml/2006/main">
                        <a:graphicData uri="http://schemas.microsoft.com/office/word/2010/wordprocessingShape">
                          <wps:wsp>
                            <wps:cNvSpPr txBox="1"/>
                            <wps:spPr>
                              <a:xfrm>
                                <a:off x="0" y="0"/>
                                <a:ext cx="1292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546" w:type="dxa"/>
            <w:tcBorders/>
            <w:vAlign w:val="center"/>
          </w:tcPr>
          <w:p>
            <w:pPr>
              <w:pStyle w:val="TableContents"/>
              <w:bidi w:val="0"/>
              <w:spacing w:before="0" w:after="0"/>
              <w:ind w:left="0" w:right="0" w:hanging="0"/>
              <w:jc w:val="left"/>
              <w:rPr>
                <w:color w:val="0066FF"/>
              </w:rPr>
            </w:pPr>
            <w:r>
              <w:rPr>
                <w:color w:val="0066FF"/>
              </w:rPr>
              <w:t>​</w:t>
            </w:r>
          </w:p>
        </w:tc>
        <w:tc>
          <w:tcPr>
            <w:tcW w:w="109" w:type="dxa"/>
            <w:tcBorders/>
            <w:vAlign w:val="center"/>
          </w:tcPr>
          <w:p>
            <w:pPr>
              <w:pStyle w:val="TableContents"/>
              <w:bidi w:val="0"/>
              <w:spacing w:before="0" w:after="0"/>
              <w:ind w:left="0" w:right="0" w:hanging="0"/>
              <w:jc w:val="left"/>
              <w:rPr/>
            </w:pPr>
            <w:r>
              <w:rPr/>
              <w:t>​</w:t>
            </w:r>
          </w:p>
        </w:tc>
        <w:tc>
          <w:tcPr>
            <w:tcW w:w="25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2026</w:t>
            </w:r>
          </w:p>
        </w:tc>
      </w:tr>
      <w:tr>
        <w:trPr/>
        <w:tc>
          <w:tcPr>
            <w:tcW w:w="45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 balance at January 1</w:t>
            </w:r>
          </w:p>
        </w:tc>
        <w:tc>
          <w:tcPr>
            <w:tcW w:w="109" w:type="dxa"/>
            <w:tcBorders/>
            <w:shd w:fill="CCEEFF" w:val="clear"/>
            <w:vAlign w:val="center"/>
          </w:tcPr>
          <w:p>
            <w:pPr>
              <w:pStyle w:val="TableContents"/>
              <w:bidi w:val="0"/>
              <w:spacing w:before="0" w:after="0"/>
              <w:ind w:left="0" w:right="0" w:hanging="0"/>
              <w:jc w:val="left"/>
              <w:rPr/>
            </w:pPr>
            <w:r>
              <w:rPr/>
              <w:t>​</w:t>
            </w:r>
          </w:p>
        </w:tc>
        <w:tc>
          <w:tcPr>
            <w:tcW w:w="4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506,837</w:t>
            </w:r>
          </w:p>
        </w:tc>
      </w:tr>
      <w:tr>
        <w:trPr/>
        <w:tc>
          <w:tcPr>
            <w:tcW w:w="45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foreign exchange</w:t>
            </w:r>
          </w:p>
        </w:tc>
        <w:tc>
          <w:tcPr>
            <w:tcW w:w="109" w:type="dxa"/>
            <w:tcBorders/>
            <w:vAlign w:val="center"/>
          </w:tcPr>
          <w:p>
            <w:pPr>
              <w:pStyle w:val="TableContents"/>
              <w:bidi w:val="0"/>
              <w:spacing w:before="0" w:after="0"/>
              <w:ind w:left="0" w:right="0" w:hanging="0"/>
              <w:jc w:val="left"/>
              <w:rPr/>
            </w:pPr>
            <w:r>
              <w:rPr/>
              <w:t>​</w:t>
            </w:r>
          </w:p>
        </w:tc>
        <w:tc>
          <w:tcPr>
            <w:tcW w:w="484" w:type="dxa"/>
            <w:tcBorders/>
            <w:vAlign w:val="center"/>
          </w:tcPr>
          <w:p>
            <w:pPr>
              <w:pStyle w:val="TableContents"/>
              <w:bidi w:val="0"/>
              <w:spacing w:before="0" w:after="0"/>
              <w:ind w:left="0" w:right="0" w:hanging="0"/>
              <w:jc w:val="left"/>
              <w:rPr/>
            </w:pPr>
            <w:r>
              <w:rPr/>
              <w:t> </w:t>
            </w:r>
          </w:p>
        </w:tc>
        <w:tc>
          <w:tcPr>
            <w:tcW w:w="2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(514)</w:t>
            </w:r>
          </w:p>
        </w:tc>
      </w:tr>
      <w:tr>
        <w:trPr/>
        <w:tc>
          <w:tcPr>
            <w:tcW w:w="45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Additions and adjustments as the result of acquisitions</w:t>
            </w:r>
          </w:p>
        </w:tc>
        <w:tc>
          <w:tcPr>
            <w:tcW w:w="109" w:type="dxa"/>
            <w:tcBorders/>
            <w:shd w:fill="CCEEFF" w:val="clear"/>
            <w:vAlign w:val="center"/>
          </w:tcPr>
          <w:p>
            <w:pPr>
              <w:pStyle w:val="TableContents"/>
              <w:bidi w:val="0"/>
              <w:spacing w:before="0" w:after="0"/>
              <w:ind w:left="0" w:right="0" w:hanging="0"/>
              <w:jc w:val="left"/>
              <w:rPr/>
            </w:pPr>
            <w:r>
              <w:rPr/>
              <w:t>​</w:t>
            </w:r>
          </w:p>
        </w:tc>
        <w:tc>
          <w:tcPr>
            <w:tcW w:w="484" w:type="dxa"/>
            <w:tcBorders/>
            <w:shd w:fill="CCEEFF" w:val="clear"/>
            <w:vAlign w:val="center"/>
          </w:tcPr>
          <w:p>
            <w:pPr>
              <w:pStyle w:val="TableContents"/>
              <w:bidi w:val="0"/>
              <w:spacing w:before="0" w:after="0"/>
              <w:ind w:left="0" w:right="0" w:hanging="0"/>
              <w:jc w:val="left"/>
              <w:rPr/>
            </w:pPr>
            <w:r>
              <w:rPr/>
              <w:t> </w:t>
            </w:r>
          </w:p>
        </w:tc>
        <w:tc>
          <w:tcPr>
            <w:tcW w:w="2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36,377</w:t>
            </w:r>
          </w:p>
        </w:tc>
      </w:tr>
      <w:tr>
        <w:trPr/>
        <w:tc>
          <w:tcPr>
            <w:tcW w:w="45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Disposals as the result of divestitures</w:t>
            </w:r>
          </w:p>
        </w:tc>
        <w:tc>
          <w:tcPr>
            <w:tcW w:w="109" w:type="dxa"/>
            <w:tcBorders/>
            <w:vAlign w:val="center"/>
          </w:tcPr>
          <w:p>
            <w:pPr>
              <w:pStyle w:val="TableContents"/>
              <w:bidi w:val="0"/>
              <w:spacing w:before="0" w:after="0"/>
              <w:ind w:left="0" w:right="0" w:hanging="0"/>
              <w:jc w:val="left"/>
              <w:rPr/>
            </w:pPr>
            <w:r>
              <w:rPr/>
              <w:t>​</w:t>
            </w:r>
          </w:p>
        </w:tc>
        <w:tc>
          <w:tcPr>
            <w:tcW w:w="48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(2,928)</w:t>
            </w:r>
          </w:p>
        </w:tc>
      </w:tr>
      <w:tr>
        <w:trPr/>
        <w:tc>
          <w:tcPr>
            <w:tcW w:w="45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 balance at June 30</w:t>
            </w:r>
          </w:p>
        </w:tc>
        <w:tc>
          <w:tcPr>
            <w:tcW w:w="109" w:type="dxa"/>
            <w:tcBorders/>
            <w:shd w:fill="CCEEFF" w:val="clear"/>
            <w:vAlign w:val="center"/>
          </w:tcPr>
          <w:p>
            <w:pPr>
              <w:pStyle w:val="TableContents"/>
              <w:bidi w:val="0"/>
              <w:spacing w:before="0" w:after="0"/>
              <w:ind w:left="0" w:right="0" w:hanging="0"/>
              <w:jc w:val="left"/>
              <w:rPr/>
            </w:pPr>
            <w:r>
              <w:rPr/>
              <w:t>​</w:t>
            </w:r>
          </w:p>
        </w:tc>
        <w:tc>
          <w:tcPr>
            <w:tcW w:w="48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539,772</w:t>
            </w:r>
          </w:p>
        </w:tc>
      </w:tr>
    </w:tbl>
    <w:p>
      <w:pPr>
        <w:pStyle w:val="TextBody"/>
        <w:bidi w:val="0"/>
        <w:spacing w:before="0" w:after="0"/>
        <w:ind w:left="0" w:right="0" w:hanging="0"/>
        <w:jc w:val="left"/>
        <w:rPr/>
      </w:pPr>
      <w:r>
        <w:rPr/>
        <w:t>​</w:t>
      </w:r>
    </w:p>
    <w:p>
      <w:pPr>
        <w:pStyle w:val="TextBody"/>
        <w:bidi w:val="0"/>
        <w:spacing w:before="200" w:after="200"/>
        <w:ind w:left="0" w:right="0" w:hanging="0"/>
        <w:jc w:val="both"/>
        <w:rPr>
          <w:rFonts w:ascii="Times New Roman;Times;serif" w:hAnsi="Times New Roman;Times;serif"/>
          <w:sz w:val="20"/>
        </w:rPr>
      </w:pPr>
      <w:r>
        <w:rPr>
          <w:rFonts w:ascii="Times New Roman;Times;serif" w:hAnsi="Times New Roman;Times;serif"/>
          <w:sz w:val="20"/>
        </w:rPr>
        <w:t>Total accumulated goodwill impairment losses aggregated to $8.3 million as of June 30, 2026 and December 31, 2025, respectively. We did not have any goodwill impairments for the six-month periods ended June 30, 2026 or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bookmarkStart w:id="798" w:name="Tc_vrzCg5fWQEez4vwm3IW_OA_6_0"/>
      <w:bookmarkStart w:id="799" w:name="Tc_2dYa6BN3vECnwkn20iQcQg_5_0"/>
      <w:bookmarkStart w:id="800" w:name="Tc_ctpEyFuQdkegVStPSH41Jg_4_0"/>
      <w:bookmarkStart w:id="801" w:name="Tc_BsTzLZusOUig_Z94fhr5DA_3_0"/>
      <w:bookmarkStart w:id="802" w:name="Tc_TViLaIjPU0S5BI_bMdMEMA_2_2"/>
      <w:bookmarkStart w:id="803" w:name="Tc_2kMsPHrmOkKwYzKMogDXvQ_2_0"/>
      <w:bookmarkStart w:id="804" w:name="Tc_syUM05OvAk-N1eemwGL7BQ_1_2"/>
      <w:bookmarkStart w:id="805" w:name="Tc_APKfJmDPvEqeyYGoD2H5xw_1_0"/>
      <w:bookmarkStart w:id="806" w:name="_05ad18f2_dd97_4bb0_805f_f8d726b77611"/>
      <w:bookmarkStart w:id="807" w:name="Tc_YLv8xnPiLkCGcd9awRD1bA_9_8"/>
      <w:bookmarkStart w:id="808" w:name="Tc_8QG9wBTBlEK3feKCS1a-yg_9_5"/>
      <w:bookmarkStart w:id="809" w:name="Tc_tHCVs58l3k6X5vmHFIR3Ng_9_2"/>
      <w:bookmarkStart w:id="810" w:name="Tc_ki1Ah0ZHZ0ePHXJil8uRkA_9_0"/>
      <w:bookmarkStart w:id="811" w:name="Tc_RvyNp4ux6UGcrBOAHkQAyg_8_0"/>
      <w:bookmarkStart w:id="812" w:name="Tc_Mfsyf4lO7UC3CiP1P071jQ_7_0"/>
      <w:bookmarkStart w:id="813" w:name="Tc_ueDrzYKmeEy9doAxAYo-Bg_6_0"/>
      <w:bookmarkStart w:id="814" w:name="Tc_miQxADthi0CM6kHOTaoHYg_5_0"/>
      <w:bookmarkStart w:id="815" w:name="Tc_xzLhWTy4U0icHmBtpx8qWg_4_8"/>
      <w:bookmarkStart w:id="816" w:name="Tc_8LxHbvlfN0ixVsSRXz_ynA_4_5"/>
      <w:bookmarkStart w:id="817" w:name="Tc_7PXFa2Y_TkyYoYGXl2KhpQ_4_2"/>
      <w:bookmarkStart w:id="818" w:name="Tc_Kg28tTTBfkCG7y9s1RPInw_4_0"/>
      <w:bookmarkStart w:id="819" w:name="Tc_Qi1VVJC0mUiSt8NFnqq7vg_3_8"/>
      <w:bookmarkStart w:id="820" w:name="Tc_jLKv-i3ynkqH6nKWOO0OHQ_3_5"/>
      <w:bookmarkStart w:id="821" w:name="Tc_8iEFiUTCJEGlj6ojDH-27Q_3_2"/>
      <w:bookmarkStart w:id="822" w:name="Tc_-a2qwYYvqUim9UOE4fBdXw_2_8"/>
      <w:bookmarkStart w:id="823" w:name="Tc_EhRSJ0x_vEu50W7jjf3qDA_2_5"/>
      <w:bookmarkStart w:id="824" w:name="Tc_Tsirkh5EbECJQsiqLDWk6g_2_2"/>
      <w:bookmarkStart w:id="825" w:name="Tc_j5aM9e580ESELw_zpzQbzg_1_2"/>
      <w:bookmarkStart w:id="826" w:name="_aa6cbd90_4fa4_42d4_b0b5_31205eb90b38"/>
      <w:bookmarkStart w:id="827" w:name="Tc_eMRR2RucQEKFMBPGOS2FCw_9_8"/>
      <w:bookmarkStart w:id="828" w:name="Tc_wYKYyxGxFEykqAYGRfagow_9_5"/>
      <w:bookmarkStart w:id="829" w:name="Tc_ypgaAFblK0untzYewlCnMg_9_2"/>
      <w:bookmarkStart w:id="830" w:name="Tc_QgbzR8cWgkq7cpv7iQuQjg_9_0"/>
      <w:bookmarkStart w:id="831" w:name="Tc_X6GHPtpI2UeQNe_Vpj5q_A_8_0"/>
      <w:bookmarkStart w:id="832" w:name="Tc_ChH5uZRSakqh-Ay-JYjBxQ_7_0"/>
      <w:bookmarkStart w:id="833" w:name="Tc_t6r6CTEoHUGBBS6kPGg9dg_6_0"/>
      <w:bookmarkStart w:id="834" w:name="Tc_Aw_Y5VRio0GuEAbhJ5aUng_5_0"/>
      <w:bookmarkStart w:id="835" w:name="Tc_0iYxPFd0OEKs2MRoJSWcfA_4_8"/>
      <w:bookmarkStart w:id="836" w:name="Tc_8tpRmNIEfEuaANAbEuG7TQ_4_5"/>
      <w:bookmarkStart w:id="837" w:name="Tc_SC_04uSjfkKLiFK6ofWYuA_4_2"/>
      <w:bookmarkStart w:id="838" w:name="Tc_r_ajcgrHmU-7HwtuDi7ENA_4_0"/>
      <w:bookmarkStart w:id="839" w:name="Tc_nJN1xljn8Ui0-IHxGkRvUA_3_8"/>
      <w:bookmarkStart w:id="840" w:name="Tc_60W7AKy2HkSsalg_-MjvLw_3_5"/>
      <w:bookmarkStart w:id="841" w:name="Tc_IKVQpVRXZ0OwezAZIz0yrw_3_2"/>
      <w:bookmarkStart w:id="842" w:name="Tc_kp_17LZdAUKCJjbinNTa1A_2_8"/>
      <w:bookmarkStart w:id="843" w:name="Tc_Bg9DrBXqEUyuEwcWZMJj9A_2_5"/>
      <w:bookmarkStart w:id="844" w:name="Tc_I6BRXt8QHk-AFDHH8Ypcbg_2_2"/>
      <w:bookmarkStart w:id="845" w:name="Tc_UaKNwZH_wECCaF0_AguUWQ_1_2"/>
      <w:bookmarkStart w:id="846" w:name="_cb450848_dcac_43f3_aba1_07a14ea7691e"/>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r>
        <w:rPr>
          <w:rFonts w:ascii="Times New Roman;Times;serif" w:hAnsi="Times New Roman;Times;serif"/>
          <w:sz w:val="20"/>
        </w:rPr>
        <w:t>Other intangible assets at June 30, 2026 and December 31, 2025 consisted of the following (in thousands):</w:t>
      </w:r>
    </w:p>
    <w:tbl>
      <w:tblPr>
        <w:tblW w:w="6562" w:type="dxa"/>
        <w:jc w:val="left"/>
        <w:tblInd w:w="0" w:type="dxa"/>
        <w:tblLayout w:type="fixed"/>
        <w:tblCellMar>
          <w:top w:w="0" w:type="dxa"/>
          <w:left w:w="0" w:type="dxa"/>
          <w:bottom w:w="0" w:type="dxa"/>
          <w:right w:w="0" w:type="dxa"/>
        </w:tblCellMar>
      </w:tblPr>
      <w:tblGrid>
        <w:gridCol w:w="2071"/>
        <w:gridCol w:w="346"/>
        <w:gridCol w:w="265"/>
        <w:gridCol w:w="981"/>
        <w:gridCol w:w="346"/>
        <w:gridCol w:w="240"/>
        <w:gridCol w:w="841"/>
        <w:gridCol w:w="346"/>
        <w:gridCol w:w="239"/>
        <w:gridCol w:w="887"/>
      </w:tblGrid>
      <w:tr>
        <w:trPr/>
        <w:tc>
          <w:tcPr>
            <w:tcW w:w="20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1315085" cy="175260"/>
                      <wp:effectExtent l="0" t="0" r="0" b="0"/>
                      <wp:wrapNone/>
                      <wp:docPr id="147" name="Frame146"/>
                      <a:graphic xmlns:a="http://schemas.openxmlformats.org/drawingml/2006/main">
                        <a:graphicData uri="http://schemas.microsoft.com/office/word/2010/wordprocessingShape">
                          <wps:wsp>
                            <wps:cNvSpPr txBox="1"/>
                            <wps:spPr>
                              <a:xfrm>
                                <a:off x="0" y="0"/>
                                <a:ext cx="1315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19710" cy="175260"/>
                      <wp:effectExtent l="0" t="0" r="0" b="0"/>
                      <wp:wrapNone/>
                      <wp:docPr id="148" name="Frame1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68275" cy="175260"/>
                      <wp:effectExtent l="0" t="0" r="0" b="0"/>
                      <wp:wrapNone/>
                      <wp:docPr id="149" name="Frame148"/>
                      <a:graphic xmlns:a="http://schemas.openxmlformats.org/drawingml/2006/main">
                        <a:graphicData uri="http://schemas.microsoft.com/office/word/2010/wordprocessingShape">
                          <wps:wsp>
                            <wps:cNvSpPr txBox="1"/>
                            <wps:spPr>
                              <a:xfrm>
                                <a:off x="0" y="0"/>
                                <a:ext cx="168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22935" cy="175260"/>
                      <wp:effectExtent l="0" t="0" r="0" b="0"/>
                      <wp:wrapNone/>
                      <wp:docPr id="150" name="Frame149"/>
                      <a:graphic xmlns:a="http://schemas.openxmlformats.org/drawingml/2006/main">
                        <a:graphicData uri="http://schemas.microsoft.com/office/word/2010/wordprocessingShape">
                          <wps:wsp>
                            <wps:cNvSpPr txBox="1"/>
                            <wps:spPr>
                              <a:xfrm>
                                <a:off x="0" y="0"/>
                                <a:ext cx="622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19710" cy="175260"/>
                      <wp:effectExtent l="0" t="0" r="0" b="0"/>
                      <wp:wrapNone/>
                      <wp:docPr id="151" name="Frame1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152400" cy="175260"/>
                      <wp:effectExtent l="0" t="0" r="0" b="0"/>
                      <wp:wrapNone/>
                      <wp:docPr id="152" name="Frame151"/>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534035" cy="175260"/>
                      <wp:effectExtent l="0" t="0" r="0" b="0"/>
                      <wp:wrapNone/>
                      <wp:docPr id="153" name="Frame152"/>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19710" cy="175260"/>
                      <wp:effectExtent l="0" t="0" r="0" b="0"/>
                      <wp:wrapNone/>
                      <wp:docPr id="154" name="Frame1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151765" cy="175260"/>
                      <wp:effectExtent l="0" t="0" r="0" b="0"/>
                      <wp:wrapNone/>
                      <wp:docPr id="155" name="Frame154"/>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563245" cy="175260"/>
                      <wp:effectExtent l="0" t="0" r="0" b="0"/>
                      <wp:wrapNone/>
                      <wp:docPr id="156" name="Frame155"/>
                      <a:graphic xmlns:a="http://schemas.openxmlformats.org/drawingml/2006/main">
                        <a:graphicData uri="http://schemas.microsoft.com/office/word/2010/wordprocessingShape">
                          <wps:wsp>
                            <wps:cNvSpPr txBox="1"/>
                            <wps:spPr>
                              <a:xfrm>
                                <a:off x="0" y="0"/>
                                <a:ext cx="563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145"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r>
      <w:tr>
        <w:trPr/>
        <w:tc>
          <w:tcPr>
            <w:tcW w:w="20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Carrying</w:t>
            </w:r>
          </w:p>
        </w:tc>
        <w:tc>
          <w:tcPr>
            <w:tcW w:w="346" w:type="dxa"/>
            <w:tcBorders/>
            <w:vAlign w:val="center"/>
          </w:tcPr>
          <w:p>
            <w:pPr>
              <w:pStyle w:val="TableContents"/>
              <w:bidi w:val="0"/>
              <w:spacing w:before="0" w:after="0"/>
              <w:ind w:left="0" w:right="0" w:hanging="0"/>
              <w:jc w:val="left"/>
              <w:rPr/>
            </w:pPr>
            <w:r>
              <w:rPr/>
              <w:t>​</w:t>
            </w:r>
          </w:p>
        </w:tc>
        <w:tc>
          <w:tcPr>
            <w:tcW w:w="10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0"/>
              <w:ind w:left="0" w:right="0" w:hanging="0"/>
              <w:jc w:val="left"/>
              <w:rPr/>
            </w:pPr>
            <w:r>
              <w:rPr/>
              <w:t>​</w:t>
            </w:r>
          </w:p>
        </w:tc>
        <w:tc>
          <w:tcPr>
            <w:tcW w:w="11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Carrying</w:t>
            </w:r>
          </w:p>
        </w:tc>
      </w:tr>
      <w:tr>
        <w:trPr/>
        <w:tc>
          <w:tcPr>
            <w:tcW w:w="20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2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left"/>
              <w:rPr/>
            </w:pPr>
            <w:r>
              <w:rPr/>
              <w:t>  ​ ​ ​</w:t>
            </w:r>
          </w:p>
        </w:tc>
        <w:tc>
          <w:tcPr>
            <w:tcW w:w="1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46" w:type="dxa"/>
            <w:tcBorders/>
            <w:vAlign w:val="center"/>
          </w:tcPr>
          <w:p>
            <w:pPr>
              <w:pStyle w:val="TableContents"/>
              <w:bidi w:val="0"/>
              <w:spacing w:before="0" w:after="0"/>
              <w:ind w:left="0" w:right="0" w:hanging="0"/>
              <w:jc w:val="left"/>
              <w:rPr/>
            </w:pPr>
            <w:r>
              <w:rPr/>
              <w:t>  ​ ​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20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Patents</w:t>
            </w:r>
          </w:p>
        </w:tc>
        <w:tc>
          <w:tcPr>
            <w:tcW w:w="346"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34,575</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(15,428)</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19,147</w:t>
            </w:r>
          </w:p>
        </w:tc>
      </w:tr>
      <w:tr>
        <w:trPr/>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Distribution agreements</w:t>
            </w:r>
          </w:p>
        </w:tc>
        <w:tc>
          <w:tcPr>
            <w:tcW w:w="34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 </w:t>
            </w:r>
          </w:p>
        </w:tc>
        <w:tc>
          <w:tcPr>
            <w:tcW w:w="9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3,250</w:t>
            </w:r>
          </w:p>
        </w:tc>
        <w:tc>
          <w:tcPr>
            <w:tcW w:w="34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(3,106)</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w:t>
            </w:r>
          </w:p>
        </w:tc>
      </w:tr>
      <w:tr>
        <w:trPr/>
        <w:tc>
          <w:tcPr>
            <w:tcW w:w="20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License agreements</w:t>
            </w:r>
          </w:p>
        </w:tc>
        <w:tc>
          <w:tcPr>
            <w:tcW w:w="346"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pPr>
            <w:r>
              <w:rPr/>
              <w:t> </w:t>
            </w:r>
          </w:p>
        </w:tc>
        <w:tc>
          <w:tcPr>
            <w:tcW w:w="9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14,616</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(10,958)</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3,658</w:t>
            </w:r>
          </w:p>
        </w:tc>
      </w:tr>
      <w:tr>
        <w:trPr/>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Trademarks</w:t>
            </w:r>
          </w:p>
        </w:tc>
        <w:tc>
          <w:tcPr>
            <w:tcW w:w="34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 </w:t>
            </w:r>
          </w:p>
        </w:tc>
        <w:tc>
          <w:tcPr>
            <w:tcW w:w="9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53,946</w:t>
            </w:r>
          </w:p>
        </w:tc>
        <w:tc>
          <w:tcPr>
            <w:tcW w:w="34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(27,703)</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26,243</w:t>
            </w:r>
          </w:p>
        </w:tc>
      </w:tr>
      <w:tr>
        <w:trPr/>
        <w:tc>
          <w:tcPr>
            <w:tcW w:w="20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lists</w:t>
            </w:r>
          </w:p>
        </w:tc>
        <w:tc>
          <w:tcPr>
            <w:tcW w:w="346" w:type="dxa"/>
            <w:tcBorders/>
            <w:shd w:fill="CCEEFF" w:val="clear"/>
            <w:vAlign w:val="center"/>
          </w:tcPr>
          <w:p>
            <w:pPr>
              <w:pStyle w:val="TableContents"/>
              <w:bidi w:val="0"/>
              <w:spacing w:before="0" w:after="0"/>
              <w:ind w:left="0" w:right="0" w:hanging="0"/>
              <w:jc w:val="left"/>
              <w:rPr/>
            </w:pPr>
            <w:r>
              <w:rPr/>
              <w:t>​</w:t>
            </w:r>
          </w:p>
        </w:tc>
        <w:tc>
          <w:tcPr>
            <w:tcW w:w="26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63,010</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(41,155)</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21,855</w:t>
            </w:r>
          </w:p>
        </w:tc>
      </w:tr>
      <w:tr>
        <w:trPr/>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26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169,397</w:t>
            </w:r>
          </w:p>
        </w:tc>
        <w:tc>
          <w:tcPr>
            <w:tcW w:w="346" w:type="dxa"/>
            <w:tcBorders/>
            <w:vAlign w:val="center"/>
          </w:tcPr>
          <w:p>
            <w:pPr>
              <w:pStyle w:val="TableContents"/>
              <w:bidi w:val="0"/>
              <w:spacing w:before="0" w:after="0"/>
              <w:ind w:left="0" w:right="0" w:hanging="0"/>
              <w:jc w:val="left"/>
              <w:rPr/>
            </w:pPr>
            <w:r>
              <w:rPr/>
              <w:t>​</w:t>
            </w:r>
          </w:p>
        </w:tc>
        <w:tc>
          <w:tcPr>
            <w:tcW w:w="24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(98,350)</w:t>
            </w:r>
          </w:p>
        </w:tc>
        <w:tc>
          <w:tcPr>
            <w:tcW w:w="346" w:type="dxa"/>
            <w:tcBorders/>
            <w:vAlign w:val="center"/>
          </w:tcPr>
          <w:p>
            <w:pPr>
              <w:pStyle w:val="TableContents"/>
              <w:bidi w:val="0"/>
              <w:spacing w:before="0" w:after="0"/>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71,047</w:t>
            </w:r>
          </w:p>
        </w:tc>
      </w:tr>
    </w:tbl>
    <w:p>
      <w:pPr>
        <w:pStyle w:val="TextBody"/>
        <w:bidi w:val="0"/>
        <w:spacing w:before="0" w:after="0"/>
        <w:ind w:left="0" w:right="0" w:hanging="0"/>
        <w:jc w:val="left"/>
        <w:rPr/>
      </w:pPr>
      <w:r>
        <w:rPr/>
        <w:t>​</w:t>
      </w:r>
    </w:p>
    <w:tbl>
      <w:tblPr>
        <w:tblW w:w="6562" w:type="dxa"/>
        <w:jc w:val="left"/>
        <w:tblInd w:w="0" w:type="dxa"/>
        <w:tblLayout w:type="fixed"/>
        <w:tblCellMar>
          <w:top w:w="0" w:type="dxa"/>
          <w:left w:w="0" w:type="dxa"/>
          <w:bottom w:w="0" w:type="dxa"/>
          <w:right w:w="0" w:type="dxa"/>
        </w:tblCellMar>
      </w:tblPr>
      <w:tblGrid>
        <w:gridCol w:w="2071"/>
        <w:gridCol w:w="346"/>
        <w:gridCol w:w="265"/>
        <w:gridCol w:w="981"/>
        <w:gridCol w:w="346"/>
        <w:gridCol w:w="240"/>
        <w:gridCol w:w="841"/>
        <w:gridCol w:w="346"/>
        <w:gridCol w:w="239"/>
        <w:gridCol w:w="887"/>
      </w:tblGrid>
      <w:tr>
        <w:trPr/>
        <w:tc>
          <w:tcPr>
            <w:tcW w:w="20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1315085" cy="175260"/>
                      <wp:effectExtent l="0" t="0" r="0" b="0"/>
                      <wp:wrapNone/>
                      <wp:docPr id="157" name="Frame156"/>
                      <a:graphic xmlns:a="http://schemas.openxmlformats.org/drawingml/2006/main">
                        <a:graphicData uri="http://schemas.microsoft.com/office/word/2010/wordprocessingShape">
                          <wps:wsp>
                            <wps:cNvSpPr txBox="1"/>
                            <wps:spPr>
                              <a:xfrm>
                                <a:off x="0" y="0"/>
                                <a:ext cx="1315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19710" cy="175260"/>
                      <wp:effectExtent l="0" t="0" r="0" b="0"/>
                      <wp:wrapNone/>
                      <wp:docPr id="158" name="Frame1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168275" cy="175260"/>
                      <wp:effectExtent l="0" t="0" r="0" b="0"/>
                      <wp:wrapNone/>
                      <wp:docPr id="159" name="Frame158"/>
                      <a:graphic xmlns:a="http://schemas.openxmlformats.org/drawingml/2006/main">
                        <a:graphicData uri="http://schemas.microsoft.com/office/word/2010/wordprocessingShape">
                          <wps:wsp>
                            <wps:cNvSpPr txBox="1"/>
                            <wps:spPr>
                              <a:xfrm>
                                <a:off x="0" y="0"/>
                                <a:ext cx="168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22935" cy="175260"/>
                      <wp:effectExtent l="0" t="0" r="0" b="0"/>
                      <wp:wrapNone/>
                      <wp:docPr id="160" name="Frame159"/>
                      <a:graphic xmlns:a="http://schemas.openxmlformats.org/drawingml/2006/main">
                        <a:graphicData uri="http://schemas.microsoft.com/office/word/2010/wordprocessingShape">
                          <wps:wsp>
                            <wps:cNvSpPr txBox="1"/>
                            <wps:spPr>
                              <a:xfrm>
                                <a:off x="0" y="0"/>
                                <a:ext cx="622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19710" cy="175260"/>
                      <wp:effectExtent l="0" t="0" r="0" b="0"/>
                      <wp:wrapNone/>
                      <wp:docPr id="161" name="Frame1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152400" cy="175260"/>
                      <wp:effectExtent l="0" t="0" r="0" b="0"/>
                      <wp:wrapNone/>
                      <wp:docPr id="162" name="Frame161"/>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534035" cy="175260"/>
                      <wp:effectExtent l="0" t="0" r="0" b="0"/>
                      <wp:wrapNone/>
                      <wp:docPr id="163" name="Frame162"/>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19710" cy="175260"/>
                      <wp:effectExtent l="0" t="0" r="0" b="0"/>
                      <wp:wrapNone/>
                      <wp:docPr id="164" name="Frame1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151765" cy="175260"/>
                      <wp:effectExtent l="0" t="0" r="0" b="0"/>
                      <wp:wrapNone/>
                      <wp:docPr id="165" name="Frame164"/>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563245" cy="175260"/>
                      <wp:effectExtent l="0" t="0" r="0" b="0"/>
                      <wp:wrapNone/>
                      <wp:docPr id="166" name="Frame165"/>
                      <a:graphic xmlns:a="http://schemas.openxmlformats.org/drawingml/2006/main">
                        <a:graphicData uri="http://schemas.microsoft.com/office/word/2010/wordprocessingShape">
                          <wps:wsp>
                            <wps:cNvSpPr txBox="1"/>
                            <wps:spPr>
                              <a:xfrm>
                                <a:off x="0" y="0"/>
                                <a:ext cx="563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145"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20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Carrying</w:t>
            </w:r>
          </w:p>
        </w:tc>
        <w:tc>
          <w:tcPr>
            <w:tcW w:w="346" w:type="dxa"/>
            <w:tcBorders/>
            <w:vAlign w:val="center"/>
          </w:tcPr>
          <w:p>
            <w:pPr>
              <w:pStyle w:val="TableContents"/>
              <w:bidi w:val="0"/>
              <w:spacing w:before="0" w:after="0"/>
              <w:ind w:left="0" w:right="0" w:hanging="0"/>
              <w:jc w:val="left"/>
              <w:rPr/>
            </w:pPr>
            <w:r>
              <w:rPr/>
              <w:t>​</w:t>
            </w:r>
          </w:p>
        </w:tc>
        <w:tc>
          <w:tcPr>
            <w:tcW w:w="10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0"/>
              <w:ind w:left="0" w:right="0" w:hanging="0"/>
              <w:jc w:val="left"/>
              <w:rPr/>
            </w:pPr>
            <w:r>
              <w:rPr/>
              <w:t>​</w:t>
            </w:r>
          </w:p>
        </w:tc>
        <w:tc>
          <w:tcPr>
            <w:tcW w:w="11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Carrying</w:t>
            </w:r>
          </w:p>
        </w:tc>
      </w:tr>
      <w:tr>
        <w:trPr/>
        <w:tc>
          <w:tcPr>
            <w:tcW w:w="20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2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left"/>
              <w:rPr/>
            </w:pPr>
            <w:r>
              <w:rPr/>
              <w:t>  ​ ​ ​</w:t>
            </w:r>
          </w:p>
        </w:tc>
        <w:tc>
          <w:tcPr>
            <w:tcW w:w="1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46" w:type="dxa"/>
            <w:tcBorders/>
            <w:vAlign w:val="center"/>
          </w:tcPr>
          <w:p>
            <w:pPr>
              <w:pStyle w:val="TableContents"/>
              <w:bidi w:val="0"/>
              <w:spacing w:before="0" w:after="0"/>
              <w:ind w:left="0" w:right="0" w:hanging="0"/>
              <w:jc w:val="left"/>
              <w:rPr/>
            </w:pPr>
            <w:r>
              <w:rPr/>
              <w:t>  ​ ​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20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Patents</w:t>
            </w:r>
          </w:p>
        </w:tc>
        <w:tc>
          <w:tcPr>
            <w:tcW w:w="346"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33,979</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(14,760)</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19,219</w:t>
            </w:r>
          </w:p>
        </w:tc>
      </w:tr>
      <w:tr>
        <w:trPr/>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Distribution agreements</w:t>
            </w:r>
          </w:p>
        </w:tc>
        <w:tc>
          <w:tcPr>
            <w:tcW w:w="34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 </w:t>
            </w:r>
          </w:p>
        </w:tc>
        <w:tc>
          <w:tcPr>
            <w:tcW w:w="9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3,250</w:t>
            </w:r>
          </w:p>
        </w:tc>
        <w:tc>
          <w:tcPr>
            <w:tcW w:w="34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(3,069)</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w:t>
            </w:r>
          </w:p>
        </w:tc>
      </w:tr>
      <w:tr>
        <w:trPr/>
        <w:tc>
          <w:tcPr>
            <w:tcW w:w="20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License agreements</w:t>
            </w:r>
          </w:p>
        </w:tc>
        <w:tc>
          <w:tcPr>
            <w:tcW w:w="346"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pPr>
            <w:r>
              <w:rPr/>
              <w:t> </w:t>
            </w:r>
          </w:p>
        </w:tc>
        <w:tc>
          <w:tcPr>
            <w:tcW w:w="9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14,590</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(10,218)</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4,372</w:t>
            </w:r>
          </w:p>
        </w:tc>
      </w:tr>
      <w:tr>
        <w:trPr/>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Trademarks</w:t>
            </w:r>
          </w:p>
        </w:tc>
        <w:tc>
          <w:tcPr>
            <w:tcW w:w="346"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 </w:t>
            </w:r>
          </w:p>
        </w:tc>
        <w:tc>
          <w:tcPr>
            <w:tcW w:w="9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52,556</w:t>
            </w:r>
          </w:p>
        </w:tc>
        <w:tc>
          <w:tcPr>
            <w:tcW w:w="34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(28,293)</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24,263</w:t>
            </w:r>
          </w:p>
        </w:tc>
      </w:tr>
      <w:tr>
        <w:trPr/>
        <w:tc>
          <w:tcPr>
            <w:tcW w:w="20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lists</w:t>
            </w:r>
          </w:p>
        </w:tc>
        <w:tc>
          <w:tcPr>
            <w:tcW w:w="346" w:type="dxa"/>
            <w:tcBorders/>
            <w:shd w:fill="CCEEFF" w:val="clear"/>
            <w:vAlign w:val="center"/>
          </w:tcPr>
          <w:p>
            <w:pPr>
              <w:pStyle w:val="TableContents"/>
              <w:bidi w:val="0"/>
              <w:spacing w:before="0" w:after="0"/>
              <w:ind w:left="0" w:right="0" w:hanging="0"/>
              <w:jc w:val="left"/>
              <w:rPr/>
            </w:pPr>
            <w:r>
              <w:rPr/>
              <w:t>​</w:t>
            </w:r>
          </w:p>
        </w:tc>
        <w:tc>
          <w:tcPr>
            <w:tcW w:w="26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63,775</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(40,096)</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23,679</w:t>
            </w:r>
          </w:p>
        </w:tc>
      </w:tr>
      <w:tr>
        <w:trPr/>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26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168,150</w:t>
            </w:r>
          </w:p>
        </w:tc>
        <w:tc>
          <w:tcPr>
            <w:tcW w:w="346" w:type="dxa"/>
            <w:tcBorders/>
            <w:vAlign w:val="center"/>
          </w:tcPr>
          <w:p>
            <w:pPr>
              <w:pStyle w:val="TableContents"/>
              <w:bidi w:val="0"/>
              <w:spacing w:before="0" w:after="0"/>
              <w:ind w:left="0" w:right="0" w:hanging="0"/>
              <w:jc w:val="left"/>
              <w:rPr/>
            </w:pPr>
            <w:r>
              <w:rPr/>
              <w:t>​</w:t>
            </w:r>
          </w:p>
        </w:tc>
        <w:tc>
          <w:tcPr>
            <w:tcW w:w="24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(96,436)</w:t>
            </w:r>
          </w:p>
        </w:tc>
        <w:tc>
          <w:tcPr>
            <w:tcW w:w="346" w:type="dxa"/>
            <w:tcBorders/>
            <w:vAlign w:val="center"/>
          </w:tcPr>
          <w:p>
            <w:pPr>
              <w:pStyle w:val="TableContents"/>
              <w:bidi w:val="0"/>
              <w:spacing w:before="0" w:after="0"/>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71,714</w:t>
            </w:r>
          </w:p>
        </w:tc>
      </w:tr>
    </w:tbl>
    <w:p>
      <w:pPr>
        <w:pStyle w:val="TextBody"/>
        <w:bidi w:val="0"/>
        <w:spacing w:before="0" w:after="0"/>
        <w:ind w:left="0" w:right="0" w:hanging="0"/>
        <w:jc w:val="left"/>
        <w:rPr/>
      </w:pPr>
      <w:r>
        <w:rPr/>
        <w:t>​</w:t>
      </w:r>
    </w:p>
    <w:p>
      <w:pPr>
        <w:pStyle w:val="TextBody"/>
        <w:bidi w:val="0"/>
        <w:spacing w:before="200" w:after="200"/>
        <w:ind w:left="0" w:right="0" w:hanging="0"/>
        <w:jc w:val="both"/>
        <w:rPr>
          <w:rFonts w:ascii="Times New Roman;Times;serif" w:hAnsi="Times New Roman;Times;serif"/>
          <w:sz w:val="20"/>
        </w:rPr>
      </w:pPr>
      <w:r>
        <w:rPr>
          <w:rFonts w:ascii="Times New Roman;Times;serif" w:hAnsi="Times New Roman;Times;serif"/>
          <w:sz w:val="20"/>
        </w:rPr>
        <w:t>Aggregate amortization expense for developed technology and other intangible assets for the three and six-month periods ended June 30, 2026 was $21.2 million and $41.9 million, respectively. Aggregate amortization expense for the three and six-month periods ended June 30, 2025 was $21.5 million and $41.5 million, respectively.</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shd w:fill="FFFFFF" w:val="clear"/>
        </w:rPr>
        <w:t>We evaluate long-lived assets, including amortizing intangible assets, for impairment whenever events or changes in circumstances indicate that their carrying amounts may not be recoverable. We perform the impairment analysis at the asset group for which the lowest level of identifiable cash flows is largely independent of the cash flows of other assets and liabilities. If a triggering event is identified, we determine the fair value of our amortizing assets based on estimated future cash flows discounted back to their present value using a discount rate that reflects the risk profiles of the underlying activities.</w:t>
      </w:r>
      <w:r>
        <w:rPr>
          <w:rFonts w:ascii="Times New Roman;Times;serif" w:hAnsi="Times New Roman;Times;serif"/>
          <w:sz w:val="20"/>
        </w:rPr>
        <w:t xml:space="preserve"> We did not identify indicators of impairment for our intangible assets based on our consideration of triggering events for the six-month periods ended June 30, 2026 and 2025, respectively.</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Estimated amortization expense for developed technology and other intangible assets for the next five years consisted of the following as of June 30, 2026 (in thousands):</w:t>
      </w:r>
    </w:p>
    <w:tbl>
      <w:tblPr>
        <w:tblW w:w="4952" w:type="dxa"/>
        <w:jc w:val="left"/>
        <w:tblInd w:w="0" w:type="dxa"/>
        <w:tblLayout w:type="fixed"/>
        <w:tblCellMar>
          <w:top w:w="0" w:type="dxa"/>
          <w:left w:w="0" w:type="dxa"/>
          <w:bottom w:w="0" w:type="dxa"/>
          <w:right w:w="0" w:type="dxa"/>
        </w:tblCellMar>
      </w:tblPr>
      <w:tblGrid>
        <w:gridCol w:w="2086"/>
        <w:gridCol w:w="346"/>
        <w:gridCol w:w="535"/>
        <w:gridCol w:w="1985"/>
      </w:tblGrid>
      <w:tr>
        <w:trPr/>
        <w:tc>
          <w:tcPr>
            <w:tcW w:w="20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324610" cy="175260"/>
                      <wp:effectExtent l="0" t="0" r="0" b="0"/>
                      <wp:wrapNone/>
                      <wp:docPr id="167" name="Frame166"/>
                      <a:graphic xmlns:a="http://schemas.openxmlformats.org/drawingml/2006/main">
                        <a:graphicData uri="http://schemas.microsoft.com/office/word/2010/wordprocessingShape">
                          <wps:wsp>
                            <wps:cNvSpPr txBox="1"/>
                            <wps:spPr>
                              <a:xfrm>
                                <a:off x="0" y="0"/>
                                <a:ext cx="1324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19710" cy="175260"/>
                      <wp:effectExtent l="0" t="0" r="0" b="0"/>
                      <wp:wrapNone/>
                      <wp:docPr id="168" name="Frame1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339725" cy="175260"/>
                      <wp:effectExtent l="0" t="0" r="0" b="0"/>
                      <wp:wrapNone/>
                      <wp:docPr id="169" name="Frame168"/>
                      <a:graphic xmlns:a="http://schemas.openxmlformats.org/drawingml/2006/main">
                        <a:graphicData uri="http://schemas.microsoft.com/office/word/2010/wordprocessingShape">
                          <wps:wsp>
                            <wps:cNvSpPr txBox="1"/>
                            <wps:spPr>
                              <a:xfrm>
                                <a:off x="0" y="0"/>
                                <a:ext cx="339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260475" cy="175260"/>
                      <wp:effectExtent l="0" t="0" r="0" b="0"/>
                      <wp:wrapNone/>
                      <wp:docPr id="170" name="Frame169"/>
                      <a:graphic xmlns:a="http://schemas.openxmlformats.org/drawingml/2006/main">
                        <a:graphicData uri="http://schemas.microsoft.com/office/word/2010/wordprocessingShape">
                          <wps:wsp>
                            <wps:cNvSpPr txBox="1"/>
                            <wps:spPr>
                              <a:xfrm>
                                <a:off x="0" y="0"/>
                                <a:ext cx="1260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Year ending December 31, </w:t>
            </w:r>
          </w:p>
        </w:tc>
        <w:tc>
          <w:tcPr>
            <w:tcW w:w="346" w:type="dxa"/>
            <w:tcBorders/>
            <w:vAlign w:val="center"/>
          </w:tcPr>
          <w:p>
            <w:pPr>
              <w:pStyle w:val="TableContents"/>
              <w:bidi w:val="0"/>
              <w:spacing w:before="0" w:after="0"/>
              <w:ind w:left="0" w:right="0" w:hanging="0"/>
              <w:jc w:val="center"/>
              <w:rPr/>
            </w:pPr>
            <w:r>
              <w:rPr/>
              <w:t>  ​ ​ ​</w:t>
            </w:r>
          </w:p>
        </w:tc>
        <w:tc>
          <w:tcPr>
            <w:tcW w:w="25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Estimated Amortization Expense</w:t>
            </w:r>
          </w:p>
        </w:tc>
      </w:tr>
      <w:tr>
        <w:trPr/>
        <w:tc>
          <w:tcPr>
            <w:tcW w:w="20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Remaining 2026</w:t>
            </w:r>
          </w:p>
        </w:tc>
        <w:tc>
          <w:tcPr>
            <w:tcW w:w="346" w:type="dxa"/>
            <w:tcBorders/>
            <w:shd w:fill="CCEEFF" w:val="clear"/>
            <w:vAlign w:val="center"/>
          </w:tcPr>
          <w:p>
            <w:pPr>
              <w:pStyle w:val="TableContents"/>
              <w:bidi w:val="0"/>
              <w:spacing w:before="0" w:after="0"/>
              <w:ind w:left="0" w:right="0" w:hanging="0"/>
              <w:jc w:val="left"/>
              <w:rPr/>
            </w:pPr>
            <w:r>
              <w:rPr/>
              <w:t>​</w:t>
            </w:r>
          </w:p>
        </w:tc>
        <w:tc>
          <w:tcPr>
            <w:tcW w:w="5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9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45,072</w:t>
            </w:r>
          </w:p>
        </w:tc>
      </w:tr>
      <w:tr>
        <w:trPr/>
        <w:tc>
          <w:tcPr>
            <w:tcW w:w="20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before="0" w:after="0"/>
              <w:ind w:left="0" w:right="0" w:hanging="0"/>
              <w:jc w:val="left"/>
              <w:rPr/>
            </w:pPr>
            <w:r>
              <w:rPr/>
              <w:t>​</w:t>
            </w:r>
          </w:p>
        </w:tc>
        <w:tc>
          <w:tcPr>
            <w:tcW w:w="535" w:type="dxa"/>
            <w:tcBorders/>
            <w:vAlign w:val="center"/>
          </w:tcPr>
          <w:p>
            <w:pPr>
              <w:pStyle w:val="TableContents"/>
              <w:bidi w:val="0"/>
              <w:spacing w:before="0" w:after="0"/>
              <w:ind w:left="0" w:right="0" w:hanging="0"/>
              <w:jc w:val="left"/>
              <w:rPr/>
            </w:pPr>
            <w:r>
              <w:rPr/>
              <w:t> </w:t>
            </w:r>
          </w:p>
        </w:tc>
        <w:tc>
          <w:tcPr>
            <w:tcW w:w="19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88,683</w:t>
            </w:r>
          </w:p>
        </w:tc>
      </w:tr>
      <w:tr>
        <w:trPr/>
        <w:tc>
          <w:tcPr>
            <w:tcW w:w="20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shd w:fill="CCEEFF" w:val="clear"/>
            <w:vAlign w:val="center"/>
          </w:tcPr>
          <w:p>
            <w:pPr>
              <w:pStyle w:val="TableContents"/>
              <w:bidi w:val="0"/>
              <w:spacing w:before="0" w:after="0"/>
              <w:ind w:left="0" w:right="0" w:hanging="0"/>
              <w:jc w:val="left"/>
              <w:rPr/>
            </w:pPr>
            <w:r>
              <w:rPr/>
              <w:t>​</w:t>
            </w:r>
          </w:p>
        </w:tc>
        <w:tc>
          <w:tcPr>
            <w:tcW w:w="535" w:type="dxa"/>
            <w:tcBorders/>
            <w:shd w:fill="CCEEFF" w:val="clear"/>
            <w:vAlign w:val="center"/>
          </w:tcPr>
          <w:p>
            <w:pPr>
              <w:pStyle w:val="TableContents"/>
              <w:bidi w:val="0"/>
              <w:spacing w:before="0" w:after="0"/>
              <w:ind w:left="0" w:right="0" w:hanging="0"/>
              <w:jc w:val="left"/>
              <w:rPr/>
            </w:pPr>
            <w:r>
              <w:rPr/>
              <w:t> </w:t>
            </w:r>
          </w:p>
        </w:tc>
        <w:tc>
          <w:tcPr>
            <w:tcW w:w="19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86,973</w:t>
            </w:r>
          </w:p>
        </w:tc>
      </w:tr>
      <w:tr>
        <w:trPr/>
        <w:tc>
          <w:tcPr>
            <w:tcW w:w="20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vAlign w:val="center"/>
          </w:tcPr>
          <w:p>
            <w:pPr>
              <w:pStyle w:val="TableContents"/>
              <w:bidi w:val="0"/>
              <w:spacing w:before="0" w:after="0"/>
              <w:ind w:left="0" w:right="0" w:hanging="0"/>
              <w:jc w:val="left"/>
              <w:rPr/>
            </w:pPr>
            <w:r>
              <w:rPr/>
              <w:t>​</w:t>
            </w:r>
          </w:p>
        </w:tc>
        <w:tc>
          <w:tcPr>
            <w:tcW w:w="535" w:type="dxa"/>
            <w:tcBorders/>
            <w:vAlign w:val="center"/>
          </w:tcPr>
          <w:p>
            <w:pPr>
              <w:pStyle w:val="TableContents"/>
              <w:bidi w:val="0"/>
              <w:spacing w:before="0" w:after="0"/>
              <w:ind w:left="0" w:right="0" w:hanging="0"/>
              <w:jc w:val="left"/>
              <w:rPr/>
            </w:pPr>
            <w:r>
              <w:rPr/>
              <w:t>​</w:t>
            </w:r>
          </w:p>
        </w:tc>
        <w:tc>
          <w:tcPr>
            <w:tcW w:w="19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77,270</w:t>
            </w:r>
          </w:p>
        </w:tc>
      </w:tr>
      <w:tr>
        <w:trPr/>
        <w:tc>
          <w:tcPr>
            <w:tcW w:w="20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346" w:type="dxa"/>
            <w:tcBorders/>
            <w:shd w:fill="CCEEFF" w:val="clear"/>
            <w:vAlign w:val="center"/>
          </w:tcPr>
          <w:p>
            <w:pPr>
              <w:pStyle w:val="TableContents"/>
              <w:bidi w:val="0"/>
              <w:spacing w:before="0" w:after="0"/>
              <w:ind w:left="0" w:right="0" w:hanging="0"/>
              <w:jc w:val="left"/>
              <w:rPr/>
            </w:pPr>
            <w:r>
              <w:rPr/>
              <w:t>​</w:t>
            </w:r>
          </w:p>
        </w:tc>
        <w:tc>
          <w:tcPr>
            <w:tcW w:w="535" w:type="dxa"/>
            <w:tcBorders/>
            <w:shd w:fill="CCEEFF" w:val="clear"/>
            <w:vAlign w:val="center"/>
          </w:tcPr>
          <w:p>
            <w:pPr>
              <w:pStyle w:val="TableContents"/>
              <w:bidi w:val="0"/>
              <w:spacing w:before="0" w:after="0"/>
              <w:ind w:left="0" w:right="0" w:hanging="0"/>
              <w:jc w:val="left"/>
              <w:rPr/>
            </w:pPr>
            <w:r>
              <w:rPr/>
              <w:t> </w:t>
            </w:r>
          </w:p>
        </w:tc>
        <w:tc>
          <w:tcPr>
            <w:tcW w:w="1985"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65,198</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b/>
          <w:sz w:val="20"/>
        </w:rPr>
        <w:t>7.   Income Taxes.</w:t>
      </w:r>
      <w:r>
        <w:rPr>
          <w:rFonts w:ascii="Times New Roman;Times;serif" w:hAnsi="Times New Roman;Times;serif"/>
          <w:sz w:val="20"/>
        </w:rPr>
        <w:t xml:space="preserve"> On July 4, 2025, the U.S. enacted a budget reconciliation package (known as the “One Big Beautiful Bill Act” or “OBBBA”) which includes a broad range of tax provisions affecting businesses. The legislation has multiple effective dates, with certain provisions effective in 2025 and others implemented through 2027. The Company has included the estimated impacts of the bill in the consolidated financial statements for the six-month period ended June 30, 2026. We will continue to evaluate the full impact of these legislative changes as additional guidance and results become available.</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Our provision for income taxes for the three-month periods ended June 30, 2026 and 2025 was a tax expense of $12.5 million and $10.8 million, respectively, which resulted in an effective tax rate of 24.4% and 24.9%, respectively. Our provision for income taxes for the six-month periods ended June 30, 2026 and 2025 was a tax expense of $25.1 million and $18.6 million, respectively, which resulted in an effective tax rate of 23.9% and 22.9%, respectively. The decrease in the effective income tax rate for the three-month period ended June 30, 2026, when compared to the prior-year period, was primarily due to increased benefit from discrete items such as deferred compensation. The increase in the effective income tax rate for the six-month period ended June 30, 2026, when compared to the prior-year period, was primarily due to decreased benefit from discrete items such as share-based compensation and the tax impacts of recent acquisition and divestiture activity. The increase in income tax expense for the three and six-month periods ended June 30, 2026, when compared to the prior-year periods, was primarily due to increased pre-tax book income and rate impact items previously listed. Our effective tax rate differs from the U.S. statutory rate primarily due to the impact of net controlled foreign corporation (“CFC”) tested income (“NCTI”) and Subpart F inclusions, state income taxes, foreign taxes, other nondeductible permanent items and discrete items (such as share-based compensation).</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Organization for Economic Cooperation and Development (“OECD”) Pillar 2 global minimum tax rules, which generally provide for a minimum effective tax rate of 15%, are intended to apply for tax years beginning in 2024. On February 2, 2023, the OECD issued administrative guidance providing transition and safe harbor rules around the implementation of the Pillar 2 global minimum tax, and on January 5, 2026, the OECD issued Side-by-Side guidance extending these safe harbor rules and exempting certain US multinational enterprises from several top-up taxes under Pillar Two. The safe harbor transition period will apply to fiscal years beginning on or before December 31, 2027. We are closely monitoring developments and evaluating the impact these new rules are anticipated to have on our tax rate, including eligibility to qualify for these safe harbor rules. Based on year-to-date financial results and safe harbor rules, we currently do not anticipate the Pillar 2 laws to have a material impact on our effective tax rate.</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b/>
          <w:sz w:val="20"/>
        </w:rPr>
      </w:pPr>
      <w:bookmarkStart w:id="847" w:name="Tc_UBYlo2BqOUGGNoCT76ZVng_7_2"/>
      <w:bookmarkStart w:id="848" w:name="Tc__KhKXqNhakWPjXd2lpKkAA_7_0"/>
      <w:bookmarkStart w:id="849" w:name="Tc_67zgkk74dU6trzKaKs-c-Q_6_0"/>
      <w:bookmarkStart w:id="850" w:name="Tc_KWne3L2WTU-WyE1xvCo-bA_5_3"/>
      <w:bookmarkStart w:id="851" w:name="Tc_aqnvt6TmYE2Jloj0INrTkg_5_0"/>
      <w:bookmarkStart w:id="852" w:name="Tc_-qEmaLk5q0a1lS9DDwvZUw_4_3"/>
      <w:bookmarkStart w:id="853" w:name="Tc_rZWGiCLjoU2RfoEAyv7zTQ_4_0"/>
      <w:bookmarkStart w:id="854" w:name="Tc_VQFho4QWZkW24l37VGVkdA_3_3"/>
      <w:bookmarkStart w:id="855" w:name="Tc_RV1vCie5jECoVEc9WcWV-w_3_2"/>
      <w:bookmarkStart w:id="856" w:name="Tc_C9DVZtZk2UejZ53RnsUPGA_3_0"/>
      <w:bookmarkStart w:id="857" w:name="Tc_uD5p1gWLmEqE8Jhg1KHFOg_2_2"/>
      <w:bookmarkStart w:id="858" w:name="Tc_baeOlYYXKUWOBssse3Bgpw_2_0"/>
      <w:bookmarkStart w:id="859" w:name="Tc_UdoKtrJKtU6OzLwzEzeRUQ_1_2"/>
      <w:bookmarkStart w:id="860" w:name="Tc_gklKEXQI7EiuRttw_L3JnA_1_0"/>
      <w:bookmarkStart w:id="861" w:name="_2f7fae18_7275_456e_9021_1884971cd9cc"/>
      <w:bookmarkStart w:id="862" w:name="Tc_Z5hwHmGQmEeoUTX8A9I1qQ_6_5"/>
      <w:bookmarkStart w:id="863" w:name="Tc_tKVk6_MXtE6nNqdbO1V4rg_6_2"/>
      <w:bookmarkStart w:id="864" w:name="Tc_mR8pBUKi20qk0lXtzb9xNg_6_0"/>
      <w:bookmarkStart w:id="865" w:name="Tc_OAgvNJVv3U2V7JlnAN0JjQ_5_6"/>
      <w:bookmarkStart w:id="866" w:name="Tc_ldSWrR--8U6UfdcEdep9fA_5_3"/>
      <w:bookmarkStart w:id="867" w:name="Tc_XRMJvjbknEGLeKS7ZuFjRg_5_0"/>
      <w:bookmarkStart w:id="868" w:name="Tc_UWNqly8wk0qRW4woEhjLkg_4_0"/>
      <w:bookmarkStart w:id="869" w:name="Tc_qDGcVGnIyEy8UNuZPTUrrQ_3_0"/>
      <w:bookmarkStart w:id="870" w:name="Tc_BV5RgzF-Ck-5TLdEZTNG3Q_2_5"/>
      <w:bookmarkStart w:id="871" w:name="Tc_zfKjlFc_wkmawWYhcZWfng_2_2"/>
      <w:bookmarkStart w:id="872" w:name="Tc_vAVguDnxp0uSm6MgRPCu2Q_2_0"/>
      <w:bookmarkStart w:id="873" w:name="Tc_U8UcKTZZSEeWG_-y49uWiw_1_5"/>
      <w:bookmarkStart w:id="874" w:name="Tc_vSU7HaIG_EO_XJ3NmRAYcQ_1_2"/>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r>
        <w:rPr>
          <w:rFonts w:ascii="Times New Roman;Times;serif" w:hAnsi="Times New Roman;Times;serif"/>
          <w:b/>
          <w:sz w:val="20"/>
        </w:rPr>
        <w:t xml:space="preserve">8.   Debt. </w:t>
      </w:r>
      <w:r>
        <w:rPr>
          <w:rFonts w:ascii="Times New Roman;Times;serif" w:hAnsi="Times New Roman;Times;serif"/>
          <w:b w:val="false"/>
          <w:sz w:val="20"/>
        </w:rPr>
        <w:t>Principal balances outstanding under our long-term debt obligations as of June 30, 2026 and December 31, 2025 consisted of the following (in thousands):</w:t>
      </w:r>
    </w:p>
    <w:p>
      <w:pPr>
        <w:pStyle w:val="TextBody"/>
        <w:bidi w:val="0"/>
        <w:spacing w:before="0" w:after="0"/>
        <w:ind w:left="0" w:right="0" w:hanging="0"/>
        <w:jc w:val="left"/>
        <w:rPr/>
      </w:pPr>
      <w:r>
        <w:rPr/>
        <w:t>​</w:t>
      </w:r>
    </w:p>
    <w:tbl>
      <w:tblPr>
        <w:tblW w:w="6500" w:type="dxa"/>
        <w:jc w:val="left"/>
        <w:tblInd w:w="0" w:type="dxa"/>
        <w:tblLayout w:type="fixed"/>
        <w:tblCellMar>
          <w:top w:w="0" w:type="dxa"/>
          <w:left w:w="0" w:type="dxa"/>
          <w:bottom w:w="0" w:type="dxa"/>
          <w:right w:w="0" w:type="dxa"/>
        </w:tblCellMar>
      </w:tblPr>
      <w:tblGrid>
        <w:gridCol w:w="3136"/>
        <w:gridCol w:w="346"/>
        <w:gridCol w:w="239"/>
        <w:gridCol w:w="887"/>
        <w:gridCol w:w="346"/>
        <w:gridCol w:w="297"/>
        <w:gridCol w:w="1249"/>
      </w:tblGrid>
      <w:tr>
        <w:trPr/>
        <w:tc>
          <w:tcPr>
            <w:tcW w:w="31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1991360" cy="175260"/>
                      <wp:effectExtent l="0" t="0" r="0" b="0"/>
                      <wp:wrapNone/>
                      <wp:docPr id="171" name="Frame170"/>
                      <a:graphic xmlns:a="http://schemas.openxmlformats.org/drawingml/2006/main">
                        <a:graphicData uri="http://schemas.microsoft.com/office/word/2010/wordprocessingShape">
                          <wps:wsp>
                            <wps:cNvSpPr txBox="1"/>
                            <wps:spPr>
                              <a:xfrm>
                                <a:off x="0" y="0"/>
                                <a:ext cx="1991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19710" cy="175260"/>
                      <wp:effectExtent l="0" t="0" r="0" b="0"/>
                      <wp:wrapNone/>
                      <wp:docPr id="172" name="Frame1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151765" cy="175260"/>
                      <wp:effectExtent l="0" t="0" r="0" b="0"/>
                      <wp:wrapNone/>
                      <wp:docPr id="173" name="Frame172"/>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563245" cy="175260"/>
                      <wp:effectExtent l="0" t="0" r="0" b="0"/>
                      <wp:wrapNone/>
                      <wp:docPr id="174" name="Frame173"/>
                      <a:graphic xmlns:a="http://schemas.openxmlformats.org/drawingml/2006/main">
                        <a:graphicData uri="http://schemas.microsoft.com/office/word/2010/wordprocessingShape">
                          <wps:wsp>
                            <wps:cNvSpPr txBox="1"/>
                            <wps:spPr>
                              <a:xfrm>
                                <a:off x="0" y="0"/>
                                <a:ext cx="5632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19710" cy="175260"/>
                      <wp:effectExtent l="0" t="0" r="0" b="0"/>
                      <wp:wrapNone/>
                      <wp:docPr id="175" name="Frame1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188595" cy="175260"/>
                      <wp:effectExtent l="0" t="0" r="0" b="0"/>
                      <wp:wrapNone/>
                      <wp:docPr id="176" name="Frame175"/>
                      <a:graphic xmlns:a="http://schemas.openxmlformats.org/drawingml/2006/main">
                        <a:graphicData uri="http://schemas.microsoft.com/office/word/2010/wordprocessingShape">
                          <wps:wsp>
                            <wps:cNvSpPr txBox="1"/>
                            <wps:spPr>
                              <a:xfrm>
                                <a:off x="0" y="0"/>
                                <a:ext cx="1885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793115" cy="175260"/>
                      <wp:effectExtent l="0" t="0" r="0" b="0"/>
                      <wp:wrapNone/>
                      <wp:docPr id="177" name="Frame176"/>
                      <a:graphic xmlns:a="http://schemas.openxmlformats.org/drawingml/2006/main">
                        <a:graphicData uri="http://schemas.microsoft.com/office/word/2010/wordprocessingShape">
                          <wps:wsp>
                            <wps:cNvSpPr txBox="1"/>
                            <wps:spPr>
                              <a:xfrm>
                                <a:off x="0" y="0"/>
                                <a:ext cx="793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1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1"/>
              <w:ind w:left="0" w:right="0" w:hanging="0"/>
              <w:jc w:val="left"/>
              <w:rPr/>
            </w:pPr>
            <w:r>
              <w:rPr/>
              <w:t>  ​ ​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31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Convertible notes</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747,500</w:t>
            </w:r>
          </w:p>
        </w:tc>
        <w:tc>
          <w:tcPr>
            <w:tcW w:w="34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747,500</w:t>
            </w:r>
          </w:p>
        </w:tc>
      </w:tr>
      <w:tr>
        <w:trPr/>
        <w:tc>
          <w:tcPr>
            <w:tcW w:w="31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unamortized debt issuance costs</w:t>
            </w:r>
          </w:p>
        </w:tc>
        <w:tc>
          <w:tcPr>
            <w:tcW w:w="346" w:type="dxa"/>
            <w:tcBorders/>
            <w:vAlign w:val="center"/>
          </w:tcPr>
          <w:p>
            <w:pPr>
              <w:pStyle w:val="TableContents"/>
              <w:bidi w:val="0"/>
              <w:spacing w:before="0" w:after="1"/>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(11,242)</w:t>
            </w:r>
          </w:p>
        </w:tc>
        <w:tc>
          <w:tcPr>
            <w:tcW w:w="346" w:type="dxa"/>
            <w:tcBorders/>
            <w:vAlign w:val="center"/>
          </w:tcPr>
          <w:p>
            <w:pPr>
              <w:pStyle w:val="TableContents"/>
              <w:bidi w:val="0"/>
              <w:spacing w:before="0" w:after="1"/>
              <w:ind w:left="0" w:right="0" w:hanging="0"/>
              <w:jc w:val="left"/>
              <w:rPr/>
            </w:pPr>
            <w:r>
              <w:rPr/>
              <w:t>​</w:t>
            </w:r>
          </w:p>
        </w:tc>
        <w:tc>
          <w:tcPr>
            <w:tcW w:w="29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4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(13,462)</w:t>
            </w:r>
          </w:p>
        </w:tc>
      </w:tr>
      <w:tr>
        <w:trPr/>
        <w:tc>
          <w:tcPr>
            <w:tcW w:w="31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long-term debt</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 </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736,258</w:t>
            </w:r>
          </w:p>
        </w:tc>
        <w:tc>
          <w:tcPr>
            <w:tcW w:w="34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pPr>
            <w:r>
              <w:rPr/>
              <w:t> </w:t>
            </w:r>
          </w:p>
        </w:tc>
        <w:tc>
          <w:tcPr>
            <w:tcW w:w="12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734,038</w:t>
            </w:r>
          </w:p>
        </w:tc>
      </w:tr>
      <w:tr>
        <w:trPr/>
        <w:tc>
          <w:tcPr>
            <w:tcW w:w="31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current portion</w:t>
            </w:r>
          </w:p>
        </w:tc>
        <w:tc>
          <w:tcPr>
            <w:tcW w:w="346" w:type="dxa"/>
            <w:tcBorders/>
            <w:vAlign w:val="center"/>
          </w:tcPr>
          <w:p>
            <w:pPr>
              <w:pStyle w:val="TableContents"/>
              <w:bidi w:val="0"/>
              <w:spacing w:before="0" w:after="1"/>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9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4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31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Long-term portion</w:t>
            </w:r>
          </w:p>
        </w:tc>
        <w:tc>
          <w:tcPr>
            <w:tcW w:w="346" w:type="dxa"/>
            <w:tcBorders/>
            <w:shd w:fill="CCEEFF" w:val="clear"/>
            <w:vAlign w:val="center"/>
          </w:tcPr>
          <w:p>
            <w:pPr>
              <w:pStyle w:val="TableContents"/>
              <w:bidi w:val="0"/>
              <w:spacing w:before="0" w:after="1"/>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736,258</w:t>
            </w:r>
          </w:p>
        </w:tc>
        <w:tc>
          <w:tcPr>
            <w:tcW w:w="346" w:type="dxa"/>
            <w:tcBorders/>
            <w:shd w:fill="CCEEFF" w:val="clear"/>
            <w:vAlign w:val="center"/>
          </w:tcPr>
          <w:p>
            <w:pPr>
              <w:pStyle w:val="TableContents"/>
              <w:bidi w:val="0"/>
              <w:spacing w:before="0" w:after="1"/>
              <w:ind w:left="0" w:right="0" w:hanging="0"/>
              <w:jc w:val="left"/>
              <w:rPr/>
            </w:pPr>
            <w:r>
              <w:rPr/>
              <w:t>​</w:t>
            </w:r>
          </w:p>
        </w:tc>
        <w:tc>
          <w:tcPr>
            <w:tcW w:w="29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734,038</w:t>
            </w:r>
          </w:p>
        </w:tc>
      </w:tr>
    </w:tbl>
    <w:p>
      <w:pPr>
        <w:pStyle w:val="TextBody"/>
        <w:bidi w:val="0"/>
        <w:spacing w:before="0" w:after="0"/>
        <w:ind w:left="0" w:right="0" w:hanging="0"/>
        <w:jc w:val="left"/>
        <w:rPr/>
      </w:pPr>
      <w:r>
        <w:rPr/>
        <w:t>​</w:t>
      </w:r>
    </w:p>
    <w:p>
      <w:pPr>
        <w:pStyle w:val="TextBody"/>
        <w:bidi w:val="0"/>
        <w:spacing w:before="200" w:after="200"/>
        <w:ind w:left="0" w:right="0" w:hanging="0"/>
        <w:jc w:val="both"/>
        <w:rPr>
          <w:rFonts w:ascii="Times New Roman;Times;serif" w:hAnsi="Times New Roman;Times;serif"/>
          <w:sz w:val="20"/>
        </w:rPr>
      </w:pPr>
      <w:r>
        <w:rPr>
          <w:rFonts w:ascii="Times New Roman;Times;serif" w:hAnsi="Times New Roman;Times;serif"/>
          <w:sz w:val="20"/>
        </w:rPr>
        <w:t>Future minimum principal payments on our long-term debt, as of June 30, 2026, were as follows (in thousands):</w:t>
      </w:r>
    </w:p>
    <w:tbl>
      <w:tblPr>
        <w:tblW w:w="5418" w:type="dxa"/>
        <w:jc w:val="left"/>
        <w:tblInd w:w="0" w:type="dxa"/>
        <w:tblLayout w:type="fixed"/>
        <w:tblCellMar>
          <w:top w:w="0" w:type="dxa"/>
          <w:left w:w="0" w:type="dxa"/>
          <w:bottom w:w="0" w:type="dxa"/>
          <w:right w:w="0" w:type="dxa"/>
        </w:tblCellMar>
      </w:tblPr>
      <w:tblGrid>
        <w:gridCol w:w="3511"/>
        <w:gridCol w:w="346"/>
        <w:gridCol w:w="299"/>
        <w:gridCol w:w="1262"/>
      </w:tblGrid>
      <w:tr>
        <w:trPr/>
        <w:tc>
          <w:tcPr>
            <w:tcW w:w="3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229485" cy="175260"/>
                      <wp:effectExtent l="0" t="0" r="0" b="0"/>
                      <wp:wrapNone/>
                      <wp:docPr id="178" name="Frame177"/>
                      <a:graphic xmlns:a="http://schemas.openxmlformats.org/drawingml/2006/main">
                        <a:graphicData uri="http://schemas.microsoft.com/office/word/2010/wordprocessingShape">
                          <wps:wsp>
                            <wps:cNvSpPr txBox="1"/>
                            <wps:spPr>
                              <a:xfrm>
                                <a:off x="0" y="0"/>
                                <a:ext cx="2229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19710" cy="175260"/>
                      <wp:effectExtent l="0" t="0" r="0" b="0"/>
                      <wp:wrapNone/>
                      <wp:docPr id="179" name="Frame1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189865" cy="175260"/>
                      <wp:effectExtent l="0" t="0" r="0" b="0"/>
                      <wp:wrapNone/>
                      <wp:docPr id="180" name="Frame179"/>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801370" cy="175260"/>
                      <wp:effectExtent l="0" t="0" r="0" b="0"/>
                      <wp:wrapNone/>
                      <wp:docPr id="181" name="Frame180"/>
                      <a:graphic xmlns:a="http://schemas.openxmlformats.org/drawingml/2006/main">
                        <a:graphicData uri="http://schemas.microsoft.com/office/word/2010/wordprocessingShape">
                          <wps:wsp>
                            <wps:cNvSpPr txBox="1"/>
                            <wps:spPr>
                              <a:xfrm>
                                <a:off x="0" y="0"/>
                                <a:ext cx="801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Year Ending</w:t>
            </w:r>
          </w:p>
        </w:tc>
        <w:tc>
          <w:tcPr>
            <w:tcW w:w="346" w:type="dxa"/>
            <w:tcBorders/>
            <w:vAlign w:val="center"/>
          </w:tcPr>
          <w:p>
            <w:pPr>
              <w:pStyle w:val="TableContents"/>
              <w:bidi w:val="0"/>
              <w:spacing w:before="0" w:after="0"/>
              <w:ind w:left="0" w:right="0" w:hanging="0"/>
              <w:jc w:val="left"/>
              <w:rPr/>
            </w:pPr>
            <w:r>
              <w:rPr/>
              <w:t>​</w:t>
            </w:r>
          </w:p>
        </w:tc>
        <w:tc>
          <w:tcPr>
            <w:tcW w:w="156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Future Minimum </w:t>
            </w:r>
          </w:p>
        </w:tc>
      </w:tr>
      <w:tr>
        <w:trPr/>
        <w:tc>
          <w:tcPr>
            <w:tcW w:w="35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December 31,</w:t>
            </w:r>
          </w:p>
        </w:tc>
        <w:tc>
          <w:tcPr>
            <w:tcW w:w="346" w:type="dxa"/>
            <w:tcBorders/>
            <w:vAlign w:val="center"/>
          </w:tcPr>
          <w:p>
            <w:pPr>
              <w:pStyle w:val="TableContents"/>
              <w:bidi w:val="0"/>
              <w:spacing w:before="0" w:after="0"/>
              <w:ind w:left="0" w:right="0" w:hanging="0"/>
              <w:jc w:val="left"/>
              <w:rPr/>
            </w:pPr>
            <w:r>
              <w:rPr/>
              <w:t>  ​ ​ ​</w:t>
            </w:r>
          </w:p>
        </w:tc>
        <w:tc>
          <w:tcPr>
            <w:tcW w:w="15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Principal Payments</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Remaining 2026</w:t>
            </w:r>
          </w:p>
        </w:tc>
        <w:tc>
          <w:tcPr>
            <w:tcW w:w="346" w:type="dxa"/>
            <w:tcBorders/>
            <w:shd w:fill="CCEEFF" w:val="clear"/>
            <w:vAlign w:val="center"/>
          </w:tcPr>
          <w:p>
            <w:pPr>
              <w:pStyle w:val="TableContents"/>
              <w:bidi w:val="0"/>
              <w:spacing w:before="0" w:after="0"/>
              <w:ind w:left="0" w:right="0" w:hanging="0"/>
              <w:jc w:val="left"/>
              <w:rPr/>
            </w:pPr>
            <w:r>
              <w:rPr/>
              <w:t> </w:t>
            </w:r>
          </w:p>
        </w:tc>
        <w:tc>
          <w:tcPr>
            <w:tcW w:w="2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2" w:type="dxa"/>
            <w:tcBorders/>
            <w:shd w:fill="CCEEFF" w:val="clear"/>
            <w:vAlign w:val="center"/>
          </w:tcPr>
          <w:p>
            <w:pPr>
              <w:pStyle w:val="TableContents"/>
              <w:bidi w:val="0"/>
              <w:spacing w:before="0" w:after="0"/>
              <w:ind w:left="0" w:right="0" w:hanging="0"/>
              <w:jc w:val="right"/>
              <w:rPr/>
            </w:pPr>
            <w:r>
              <w:rPr/>
              <w:t>—</w: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pPr>
            <w:r>
              <w:rPr/>
              <w:t>​</w:t>
            </w:r>
          </w:p>
        </w:tc>
        <w:tc>
          <w:tcPr>
            <w:tcW w:w="1262" w:type="dxa"/>
            <w:tcBorders/>
            <w:vAlign w:val="center"/>
          </w:tcPr>
          <w:p>
            <w:pPr>
              <w:pStyle w:val="TableContents"/>
              <w:bidi w:val="0"/>
              <w:spacing w:before="0" w:after="0"/>
              <w:ind w:left="0" w:right="0" w:hanging="0"/>
              <w:jc w:val="right"/>
              <w:rPr/>
            </w:pPr>
            <w:r>
              <w:rPr/>
              <w:t>—</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pPr>
            <w:r>
              <w:rPr/>
              <w:t>​</w:t>
            </w:r>
          </w:p>
        </w:tc>
        <w:tc>
          <w:tcPr>
            <w:tcW w:w="1262" w:type="dxa"/>
            <w:tcBorders/>
            <w:shd w:fill="CCEEFF" w:val="clear"/>
            <w:vAlign w:val="center"/>
          </w:tcPr>
          <w:p>
            <w:pPr>
              <w:pStyle w:val="TableContents"/>
              <w:bidi w:val="0"/>
              <w:spacing w:before="0" w:after="0"/>
              <w:ind w:left="0" w:right="0" w:hanging="0"/>
              <w:jc w:val="right"/>
              <w:rPr/>
            </w:pPr>
            <w:r>
              <w:rPr/>
              <w:t>—</w: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vAlign w:val="center"/>
          </w:tcPr>
          <w:p>
            <w:pPr>
              <w:pStyle w:val="TableContents"/>
              <w:bidi w:val="0"/>
              <w:spacing w:before="0" w:after="0"/>
              <w:ind w:left="0" w:right="0" w:hanging="0"/>
              <w:jc w:val="left"/>
              <w:rPr/>
            </w:pPr>
            <w:r>
              <w:rPr/>
              <w:t>​</w:t>
            </w:r>
          </w:p>
        </w:tc>
        <w:tc>
          <w:tcPr>
            <w:tcW w:w="29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747,500</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future minimum principal payments</w:t>
            </w:r>
          </w:p>
        </w:tc>
        <w:tc>
          <w:tcPr>
            <w:tcW w:w="346" w:type="dxa"/>
            <w:tcBorders/>
            <w:shd w:fill="CCEEFF" w:val="clear"/>
            <w:vAlign w:val="center"/>
          </w:tcPr>
          <w:p>
            <w:pPr>
              <w:pStyle w:val="TableContents"/>
              <w:bidi w:val="0"/>
              <w:spacing w:before="0" w:after="0"/>
              <w:ind w:left="0" w:right="0" w:hanging="0"/>
              <w:jc w:val="left"/>
              <w:rPr/>
            </w:pPr>
            <w:r>
              <w:rPr/>
              <w:t>​</w:t>
            </w:r>
          </w:p>
        </w:tc>
        <w:tc>
          <w:tcPr>
            <w:tcW w:w="29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2"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747,500</w:t>
            </w:r>
          </w:p>
        </w:tc>
      </w:tr>
    </w:tbl>
    <w:p>
      <w:pPr>
        <w:pStyle w:val="TextBody"/>
        <w:bidi w:val="0"/>
        <w:spacing w:before="0" w:after="0"/>
        <w:ind w:left="0" w:right="0" w:hanging="0"/>
        <w:jc w:val="left"/>
        <w:rPr/>
      </w:pPr>
      <w:r>
        <w:rPr/>
        <w:t>​</w:t>
      </w:r>
    </w:p>
    <w:p>
      <w:pPr>
        <w:pStyle w:val="TextBody"/>
        <w:pBdr/>
        <w:shd w:fill="FFFFFF" w:val="clear"/>
        <w:bidi w:val="0"/>
        <w:spacing w:before="200" w:after="0"/>
        <w:ind w:left="0" w:right="0" w:hanging="0"/>
        <w:jc w:val="both"/>
        <w:rPr>
          <w:rFonts w:ascii="Times New Roman;Times;serif" w:hAnsi="Times New Roman;Times;serif"/>
          <w:i/>
          <w:sz w:val="20"/>
        </w:rPr>
      </w:pPr>
      <w:r>
        <w:rPr>
          <w:rFonts w:ascii="Times New Roman;Times;serif" w:hAnsi="Times New Roman;Times;serif"/>
          <w:i/>
          <w:sz w:val="20"/>
        </w:rPr>
        <w:t>Fourth Amended and Restated Credit Agreement</w:t>
      </w:r>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June 6, 2023, we entered into a Fourth Amended and Restated Credit Agreement (the "Fourth A&amp;R Credit Agreement"). The Fourth A&amp;R Credit Agreement is a syndicated loan agreement with Wells Fargo Bank, National Association and other parties. The Fourth A&amp;R Credit Agreement amended and restated in its entirety our previously outstanding Third Amended and Restated Credit Agreement and all amendments thereto. The Fourth A&amp;R Credit Agreement provides for a term loan of $150 million and a revolving credit commitment of up to an aggregate amount of $700 million, inclusive of sub-facilities for multicurrency borrowings, standby letters of credit and swingline loans. On June 6, 2028, all principal, interest and other amounts outstanding under the Fourth A&amp;R Credit Agreement are payable in full. At any time prior to the maturity date, we may repay any amounts owing under all term loans and revolving credit loans in whole or in part, without premium or penalty.</w:t>
      </w:r>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December 5, 2023, we executed an amendment to the Fourth A&amp;R Credit Agreement (as amended, the "Amended Fourth A&amp;R Credit Agreement”) to facilitate the issuance of our Convertible Notes described below. Among other things, the amendment also updated the definition of the Applicable Margin used in determining the interest rates and amended the financial covenants, all as described below.</w:t>
      </w:r>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Term loans made under the Amended Fourth A&amp;R Credit Agreement bear interest, at our election, at either (i) the Base Rate plus the Applicable Margin (as defined in the Amended Fourth A&amp;R Credit Agreement) or, (ii) Adjusted Term SOFR plus the Applicable Margin (as defined in the Amended Fourth A&amp;R Credit Agreement). Revolving credit loans bear interest, at our election, at either (a) the Base Rate plus the Applicable Margin, (b) Adjusted Term SOFR plus the Applicable Margin, (c) Adjusted Eurocurrency Rate plus the Applicable Margin (as defined in the Amended Fourth A&amp;R Credit Agreement), or (d) Adjusted Daily Simple SONIA plus the Applicable Margin (as defined in the Amended Fourth A&amp;R Credit Agreement). Swingline loans bear interest at the Base Rate plus the Applicable Margin. Interest on each loan featuring the Base Rate and each Daily Simple SONIA Loan is due and payable on the last business day of each calendar month; interest on each loan featuring the Eurocurrency Rate and each Term SOFR Loan is due and payable on the last day of each interest period applicable thereto, and if such interest period extends over three months, at the end of each three-month interval during such interest period.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Amended Fourth A&amp;R Credit Agreement is collateralized by substantially all of our assets. The Amended Fourth A&amp;R Credit Agreement contains affirmative and negative covenants, representations and warranties, events of default and other terms customary for loans of this nature. In particular, the Amended Fourth A&amp;R Credit Agreement requires that we maintain certain financial covenants, as follows:</w:t>
      </w:r>
    </w:p>
    <w:p>
      <w:pPr>
        <w:pStyle w:val="TextBody"/>
        <w:bidi w:val="0"/>
        <w:spacing w:before="0" w:after="0"/>
        <w:ind w:left="0" w:right="0" w:hanging="0"/>
        <w:jc w:val="left"/>
        <w:rPr/>
      </w:pPr>
      <w:r>
        <w:rPr/>
        <w:t>​</w:t>
      </w:r>
    </w:p>
    <w:tbl>
      <w:tblPr>
        <w:tblW w:w="6391" w:type="dxa"/>
        <w:jc w:val="left"/>
        <w:tblInd w:w="0" w:type="dxa"/>
        <w:tblLayout w:type="fixed"/>
        <w:tblCellMar>
          <w:top w:w="0" w:type="dxa"/>
          <w:left w:w="0" w:type="dxa"/>
          <w:bottom w:w="0" w:type="dxa"/>
          <w:right w:w="0" w:type="dxa"/>
        </w:tblCellMar>
      </w:tblPr>
      <w:tblGrid>
        <w:gridCol w:w="4306"/>
        <w:gridCol w:w="146"/>
        <w:gridCol w:w="385"/>
        <w:gridCol w:w="1400"/>
        <w:gridCol w:w="154"/>
      </w:tblGrid>
      <w:tr>
        <w:trPr/>
        <w:tc>
          <w:tcPr>
            <w:tcW w:w="4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734310" cy="175260"/>
                      <wp:effectExtent l="0" t="0" r="0" b="0"/>
                      <wp:wrapNone/>
                      <wp:docPr id="182" name="Frame181"/>
                      <a:graphic xmlns:a="http://schemas.openxmlformats.org/drawingml/2006/main">
                        <a:graphicData uri="http://schemas.microsoft.com/office/word/2010/wordprocessingShape">
                          <wps:wsp>
                            <wps:cNvSpPr txBox="1"/>
                            <wps:spPr>
                              <a:xfrm>
                                <a:off x="0" y="0"/>
                                <a:ext cx="2734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92710" cy="175260"/>
                      <wp:effectExtent l="0" t="0" r="0" b="0"/>
                      <wp:wrapNone/>
                      <wp:docPr id="183" name="Frame182"/>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44475" cy="175260"/>
                      <wp:effectExtent l="0" t="0" r="0" b="0"/>
                      <wp:wrapNone/>
                      <wp:docPr id="184" name="Frame183"/>
                      <a:graphic xmlns:a="http://schemas.openxmlformats.org/drawingml/2006/main">
                        <a:graphicData uri="http://schemas.microsoft.com/office/word/2010/wordprocessingShape">
                          <wps:wsp>
                            <wps:cNvSpPr txBox="1"/>
                            <wps:spPr>
                              <a:xfrm>
                                <a:off x="0" y="0"/>
                                <a:ext cx="244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889000" cy="175260"/>
                      <wp:effectExtent l="0" t="0" r="0" b="0"/>
                      <wp:wrapNone/>
                      <wp:docPr id="185" name="Frame184"/>
                      <a:graphic xmlns:a="http://schemas.openxmlformats.org/drawingml/2006/main">
                        <a:graphicData uri="http://schemas.microsoft.com/office/word/2010/wordprocessingShape">
                          <wps:wsp>
                            <wps:cNvSpPr txBox="1"/>
                            <wps:spPr>
                              <a:xfrm>
                                <a:off x="0" y="0"/>
                                <a:ext cx="889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97790" cy="175260"/>
                      <wp:effectExtent l="0" t="0" r="0" b="0"/>
                      <wp:wrapNone/>
                      <wp:docPr id="186" name="Frame185"/>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0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17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Covenant Requirement</w:t>
            </w:r>
          </w:p>
        </w:tc>
        <w:tc>
          <w:tcPr>
            <w:tcW w:w="154" w:type="dxa"/>
            <w:tcBorders/>
            <w:vAlign w:val="center"/>
          </w:tcPr>
          <w:p>
            <w:pPr>
              <w:pStyle w:val="TableContents"/>
              <w:bidi w:val="0"/>
              <w:spacing w:before="0" w:after="0"/>
              <w:ind w:left="0" w:right="0" w:hanging="0"/>
              <w:jc w:val="left"/>
              <w:rPr/>
            </w:pPr>
            <w:r>
              <w:rPr/>
              <w:t>​</w:t>
            </w:r>
          </w:p>
        </w:tc>
      </w:tr>
      <w:tr>
        <w:trPr/>
        <w:tc>
          <w:tcPr>
            <w:tcW w:w="430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Consolidated Total Net Leverage Ratio </w:t>
            </w:r>
            <w:r>
              <w:rPr>
                <w:rFonts w:ascii="Times New Roman;Times;serif" w:hAnsi="Times New Roman;Times;serif"/>
                <w:sz w:val="15"/>
              </w:rPr>
              <w:t>(1)</w:t>
            </w:r>
          </w:p>
        </w:tc>
        <w:tc>
          <w:tcPr>
            <w:tcW w:w="146" w:type="dxa"/>
            <w:tcBorders/>
            <w:shd w:fill="CCEEFF" w:val="clear"/>
            <w:vAlign w:val="center"/>
          </w:tcPr>
          <w:p>
            <w:pPr>
              <w:pStyle w:val="TableContents"/>
              <w:bidi w:val="0"/>
              <w:spacing w:before="0" w:after="0"/>
              <w:ind w:left="0" w:right="0" w:hanging="0"/>
              <w:jc w:val="left"/>
              <w:rPr/>
            </w:pPr>
            <w:r>
              <w:rPr/>
              <w:t> </w:t>
            </w:r>
          </w:p>
        </w:tc>
        <w:tc>
          <w:tcPr>
            <w:tcW w:w="385" w:type="dxa"/>
            <w:tcBorders/>
            <w:shd w:fill="CCEEFF" w:val="clear"/>
            <w:vAlign w:val="center"/>
          </w:tcPr>
          <w:p>
            <w:pPr>
              <w:pStyle w:val="TableContents"/>
              <w:bidi w:val="0"/>
              <w:spacing w:before="0" w:after="0"/>
              <w:ind w:left="0" w:right="0" w:hanging="0"/>
              <w:jc w:val="left"/>
              <w:rPr/>
            </w:pPr>
            <w:r>
              <w:rPr/>
              <w:t>​</w:t>
            </w:r>
          </w:p>
        </w:tc>
        <w:tc>
          <w:tcPr>
            <w:tcW w:w="1400"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5.0 to 1.0</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30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Consolidated Senior Secured Net Leverage Ratio </w:t>
            </w:r>
            <w:r>
              <w:rPr>
                <w:rFonts w:ascii="Times New Roman;Times;serif" w:hAnsi="Times New Roman;Times;serif"/>
                <w:sz w:val="15"/>
              </w:rPr>
              <w:t>(2)</w:t>
            </w:r>
          </w:p>
        </w:tc>
        <w:tc>
          <w:tcPr>
            <w:tcW w:w="146" w:type="dxa"/>
            <w:tcBorders/>
            <w:vAlign w:val="center"/>
          </w:tcPr>
          <w:p>
            <w:pPr>
              <w:pStyle w:val="TableContents"/>
              <w:bidi w:val="0"/>
              <w:spacing w:before="0" w:after="0"/>
              <w:ind w:left="0" w:right="0" w:hanging="0"/>
              <w:jc w:val="left"/>
              <w:rPr/>
            </w:pPr>
            <w:r>
              <w:rPr/>
              <w:t>​</w:t>
            </w:r>
          </w:p>
        </w:tc>
        <w:tc>
          <w:tcPr>
            <w:tcW w:w="385" w:type="dxa"/>
            <w:tcBorders/>
            <w:vAlign w:val="center"/>
          </w:tcPr>
          <w:p>
            <w:pPr>
              <w:pStyle w:val="TableContents"/>
              <w:bidi w:val="0"/>
              <w:spacing w:before="0" w:after="0"/>
              <w:ind w:left="0" w:right="0" w:hanging="0"/>
              <w:jc w:val="left"/>
              <w:rPr/>
            </w:pPr>
            <w:r>
              <w:rPr/>
              <w:t>​</w:t>
            </w:r>
          </w:p>
        </w:tc>
        <w:tc>
          <w:tcPr>
            <w:tcW w:w="140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3.0 to 1.0</w:t>
            </w:r>
          </w:p>
        </w:tc>
        <w:tc>
          <w:tcPr>
            <w:tcW w:w="154" w:type="dxa"/>
            <w:tcBorders/>
            <w:vAlign w:val="center"/>
          </w:tcPr>
          <w:p>
            <w:pPr>
              <w:pStyle w:val="TableContents"/>
              <w:bidi w:val="0"/>
              <w:spacing w:before="0" w:after="0"/>
              <w:ind w:left="0" w:right="0" w:hanging="0"/>
              <w:jc w:val="left"/>
              <w:rPr/>
            </w:pPr>
            <w:r>
              <w:rPr/>
              <w:t>​</w:t>
            </w:r>
          </w:p>
        </w:tc>
      </w:tr>
      <w:tr>
        <w:trPr/>
        <w:tc>
          <w:tcPr>
            <w:tcW w:w="430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Consolidated Interest Coverage Ratio </w:t>
            </w:r>
            <w:r>
              <w:rPr>
                <w:rFonts w:ascii="Times New Roman;Times;serif" w:hAnsi="Times New Roman;Times;serif"/>
                <w:sz w:val="15"/>
              </w:rPr>
              <w:t>(3)</w:t>
            </w:r>
          </w:p>
        </w:tc>
        <w:tc>
          <w:tcPr>
            <w:tcW w:w="146" w:type="dxa"/>
            <w:tcBorders/>
            <w:shd w:fill="CCEEFF" w:val="clear"/>
            <w:vAlign w:val="center"/>
          </w:tcPr>
          <w:p>
            <w:pPr>
              <w:pStyle w:val="TableContents"/>
              <w:bidi w:val="0"/>
              <w:spacing w:before="0" w:after="0"/>
              <w:ind w:left="0" w:right="0" w:hanging="0"/>
              <w:jc w:val="left"/>
              <w:rPr/>
            </w:pPr>
            <w:r>
              <w:rPr/>
              <w:t> </w:t>
            </w:r>
          </w:p>
        </w:tc>
        <w:tc>
          <w:tcPr>
            <w:tcW w:w="385" w:type="dxa"/>
            <w:tcBorders/>
            <w:shd w:fill="CCEEFF" w:val="clear"/>
            <w:vAlign w:val="center"/>
          </w:tcPr>
          <w:p>
            <w:pPr>
              <w:pStyle w:val="TableContents"/>
              <w:bidi w:val="0"/>
              <w:spacing w:before="0" w:after="0"/>
              <w:ind w:left="0" w:right="0" w:hanging="0"/>
              <w:jc w:val="left"/>
              <w:rPr/>
            </w:pPr>
            <w:r>
              <w:rPr/>
              <w:t>​</w:t>
            </w:r>
          </w:p>
        </w:tc>
        <w:tc>
          <w:tcPr>
            <w:tcW w:w="1400"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3.0 to 1.0</w:t>
            </w:r>
          </w:p>
        </w:tc>
        <w:tc>
          <w:tcPr>
            <w:tcW w:w="154" w:type="dxa"/>
            <w:tcBorders/>
            <w:shd w:fill="CCEEFF" w:val="clear"/>
            <w:vAlign w:val="center"/>
          </w:tcPr>
          <w:p>
            <w:pPr>
              <w:pStyle w:val="TableContents"/>
              <w:bidi w:val="0"/>
              <w:spacing w:before="0" w:after="0"/>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(1)</w:t>
            </w:r>
          </w:p>
        </w:tc>
        <w:tc>
          <w:tcPr>
            <w:tcW w:w="99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Maximum Consolidated Total Net Leverage Ratio (as defined in the Amended Fourth A&amp;R Credit Agreement) as of any fiscal quarter end.</w:t>
            </w:r>
          </w:p>
        </w:tc>
      </w:tr>
    </w:tbl>
    <w:tbl>
      <w:tblPr>
        <w:tblW w:w="10205" w:type="dxa"/>
        <w:jc w:val="left"/>
        <w:tblInd w:w="0" w:type="dxa"/>
        <w:tblLayout w:type="fixed"/>
        <w:tblCellMar>
          <w:top w:w="0" w:type="dxa"/>
          <w:left w:w="0" w:type="dxa"/>
          <w:bottom w:w="0" w:type="dxa"/>
          <w:right w:w="0" w:type="dxa"/>
        </w:tblCellMar>
      </w:tblPr>
      <w:tblGrid>
        <w:gridCol w:w="282"/>
        <w:gridCol w:w="9923"/>
      </w:tblGrid>
      <w:tr>
        <w:trPr/>
        <w:tc>
          <w:tcPr>
            <w:tcW w:w="282"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(2)</w:t>
            </w:r>
          </w:p>
        </w:tc>
        <w:tc>
          <w:tcPr>
            <w:tcW w:w="99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Maximum Consolidated Senior Secured Net Leverage Ratio (as defined in the Amended Fourth A&amp;R Credit Agreement) as of any fiscal quarter end.</w:t>
            </w:r>
          </w:p>
        </w:tc>
      </w:tr>
    </w:tbl>
    <w:tbl>
      <w:tblPr>
        <w:tblW w:w="10205" w:type="dxa"/>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(3)</w:t>
            </w:r>
          </w:p>
        </w:tc>
        <w:tc>
          <w:tcPr>
            <w:tcW w:w="99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Minimum ratio of Consolidated EBITDA (as defined in the Amended Fourth A&amp;R Credit Agreement and adjusted for certain expenditures) to Consolidated Interest Expense (as defined in the Amended Fourth A&amp;R Credit Agreement) for any period of four consecutive fiscal quarters.</w:t>
            </w:r>
          </w:p>
        </w:tc>
      </w:tr>
    </w:tbl>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We were in compliance with these financial covenants set forth in the Amended Fourth A&amp;R Credit Agreement as of June 30, 2026.</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As of June 30, 2026, we had no outstanding borrowings and issued letter of credit guarantees of $2.9 million under the Amended Fourth A&amp;R Credit Agreement, with additional available borrowings of approximately $697 million, based on the maximum net leverage ratio required pursuant to the Amended Fourth A&amp;R Credit Agreement.</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Convertible Notes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In December 2023, we issued convertible notes which bear interest at 3.00% per year, payable semi-annually in arrears on February 1 and August 1 of each year, which commenced August 1, 2024 (the “Convertible Notes”). The Convertible Notes are senior unsecured obligations (as defined in the indenture governing the Convertible Notes (the “Indenture”)) of Merit and will mature on February 1, 2029, unless repurchased, redeemed or converted in accordance with their terms prior to such date. The net proceeds from the sale of the Convertible Notes were approximately $724.8 million after deducting offering and issuance costs and before the costs of the Capped Call Transactions, as described below.</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initial conversion rate of the notes will be 11.5171 shares of our common stock (the “Common Stock”) per $1,000 principal amount of notes, which equates to an initial conversion price of approximately $86.83 per share of Common Stock, subject to adjustments as provided in the Indenture</w:t>
      </w:r>
      <w:r>
        <w:rPr>
          <w:rFonts w:ascii="Times New Roman;Times;serif" w:hAnsi="Times New Roman;Times;serif"/>
          <w:sz w:val="20"/>
          <w:shd w:fill="FFFFFF" w:val="clear"/>
        </w:rPr>
        <w:t xml:space="preserve"> upon the occurrence of certain specified events.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Conversion can occur at the option of the holders of the Convertible Notes (“Holders”) at any time on or after October 1, 2028. Prior to October 1, 2028, Holders may only elect to convert the Convertible Notes under the following circumstances: (1) During the </w:t>
      </w:r>
      <w:r>
        <w:rPr>
          <w:rFonts w:ascii="Times New Roman;Times;serif" w:hAnsi="Times New Roman;Times;serif"/>
          <w:b w:val="false"/>
          <w:i w:val="false"/>
          <w:caps w:val="false"/>
          <w:smallCaps w:val="false"/>
          <w:sz w:val="20"/>
        </w:rPr>
        <w:t>five</w:t>
      </w:r>
      <w:r>
        <w:rPr>
          <w:rFonts w:ascii="Times New Roman;Times;serif" w:hAnsi="Times New Roman;Times;serif"/>
          <w:sz w:val="20"/>
        </w:rPr>
        <w:t xml:space="preserve"> business day period after any </w:t>
      </w:r>
      <w:r>
        <w:rPr>
          <w:rFonts w:ascii="Times New Roman;Times;serif" w:hAnsi="Times New Roman;Times;serif"/>
          <w:b w:val="false"/>
          <w:i w:val="false"/>
          <w:caps w:val="false"/>
          <w:smallCaps w:val="false"/>
          <w:sz w:val="20"/>
        </w:rPr>
        <w:t>ten</w:t>
      </w:r>
      <w:r>
        <w:rPr>
          <w:rFonts w:ascii="Times New Roman;Times;serif" w:hAnsi="Times New Roman;Times;serif"/>
          <w:sz w:val="20"/>
        </w:rPr>
        <w:t xml:space="preserve"> consecutive trading day period in which, for each day of that period, the trading price per $1,000 principal amount of the Convertible Notes for such trading day was less than 98% of the product of the last reported sale price of the Common Stock and the applicable conversion rate on such trading day; (2) Merit issues to common shareholders any rights, options, or warrants, entitling them, for a period of not more than 60 days, to purchase shares of Common Stock at a price per share less than the average closing sale price of </w:t>
      </w:r>
      <w:r>
        <w:rPr>
          <w:rFonts w:ascii="Times New Roman;Times;serif" w:hAnsi="Times New Roman;Times;serif"/>
          <w:b w:val="false"/>
          <w:i w:val="false"/>
          <w:caps w:val="false"/>
          <w:smallCaps w:val="false"/>
          <w:sz w:val="20"/>
        </w:rPr>
        <w:t>10</w:t>
      </w:r>
      <w:r>
        <w:rPr>
          <w:rFonts w:ascii="Times New Roman;Times;serif" w:hAnsi="Times New Roman;Times;serif"/>
          <w:sz w:val="20"/>
        </w:rPr>
        <w:t xml:space="preserve"> consecutive trading days, or Merit’s election to make a distribution to common shareholders exceeding 10% of the previous day’s closing sale price; (3) Upon the occurrence of a Fundamental Change, as set forth in the Indenture; (4) During any calendar quarter (and only during such calendar quarter) beginning after March 31, 2024, if, the last reported sale price per share of the Common Stock exceeds 130% of the applicable conversion price on each applicable trading day for at least </w:t>
      </w:r>
      <w:r>
        <w:rPr>
          <w:rFonts w:ascii="Times New Roman;Times;serif" w:hAnsi="Times New Roman;Times;serif"/>
          <w:b w:val="false"/>
          <w:i w:val="false"/>
          <w:caps w:val="false"/>
          <w:smallCaps w:val="false"/>
          <w:sz w:val="20"/>
        </w:rPr>
        <w:t>20</w:t>
      </w:r>
      <w:r>
        <w:rPr>
          <w:rFonts w:ascii="Times New Roman;Times;serif" w:hAnsi="Times New Roman;Times;serif"/>
          <w:sz w:val="20"/>
        </w:rPr>
        <w:t xml:space="preserve"> trading days (whether or not consecutive) in the period of the </w:t>
      </w:r>
      <w:r>
        <w:rPr>
          <w:rFonts w:ascii="Times New Roman;Times;serif" w:hAnsi="Times New Roman;Times;serif"/>
          <w:b w:val="false"/>
          <w:i w:val="false"/>
          <w:caps w:val="false"/>
          <w:smallCaps w:val="false"/>
          <w:sz w:val="20"/>
        </w:rPr>
        <w:t>30</w:t>
      </w:r>
      <w:r>
        <w:rPr>
          <w:rFonts w:ascii="Times New Roman;Times;serif" w:hAnsi="Times New Roman;Times;serif"/>
          <w:sz w:val="20"/>
        </w:rPr>
        <w:t xml:space="preserve"> consecutive trading day period ending on, and including, the last trading day of the immediately preceding calendar quarter; or (5) Prior to the related redemption date if Merit calls any Convertible Notes for redemption. As of June 30, 2026, none of the conditions permitting the Holders to convert their Convertible Notes early had been met. Therefore, the Convertible Notes are classified as long-term debt obligations.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Upon conversion, Merit will (1) pay cash up to the aggregate principal amount of the Convertible Notes to be converted and (2) pay or deliver, as the case may be, cash, shares of Common Stock, or a combination of cash and shares of Common Stock, at Merit’s election, in respect of the remainder, if any, of its conversion obligation in excess of the aggregate principal amount of the Convertible Notes being converted.</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shd w:fill="FFFFFF" w:val="clear"/>
        </w:rPr>
        <w:t xml:space="preserve">In addition, </w:t>
      </w:r>
      <w:r>
        <w:rPr>
          <w:rFonts w:ascii="Times New Roman;Times;serif" w:hAnsi="Times New Roman;Times;serif"/>
          <w:sz w:val="20"/>
        </w:rPr>
        <w:t>Holders will have the right to require Merit to repurchase all or a part of their notes upon the occurrence of a “fundamental change”</w:t>
      </w:r>
      <w:r>
        <w:rPr>
          <w:rFonts w:ascii="Times New Roman;Times;serif" w:hAnsi="Times New Roman;Times;serif"/>
          <w:sz w:val="20"/>
          <w:shd w:fill="FFFFFF" w:val="clear"/>
        </w:rPr>
        <w:t xml:space="preserve"> (as defined in the Indenture) </w:t>
      </w:r>
      <w:r>
        <w:rPr>
          <w:rFonts w:ascii="Times New Roman;Times;serif" w:hAnsi="Times New Roman;Times;serif"/>
          <w:sz w:val="20"/>
        </w:rPr>
        <w:t>in cash at a fundamental change repurchase price of 100% of their principal amount plus accrued and unpaid interest up to, but excluding, the fundamental change repurchase date.</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On or after February 7, 2027, we may redeem for cash all or part of the Convertible Notes, at our option, if the last reported sales price of Common Stock has been at least 130% of the conversion price then in effect for at least </w:t>
      </w:r>
      <w:r>
        <w:rPr>
          <w:rFonts w:ascii="Times New Roman;Times;serif" w:hAnsi="Times New Roman;Times;serif"/>
          <w:b w:val="false"/>
          <w:i w:val="false"/>
          <w:caps w:val="false"/>
          <w:smallCaps w:val="false"/>
          <w:sz w:val="20"/>
        </w:rPr>
        <w:t>20</w:t>
      </w:r>
      <w:r>
        <w:rPr>
          <w:rFonts w:ascii="Times New Roman;Times;serif" w:hAnsi="Times New Roman;Times;serif"/>
          <w:sz w:val="20"/>
        </w:rPr>
        <w:t xml:space="preserve"> trading days (whether or not consecutive), including the trading day immediately preceding the date on which we provide notice of redemption, during any </w:t>
      </w:r>
      <w:r>
        <w:rPr>
          <w:rFonts w:ascii="Times New Roman;Times;serif" w:hAnsi="Times New Roman;Times;serif"/>
          <w:b w:val="false"/>
          <w:i w:val="false"/>
          <w:caps w:val="false"/>
          <w:smallCaps w:val="false"/>
          <w:sz w:val="20"/>
        </w:rPr>
        <w:t>30</w:t>
      </w:r>
      <w:r>
        <w:rPr>
          <w:rFonts w:ascii="Times New Roman;Times;serif" w:hAnsi="Times New Roman;Times;serif"/>
          <w:sz w:val="20"/>
        </w:rPr>
        <w:t xml:space="preserve"> consecutive trading days ending on, and including, the trading day immediately before the date we send the related notice of the redemption.</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Under the terms of the Indenture, if we did not remove restrictive legends on the Convertible Notes as of the 380th day following the date of issuance of the Convertible Notes, we were required to pay additional interest at the rate of 0.50% per annum (the “Additional Interest”) until the restrictive legends were removed. During the three-month period ended June 30, 2026, we determined that we had not removed the restrictive legends or paid the Additional Interest. We promptly caused the restrictive legends to be removed and recorded and paid an aggregate of $5.1 million in Additional Interest during the three-month period ended June 30, 2026. We believe that no additional Additional Interest or other amounts arising from the failure to timely remove the restrictive legends are in arrearage as of the date of this Report.</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Capped Call Transactions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December 2023, in connection with the pricing of the Convertible Notes, Merit entered into privately negotiated capped call transactions (“Capped Call Transactions”) with certain of the initial purchasers and/or their respective affiliates and certain other financial institutions. The Capped Call Transactions cover, subject to customary anti-dilution adjustments, the number of shares of Common Stock initially underlying the Convertible Notes and are generally expected to reduce potential dilution to the Common Stock upon any conversion of Convertible Notes and/or offset any cash payments Merit is required to make in excess of the principal amount of converted Convertible Notes, as the case may be, with such reduction and/or offset subject to a cap, based on a cap price initially equal to approximately $114.68 per share of Common Stock, subject to certain adjustments under the terms of the Capped Call Transactions. The cost of the Capped Call Transactions was approximately $66.5 million. The Capped Call Transactions do not meet the criteria for separate accounting as a derivative as they are indexed to the Common Stock. The premiums paid for the Capped Call Transactions have been included as a net reduction to Common Stock within stockholders' equity.</w:t>
      </w:r>
    </w:p>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 xml:space="preserve">9.   Derivatives. </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b/>
          <w:sz w:val="20"/>
        </w:rPr>
        <w:t>General.</w:t>
      </w:r>
      <w:r>
        <w:rPr>
          <w:rFonts w:ascii="Times New Roman;Times;serif" w:hAnsi="Times New Roman;Times;serif"/>
          <w:sz w:val="20"/>
        </w:rPr>
        <w:t> Our earnings and cash flows are subject to fluctuations due to changes in interest rates and foreign currency exchange rates, and we seek to mitigate a portion of the risks attributable to those fluctuations by entering into derivative contracts. The derivative instruments we use are foreign currency forward contracts. We recognize derivative instruments as either assets or liabilities at fair value in the accompanying consolidated balance sheets, regardless of whether hedge accounting is applied. We report cash flows arising from our hedging instruments consistent with the classification of cash flows from the underlying hedged items. Accordingly, cash flows associated with our derivative contracts are classified as operating activities in the accompanying consolidated statements of cash flows.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We formally document, designate and assess the effectiveness of transactions that receive hedge accounting treatment initially and on an ongoing basis. For qualifying hedges, the change in fair value is deferred in accumulated other comprehensive income, a component of stockholders’ equity in the accompanying consolidated balance sheets, and recognized in earnings at the same time the hedged item affects earnings. Changes in the fair value of derivative instruments not designated as hedging instruments are recorded in earnings throughout the term of the derivative.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sz w:val="20"/>
        </w:rPr>
      </w:pPr>
      <w:bookmarkStart w:id="875" w:name="Tc_fPJwem7rB0ajngYyCCkuGQ_15_2"/>
      <w:bookmarkStart w:id="876" w:name="Tc_WZxI4-MfK06yfibH60E6hQ_15_0"/>
      <w:bookmarkStart w:id="877" w:name="Tc_Fzqt63mgs0GmNTB5TuVuCQ_14_0"/>
      <w:bookmarkStart w:id="878" w:name="Tc_69Be9pQuik24ROCc-k8k2w_12_7"/>
      <w:bookmarkStart w:id="879" w:name="Tc_vHxKAoEVZ0-PBVhJyCrNhg_12_4"/>
      <w:bookmarkStart w:id="880" w:name="Tc_b2YRIHDQhEK0todxNXRnjA_12_2"/>
      <w:bookmarkStart w:id="881" w:name="Tc_u7dG70OsfkmlYf600dNvxA_12_0"/>
      <w:bookmarkStart w:id="882" w:name="Tc_lXt7NEcJ6kGDP8x1cxAAvQ_11_0"/>
      <w:bookmarkStart w:id="883" w:name="Tc_PaTwCJAyREy-SffXzva-qw_10_7"/>
      <w:bookmarkStart w:id="884" w:name="Tc_dkrYza1DD0GlK89I4TIP6w_10_4"/>
      <w:bookmarkStart w:id="885" w:name="Tc_Dk1ZDsTrREaXjvZK5Z8DVw_10_2"/>
      <w:bookmarkStart w:id="886" w:name="Tc_-2RngW80tEmhQcOAy_7xzA_10_0"/>
      <w:bookmarkStart w:id="887" w:name="Tc_3EzBr74fH0Od-Koq6QvGgg_8_2"/>
      <w:bookmarkStart w:id="888" w:name="Tc_bXTZ38ao0kyQiReRIr_WeA_8_0"/>
      <w:bookmarkStart w:id="889" w:name="Tc_qusDYx7YvEaBEQAea1kiaA_7_2"/>
      <w:bookmarkStart w:id="890" w:name="Tc_NcyV6s2hTEC8TSY21dTjgg_7_0"/>
      <w:bookmarkStart w:id="891" w:name="Tc_YIeRseRVsUmcsJbciaiKRg_6_0"/>
      <w:bookmarkStart w:id="892" w:name="Tc_iSpxi-rhxUiex898P9uo0A_4_2"/>
      <w:bookmarkStart w:id="893" w:name="Tc_7UzP5Ycu0kyfwJiVIQT2wA_4_0"/>
      <w:bookmarkStart w:id="894" w:name="Tc_q0HBk10iPU2bZ3nbcowZmA_3_7"/>
      <w:bookmarkStart w:id="895" w:name="Tc_W3RMXXFX6UaYzNnl_cMm7w_3_4"/>
      <w:bookmarkStart w:id="896" w:name="Tc_F3lEAFzKvkCw4ZqHjM-2Vw_3_2"/>
      <w:bookmarkStart w:id="897" w:name="Tc_IfOLVKTTnEC2jgVgag4luA_3_0"/>
      <w:bookmarkStart w:id="898" w:name="Tc_dGeMTl3f7ECTufTAkrQNEw_2_0"/>
      <w:bookmarkStart w:id="899" w:name="Tc_WiozUM78cEealavi5c6zNA_1_7"/>
      <w:bookmarkStart w:id="900" w:name="Tc_nacrIqo9NEawktpvmvW-Mg_1_4"/>
      <w:bookmarkStart w:id="901" w:name="Tc_gqyMC7HXAEiHNaCWObUM6A_1_2"/>
      <w:bookmarkStart w:id="902" w:name="Tc_ekN3WlqdL0S16quJ_OLF4g_1_0"/>
      <w:bookmarkStart w:id="903" w:name="_7672c1eb_3e4d_4b55_bdde_5b7560ce513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r>
        <w:rPr>
          <w:rFonts w:ascii="Times New Roman;Times;serif" w:hAnsi="Times New Roman;Times;serif"/>
          <w:b/>
          <w:sz w:val="20"/>
        </w:rPr>
        <w:t>Foreign Currency Risk. </w:t>
      </w:r>
      <w:r>
        <w:rPr>
          <w:rFonts w:ascii="Times New Roman;Times;serif" w:hAnsi="Times New Roman;Times;serif"/>
          <w:sz w:val="20"/>
        </w:rPr>
        <w:t>We operate on a global basis and are exposed to the risk that our financial condition, results of operations, and cash flows could be adversely affected by changes in foreign currency exchange rates. To reduce the potential effects of foreign currency exchange rate movements on net earnings, we enter into derivative financial instruments in the form of foreign currency exchange forward contracts with major financial institutions. Our policy is to enter into foreign currency derivative contracts with maturities of up to two years. We are exposed to foreign currency exchange rate risk with respect to transactions and balances denominated in various currencies, with our most significant exposure related to transactions and balances denominated in Chinese Renminbi and Euros, among others. We do not use derivative financial instruments for trading or speculative purposes. We do not believe we are subject to any credit risk contingent features related to our derivative contracts, and we seek to manage counterparty risk by allocating derivative contracts among several major financial institutions.</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Derivatives Designated as Cash Flow Hedges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For derivative instruments that are designated and qualify as cash flow hedges, the gain or loss on the derivative instrument is temporarily reported as a component of other comprehensive income and then reclassified into earnings in the same line item associated with the forecasted transaction and in the same period or periods during which the hedged transaction affects earnings. We entered into forward contracts on various foreign currencies to manage the risk associated with forecasted exchange rates which impact revenues, cost of sales, and operating expenses in various international markets. The objective of the forward contracts is to reduce the variability of cash flows associated with the forecasted purchase or sale of the foreign currencies. As of June 30, 2026 and December 31, 2025, we had entered into foreign currency forward contracts, which qualified as cash flow hedges, with aggregate notional amounts of $127.1 million and $138.6 million, respectively.</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Derivatives Not Designated as Cash Flow Hedges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We forecast our net exposure in various receivables and payables to fluctuations in the value of various currencies, and we enter into foreign currency forward contracts to mitigate a portion of that exposure. As of June 30, 2026 and December 31, 2025, we had entered into foreign currency forward contracts related to those balance sheet accounts with aggregate notional amounts of $139.7 million and $107.6 million, respectively.</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b/>
          <w:sz w:val="20"/>
        </w:rPr>
        <w:t xml:space="preserve">Balance Sheet Presentation of Derivative Instruments. </w:t>
      </w:r>
      <w:r>
        <w:rPr>
          <w:rFonts w:ascii="Times New Roman;Times;serif" w:hAnsi="Times New Roman;Times;serif"/>
          <w:sz w:val="20"/>
        </w:rPr>
        <w:t>As of June 30, 2026 and December 31, 2025, all derivative instruments, both those designated as hedging instruments and those that were not designated as hedging instruments, were recorded at fair value on a gross basis on our consolidated balance sheets. We are not subject to any master netting agreements.</w:t>
      </w:r>
    </w:p>
    <w:p>
      <w:pPr>
        <w:pStyle w:val="TextBody"/>
        <w:bidi w:val="0"/>
        <w:spacing w:before="0" w:after="20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The fair value of derivative instruments on a gross basis was as follows on the dates indicated (in thousands):</w:t>
      </w:r>
    </w:p>
    <w:tbl>
      <w:tblPr>
        <w:tblW w:w="10205" w:type="dxa"/>
        <w:jc w:val="left"/>
        <w:tblInd w:w="0" w:type="dxa"/>
        <w:tblLayout w:type="fixed"/>
        <w:tblCellMar>
          <w:top w:w="0" w:type="dxa"/>
          <w:left w:w="0" w:type="dxa"/>
          <w:bottom w:w="0" w:type="dxa"/>
          <w:right w:w="0" w:type="dxa"/>
        </w:tblCellMar>
      </w:tblPr>
      <w:tblGrid>
        <w:gridCol w:w="4290"/>
        <w:gridCol w:w="146"/>
        <w:gridCol w:w="2404"/>
        <w:gridCol w:w="346"/>
        <w:gridCol w:w="282"/>
        <w:gridCol w:w="844"/>
        <w:gridCol w:w="346"/>
        <w:gridCol w:w="367"/>
        <w:gridCol w:w="1180"/>
      </w:tblGrid>
      <w:tr>
        <w:trPr/>
        <w:tc>
          <w:tcPr>
            <w:tcW w:w="42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724150" cy="175260"/>
                      <wp:effectExtent l="0" t="0" r="0" b="0"/>
                      <wp:wrapNone/>
                      <wp:docPr id="187" name="Frame186"/>
                      <a:graphic xmlns:a="http://schemas.openxmlformats.org/drawingml/2006/main">
                        <a:graphicData uri="http://schemas.microsoft.com/office/word/2010/wordprocessingShape">
                          <wps:wsp>
                            <wps:cNvSpPr txBox="1"/>
                            <wps:spPr>
                              <a:xfrm>
                                <a:off x="0" y="0"/>
                                <a:ext cx="2724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92710" cy="175260"/>
                      <wp:effectExtent l="0" t="0" r="0" b="0"/>
                      <wp:wrapNone/>
                      <wp:docPr id="188" name="Frame187"/>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1526540" cy="175260"/>
                      <wp:effectExtent l="0" t="0" r="0" b="0"/>
                      <wp:wrapNone/>
                      <wp:docPr id="189" name="Frame188"/>
                      <a:graphic xmlns:a="http://schemas.openxmlformats.org/drawingml/2006/main">
                        <a:graphicData uri="http://schemas.microsoft.com/office/word/2010/wordprocessingShape">
                          <wps:wsp>
                            <wps:cNvSpPr txBox="1"/>
                            <wps:spPr>
                              <a:xfrm>
                                <a:off x="0" y="0"/>
                                <a:ext cx="1526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19710" cy="175260"/>
                      <wp:effectExtent l="0" t="0" r="0" b="0"/>
                      <wp:wrapNone/>
                      <wp:docPr id="190" name="Frame1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179070" cy="175260"/>
                      <wp:effectExtent l="0" t="0" r="0" b="0"/>
                      <wp:wrapNone/>
                      <wp:docPr id="191" name="Frame190"/>
                      <a:graphic xmlns:a="http://schemas.openxmlformats.org/drawingml/2006/main">
                        <a:graphicData uri="http://schemas.microsoft.com/office/word/2010/wordprocessingShape">
                          <wps:wsp>
                            <wps:cNvSpPr txBox="1"/>
                            <wps:spPr>
                              <a:xfrm>
                                <a:off x="0" y="0"/>
                                <a:ext cx="179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535940" cy="175260"/>
                      <wp:effectExtent l="0" t="0" r="0" b="0"/>
                      <wp:wrapNone/>
                      <wp:docPr id="192" name="Frame191"/>
                      <a:graphic xmlns:a="http://schemas.openxmlformats.org/drawingml/2006/main">
                        <a:graphicData uri="http://schemas.microsoft.com/office/word/2010/wordprocessingShape">
                          <wps:wsp>
                            <wps:cNvSpPr txBox="1"/>
                            <wps:spPr>
                              <a:xfrm>
                                <a:off x="0" y="0"/>
                                <a:ext cx="535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19710" cy="175260"/>
                      <wp:effectExtent l="0" t="0" r="0" b="0"/>
                      <wp:wrapNone/>
                      <wp:docPr id="193" name="Frame1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33045" cy="175260"/>
                      <wp:effectExtent l="0" t="0" r="0" b="0"/>
                      <wp:wrapNone/>
                      <wp:docPr id="194" name="Frame193"/>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749300" cy="175260"/>
                      <wp:effectExtent l="0" t="0" r="0" b="0"/>
                      <wp:wrapNone/>
                      <wp:docPr id="195" name="Frame194"/>
                      <a:graphic xmlns:a="http://schemas.openxmlformats.org/drawingml/2006/main">
                        <a:graphicData uri="http://schemas.microsoft.com/office/word/2010/wordprocessingShape">
                          <wps:wsp>
                            <wps:cNvSpPr txBox="1"/>
                            <wps:spPr>
                              <a:xfrm>
                                <a:off x="0" y="0"/>
                                <a:ext cx="7493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90" w:type="dxa"/>
            <w:tcBorders/>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Fair Value of Derivative Instruments Designated as Hedging Instruments</w:t>
            </w:r>
          </w:p>
        </w:tc>
        <w:tc>
          <w:tcPr>
            <w:tcW w:w="146" w:type="dxa"/>
            <w:tcBorders/>
            <w:vAlign w:val="center"/>
          </w:tcPr>
          <w:p>
            <w:pPr>
              <w:pStyle w:val="TableContents"/>
              <w:bidi w:val="0"/>
              <w:spacing w:before="0" w:after="0"/>
              <w:ind w:left="0" w:right="0" w:hanging="0"/>
              <w:jc w:val="left"/>
              <w:rPr/>
            </w:pPr>
            <w:r>
              <w:rPr/>
              <w:t> </w:t>
            </w:r>
          </w:p>
        </w:tc>
        <w:tc>
          <w:tcPr>
            <w:tcW w:w="240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Sheet Location</w:t>
            </w:r>
          </w:p>
        </w:tc>
        <w:tc>
          <w:tcPr>
            <w:tcW w:w="346" w:type="dxa"/>
            <w:tcBorders/>
            <w:vAlign w:val="center"/>
          </w:tcPr>
          <w:p>
            <w:pPr>
              <w:pStyle w:val="TableContents"/>
              <w:bidi w:val="0"/>
              <w:spacing w:before="0" w:after="0"/>
              <w:ind w:left="0" w:right="0" w:hanging="0"/>
              <w:jc w:val="left"/>
              <w:rPr/>
            </w:pPr>
            <w:r>
              <w:rPr/>
              <w:t>  ​ ​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0"/>
              <w:ind w:left="0" w:right="0" w:hanging="0"/>
              <w:jc w:val="left"/>
              <w:rPr/>
            </w:pPr>
            <w:r>
              <w:rPr/>
              <w:t>  ​ ​ ​</w:t>
            </w:r>
          </w:p>
        </w:tc>
        <w:tc>
          <w:tcPr>
            <w:tcW w:w="15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4290" w:type="dxa"/>
            <w:tcBorders/>
            <w:shd w:fill="CCEEFF" w:val="cle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Assets</w:t>
            </w:r>
          </w:p>
        </w:tc>
        <w:tc>
          <w:tcPr>
            <w:tcW w:w="146" w:type="dxa"/>
            <w:tcBorders/>
            <w:shd w:fill="CCEEFF" w:val="clear"/>
            <w:vAlign w:val="center"/>
          </w:tcPr>
          <w:p>
            <w:pPr>
              <w:pStyle w:val="TableContents"/>
              <w:bidi w:val="0"/>
              <w:spacing w:before="0" w:after="0"/>
              <w:ind w:left="0" w:right="0" w:hanging="0"/>
              <w:jc w:val="left"/>
              <w:rPr/>
            </w:pPr>
            <w:r>
              <w:rPr/>
              <w:t> </w:t>
            </w:r>
          </w:p>
        </w:tc>
        <w:tc>
          <w:tcPr>
            <w:tcW w:w="2404"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82" w:type="dxa"/>
            <w:tcBorders/>
            <w:shd w:fill="CCEEFF" w:val="clear"/>
            <w:vAlign w:val="center"/>
          </w:tcPr>
          <w:p>
            <w:pPr>
              <w:pStyle w:val="TableContents"/>
              <w:bidi w:val="0"/>
              <w:spacing w:before="0" w:after="0"/>
              <w:ind w:left="0" w:right="0" w:hanging="0"/>
              <w:jc w:val="left"/>
              <w:rPr/>
            </w:pPr>
            <w:r>
              <w:rPr/>
              <w:t>​</w:t>
            </w:r>
          </w:p>
        </w:tc>
        <w:tc>
          <w:tcPr>
            <w:tcW w:w="844"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367" w:type="dxa"/>
            <w:tcBorders/>
            <w:shd w:fill="CCEEFF" w:val="clear"/>
            <w:vAlign w:val="center"/>
          </w:tcPr>
          <w:p>
            <w:pPr>
              <w:pStyle w:val="TableContents"/>
              <w:bidi w:val="0"/>
              <w:spacing w:before="0" w:after="0"/>
              <w:ind w:left="0" w:right="0" w:hanging="0"/>
              <w:jc w:val="left"/>
              <w:rPr/>
            </w:pPr>
            <w:r>
              <w:rPr/>
              <w:t>​</w:t>
            </w:r>
          </w:p>
        </w:tc>
        <w:tc>
          <w:tcPr>
            <w:tcW w:w="1180" w:type="dxa"/>
            <w:tcBorders/>
            <w:shd w:fill="CCEEFF" w:val="clear"/>
            <w:vAlign w:val="center"/>
          </w:tcPr>
          <w:p>
            <w:pPr>
              <w:pStyle w:val="TableContents"/>
              <w:bidi w:val="0"/>
              <w:spacing w:before="0" w:after="0"/>
              <w:ind w:left="0" w:right="0" w:hanging="0"/>
              <w:jc w:val="right"/>
              <w:rPr/>
            </w:pPr>
            <w:r>
              <w:rPr/>
              <w:t>  ​</w:t>
            </w:r>
          </w:p>
        </w:tc>
      </w:tr>
      <w:tr>
        <w:trPr/>
        <w:tc>
          <w:tcPr>
            <w:tcW w:w="42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forward contracts</w:t>
            </w:r>
          </w:p>
        </w:tc>
        <w:tc>
          <w:tcPr>
            <w:tcW w:w="146" w:type="dxa"/>
            <w:tcBorders/>
            <w:vAlign w:val="center"/>
          </w:tcPr>
          <w:p>
            <w:pPr>
              <w:pStyle w:val="TableContents"/>
              <w:bidi w:val="0"/>
              <w:spacing w:before="0" w:after="0"/>
              <w:ind w:left="0" w:right="0" w:hanging="0"/>
              <w:jc w:val="left"/>
              <w:rPr/>
            </w:pPr>
            <w:r>
              <w:rPr/>
              <w:t> </w:t>
            </w:r>
          </w:p>
        </w:tc>
        <w:tc>
          <w:tcPr>
            <w:tcW w:w="24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assets</w:t>
            </w:r>
          </w:p>
        </w:tc>
        <w:tc>
          <w:tcPr>
            <w:tcW w:w="346" w:type="dxa"/>
            <w:tcBorders/>
            <w:vAlign w:val="center"/>
          </w:tcPr>
          <w:p>
            <w:pPr>
              <w:pStyle w:val="TableContents"/>
              <w:bidi w:val="0"/>
              <w:spacing w:before="0" w:after="0"/>
              <w:ind w:left="0" w:right="0" w:hanging="0"/>
              <w:jc w:val="left"/>
              <w:rPr/>
            </w:pPr>
            <w:r>
              <w:rPr/>
              <w:t>​</w:t>
            </w:r>
          </w:p>
        </w:tc>
        <w:tc>
          <w:tcPr>
            <w:tcW w:w="28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3,445</w:t>
            </w:r>
          </w:p>
        </w:tc>
        <w:tc>
          <w:tcPr>
            <w:tcW w:w="346"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3,555</w:t>
            </w:r>
          </w:p>
        </w:tc>
      </w:tr>
      <w:tr>
        <w:trPr/>
        <w:tc>
          <w:tcPr>
            <w:tcW w:w="42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forward contracts</w:t>
            </w:r>
          </w:p>
        </w:tc>
        <w:tc>
          <w:tcPr>
            <w:tcW w:w="146" w:type="dxa"/>
            <w:tcBorders/>
            <w:shd w:fill="CCEEFF" w:val="clear"/>
            <w:vAlign w:val="center"/>
          </w:tcPr>
          <w:p>
            <w:pPr>
              <w:pStyle w:val="TableContents"/>
              <w:bidi w:val="0"/>
              <w:spacing w:before="0" w:after="0"/>
              <w:ind w:left="0" w:right="0" w:hanging="0"/>
              <w:jc w:val="left"/>
              <w:rPr/>
            </w:pPr>
            <w:r>
              <w:rPr/>
              <w:t> </w:t>
            </w:r>
          </w:p>
        </w:tc>
        <w:tc>
          <w:tcPr>
            <w:tcW w:w="24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 (long-term)</w:t>
            </w:r>
          </w:p>
        </w:tc>
        <w:tc>
          <w:tcPr>
            <w:tcW w:w="346"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pPr>
            <w:r>
              <w:rPr/>
              <w:t>​</w:t>
            </w:r>
          </w:p>
        </w:tc>
        <w:tc>
          <w:tcPr>
            <w:tcW w:w="8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w:t>
            </w:r>
          </w:p>
        </w:tc>
        <w:tc>
          <w:tcPr>
            <w:tcW w:w="34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 </w:t>
            </w:r>
          </w:p>
        </w:tc>
        <w:tc>
          <w:tcPr>
            <w:tcW w:w="11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663</w:t>
            </w:r>
          </w:p>
        </w:tc>
      </w:tr>
      <w:tr>
        <w:trPr/>
        <w:tc>
          <w:tcPr>
            <w:tcW w:w="4290"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40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82" w:type="dxa"/>
            <w:tcBorders/>
            <w:vAlign w:val="center"/>
          </w:tcPr>
          <w:p>
            <w:pPr>
              <w:pStyle w:val="TableContents"/>
              <w:bidi w:val="0"/>
              <w:spacing w:before="0" w:after="0"/>
              <w:ind w:left="0" w:right="0" w:hanging="0"/>
              <w:jc w:val="left"/>
              <w:rPr/>
            </w:pPr>
            <w:r>
              <w:rPr/>
              <w:t>​</w:t>
            </w:r>
          </w:p>
        </w:tc>
        <w:tc>
          <w:tcPr>
            <w:tcW w:w="84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w:t>
            </w:r>
          </w:p>
        </w:tc>
        <w:tc>
          <w:tcPr>
            <w:tcW w:w="1180" w:type="dxa"/>
            <w:tcBorders/>
            <w:vAlign w:val="center"/>
          </w:tcPr>
          <w:p>
            <w:pPr>
              <w:pStyle w:val="TableContents"/>
              <w:bidi w:val="0"/>
              <w:spacing w:before="0" w:after="0"/>
              <w:ind w:left="0" w:right="0" w:hanging="0"/>
              <w:jc w:val="left"/>
              <w:rPr/>
            </w:pPr>
            <w:r>
              <w:rPr/>
              <w:t>​</w:t>
            </w:r>
          </w:p>
        </w:tc>
      </w:tr>
      <w:tr>
        <w:trPr/>
        <w:tc>
          <w:tcPr>
            <w:tcW w:w="4290" w:type="dxa"/>
            <w:tcBorders/>
            <w:shd w:fill="CCEEFF" w:val="cle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(Liabilities)</w:t>
            </w:r>
          </w:p>
        </w:tc>
        <w:tc>
          <w:tcPr>
            <w:tcW w:w="146" w:type="dxa"/>
            <w:tcBorders/>
            <w:shd w:fill="CCEEFF" w:val="clear"/>
            <w:vAlign w:val="center"/>
          </w:tcPr>
          <w:p>
            <w:pPr>
              <w:pStyle w:val="TableContents"/>
              <w:bidi w:val="0"/>
              <w:spacing w:before="0" w:after="0"/>
              <w:ind w:left="0" w:right="0" w:hanging="0"/>
              <w:jc w:val="left"/>
              <w:rPr/>
            </w:pPr>
            <w:r>
              <w:rPr/>
              <w:t> </w:t>
            </w:r>
          </w:p>
        </w:tc>
        <w:tc>
          <w:tcPr>
            <w:tcW w:w="2404"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pPr>
            <w:r>
              <w:rPr/>
              <w:t> </w:t>
            </w:r>
          </w:p>
        </w:tc>
        <w:tc>
          <w:tcPr>
            <w:tcW w:w="844"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 </w:t>
            </w:r>
          </w:p>
        </w:tc>
        <w:tc>
          <w:tcPr>
            <w:tcW w:w="1180" w:type="dxa"/>
            <w:tcBorders/>
            <w:shd w:fill="CCEEFF" w:val="clear"/>
            <w:vAlign w:val="center"/>
          </w:tcPr>
          <w:p>
            <w:pPr>
              <w:pStyle w:val="TableContents"/>
              <w:bidi w:val="0"/>
              <w:spacing w:before="0" w:after="0"/>
              <w:ind w:left="0" w:right="0" w:hanging="0"/>
              <w:jc w:val="right"/>
              <w:rPr/>
            </w:pPr>
            <w:r>
              <w:rPr/>
              <w:t>  ​</w:t>
            </w:r>
          </w:p>
        </w:tc>
      </w:tr>
      <w:tr>
        <w:trPr/>
        <w:tc>
          <w:tcPr>
            <w:tcW w:w="42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forward contracts</w:t>
            </w:r>
          </w:p>
        </w:tc>
        <w:tc>
          <w:tcPr>
            <w:tcW w:w="146" w:type="dxa"/>
            <w:tcBorders/>
            <w:vAlign w:val="center"/>
          </w:tcPr>
          <w:p>
            <w:pPr>
              <w:pStyle w:val="TableContents"/>
              <w:bidi w:val="0"/>
              <w:spacing w:before="0" w:after="0"/>
              <w:ind w:left="0" w:right="0" w:hanging="0"/>
              <w:jc w:val="left"/>
              <w:rPr/>
            </w:pPr>
            <w:r>
              <w:rPr/>
              <w:t> </w:t>
            </w:r>
          </w:p>
        </w:tc>
        <w:tc>
          <w:tcPr>
            <w:tcW w:w="24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w:t>
            </w:r>
          </w:p>
        </w:tc>
        <w:tc>
          <w:tcPr>
            <w:tcW w:w="346" w:type="dxa"/>
            <w:tcBorders/>
            <w:vAlign w:val="center"/>
          </w:tcPr>
          <w:p>
            <w:pPr>
              <w:pStyle w:val="TableContents"/>
              <w:bidi w:val="0"/>
              <w:spacing w:before="0" w:after="0"/>
              <w:ind w:left="0" w:right="0" w:hanging="0"/>
              <w:jc w:val="left"/>
              <w:rPr/>
            </w:pPr>
            <w:r>
              <w:rPr/>
              <w:t>​</w:t>
            </w:r>
          </w:p>
        </w:tc>
        <w:tc>
          <w:tcPr>
            <w:tcW w:w="282" w:type="dxa"/>
            <w:tcBorders/>
            <w:vAlign w:val="center"/>
          </w:tcPr>
          <w:p>
            <w:pPr>
              <w:pStyle w:val="TableContents"/>
              <w:bidi w:val="0"/>
              <w:spacing w:before="0" w:after="0"/>
              <w:ind w:left="0" w:right="0" w:hanging="0"/>
              <w:jc w:val="left"/>
              <w:rPr/>
            </w:pPr>
            <w:r>
              <w:rPr/>
              <w:t> </w:t>
            </w:r>
          </w:p>
        </w:tc>
        <w:tc>
          <w:tcPr>
            <w:tcW w:w="8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(2,082)</w:t>
            </w:r>
          </w:p>
        </w:tc>
        <w:tc>
          <w:tcPr>
            <w:tcW w:w="346"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 </w:t>
            </w:r>
          </w:p>
        </w:tc>
        <w:tc>
          <w:tcPr>
            <w:tcW w:w="11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(2,183)</w:t>
            </w:r>
          </w:p>
        </w:tc>
      </w:tr>
      <w:tr>
        <w:trPr/>
        <w:tc>
          <w:tcPr>
            <w:tcW w:w="42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forward contracts</w:t>
            </w:r>
          </w:p>
        </w:tc>
        <w:tc>
          <w:tcPr>
            <w:tcW w:w="146" w:type="dxa"/>
            <w:tcBorders/>
            <w:shd w:fill="CCEEFF" w:val="clear"/>
            <w:vAlign w:val="center"/>
          </w:tcPr>
          <w:p>
            <w:pPr>
              <w:pStyle w:val="TableContents"/>
              <w:bidi w:val="0"/>
              <w:spacing w:before="0" w:after="0"/>
              <w:ind w:left="0" w:right="0" w:hanging="0"/>
              <w:jc w:val="left"/>
              <w:rPr/>
            </w:pPr>
            <w:r>
              <w:rPr/>
              <w:t> </w:t>
            </w:r>
          </w:p>
        </w:tc>
        <w:tc>
          <w:tcPr>
            <w:tcW w:w="24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long-term obligations</w:t>
            </w:r>
          </w:p>
        </w:tc>
        <w:tc>
          <w:tcPr>
            <w:tcW w:w="346"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pPr>
            <w:r>
              <w:rPr/>
              <w:t> </w:t>
            </w:r>
          </w:p>
        </w:tc>
        <w:tc>
          <w:tcPr>
            <w:tcW w:w="8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w:t>
            </w:r>
          </w:p>
        </w:tc>
        <w:tc>
          <w:tcPr>
            <w:tcW w:w="34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 </w:t>
            </w:r>
          </w:p>
        </w:tc>
        <w:tc>
          <w:tcPr>
            <w:tcW w:w="11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(424)</w:t>
            </w:r>
          </w:p>
        </w:tc>
      </w:tr>
      <w:tr>
        <w:trPr/>
        <w:tc>
          <w:tcPr>
            <w:tcW w:w="4290"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40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82" w:type="dxa"/>
            <w:tcBorders/>
            <w:vAlign w:val="center"/>
          </w:tcPr>
          <w:p>
            <w:pPr>
              <w:pStyle w:val="TableContents"/>
              <w:bidi w:val="0"/>
              <w:spacing w:before="0" w:after="0"/>
              <w:ind w:left="0" w:right="0" w:hanging="0"/>
              <w:jc w:val="left"/>
              <w:rPr/>
            </w:pPr>
            <w:r>
              <w:rPr/>
              <w:t>​</w:t>
            </w:r>
          </w:p>
        </w:tc>
        <w:tc>
          <w:tcPr>
            <w:tcW w:w="84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w:t>
            </w:r>
          </w:p>
        </w:tc>
        <w:tc>
          <w:tcPr>
            <w:tcW w:w="1180" w:type="dxa"/>
            <w:tcBorders/>
            <w:vAlign w:val="center"/>
          </w:tcPr>
          <w:p>
            <w:pPr>
              <w:pStyle w:val="TableContents"/>
              <w:bidi w:val="0"/>
              <w:spacing w:before="0" w:after="0"/>
              <w:ind w:left="0" w:right="0" w:hanging="0"/>
              <w:jc w:val="left"/>
              <w:rPr/>
            </w:pPr>
            <w:r>
              <w:rPr/>
              <w:t>​</w:t>
            </w:r>
          </w:p>
        </w:tc>
      </w:tr>
      <w:tr>
        <w:trPr/>
        <w:tc>
          <w:tcPr>
            <w:tcW w:w="4290" w:type="dxa"/>
            <w:tcBorders/>
            <w:shd w:fill="CCEEFF" w:val="clear"/>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Fair Value of Derivative Instruments Not Designated as Hedging Instruments</w:t>
            </w:r>
          </w:p>
        </w:tc>
        <w:tc>
          <w:tcPr>
            <w:tcW w:w="146" w:type="dxa"/>
            <w:tcBorders/>
            <w:shd w:fill="CCEEFF" w:val="clear"/>
            <w:vAlign w:val="center"/>
          </w:tcPr>
          <w:p>
            <w:pPr>
              <w:pStyle w:val="TableContents"/>
              <w:bidi w:val="0"/>
              <w:spacing w:before="0" w:after="0"/>
              <w:ind w:left="0" w:right="0" w:hanging="0"/>
              <w:jc w:val="left"/>
              <w:rPr/>
            </w:pPr>
            <w:r>
              <w:rPr/>
              <w:t> </w:t>
            </w:r>
          </w:p>
        </w:tc>
        <w:tc>
          <w:tcPr>
            <w:tcW w:w="24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Sheet Location</w:t>
            </w:r>
          </w:p>
        </w:tc>
        <w:tc>
          <w:tcPr>
            <w:tcW w:w="346" w:type="dxa"/>
            <w:tcBorders/>
            <w:shd w:fill="CCEEFF" w:val="clear"/>
            <w:vAlign w:val="center"/>
          </w:tcPr>
          <w:p>
            <w:pPr>
              <w:pStyle w:val="TableContents"/>
              <w:bidi w:val="0"/>
              <w:spacing w:before="0" w:after="0"/>
              <w:ind w:left="0" w:right="0" w:hanging="0"/>
              <w:jc w:val="left"/>
              <w:rPr/>
            </w:pPr>
            <w:r>
              <w:rPr/>
              <w:t>  ​ ​ ​</w:t>
            </w:r>
          </w:p>
        </w:tc>
        <w:tc>
          <w:tcPr>
            <w:tcW w:w="1126"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shd w:fill="CCEEFF" w:val="clear"/>
            <w:vAlign w:val="center"/>
          </w:tcPr>
          <w:p>
            <w:pPr>
              <w:pStyle w:val="TableContents"/>
              <w:bidi w:val="0"/>
              <w:spacing w:before="0" w:after="0"/>
              <w:ind w:left="0" w:right="0" w:hanging="0"/>
              <w:jc w:val="left"/>
              <w:rPr/>
            </w:pPr>
            <w:r>
              <w:rPr/>
              <w:t>  ​ ​ ​</w:t>
            </w:r>
          </w:p>
        </w:tc>
        <w:tc>
          <w:tcPr>
            <w:tcW w:w="1547"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4290"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Assets</w:t>
            </w:r>
          </w:p>
        </w:tc>
        <w:tc>
          <w:tcPr>
            <w:tcW w:w="146" w:type="dxa"/>
            <w:tcBorders/>
            <w:vAlign w:val="center"/>
          </w:tcPr>
          <w:p>
            <w:pPr>
              <w:pStyle w:val="TableContents"/>
              <w:bidi w:val="0"/>
              <w:spacing w:before="0" w:after="0"/>
              <w:ind w:left="0" w:right="0" w:hanging="0"/>
              <w:jc w:val="left"/>
              <w:rPr/>
            </w:pPr>
            <w:r>
              <w:rPr/>
              <w:t> </w:t>
            </w:r>
          </w:p>
        </w:tc>
        <w:tc>
          <w:tcPr>
            <w:tcW w:w="2404"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w:t>
            </w:r>
          </w:p>
        </w:tc>
        <w:tc>
          <w:tcPr>
            <w:tcW w:w="282" w:type="dxa"/>
            <w:tcBorders/>
            <w:vAlign w:val="center"/>
          </w:tcPr>
          <w:p>
            <w:pPr>
              <w:pStyle w:val="TableContents"/>
              <w:bidi w:val="0"/>
              <w:spacing w:before="0" w:after="0"/>
              <w:ind w:left="0" w:right="0" w:hanging="0"/>
              <w:jc w:val="left"/>
              <w:rPr/>
            </w:pPr>
            <w:r>
              <w:rPr/>
              <w:t> </w:t>
            </w:r>
          </w:p>
        </w:tc>
        <w:tc>
          <w:tcPr>
            <w:tcW w:w="844"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 </w:t>
            </w:r>
          </w:p>
        </w:tc>
        <w:tc>
          <w:tcPr>
            <w:tcW w:w="1180" w:type="dxa"/>
            <w:tcBorders/>
            <w:vAlign w:val="center"/>
          </w:tcPr>
          <w:p>
            <w:pPr>
              <w:pStyle w:val="TableContents"/>
              <w:bidi w:val="0"/>
              <w:spacing w:before="0" w:after="0"/>
              <w:ind w:left="0" w:right="0" w:hanging="0"/>
              <w:jc w:val="right"/>
              <w:rPr/>
            </w:pPr>
            <w:r>
              <w:rPr/>
              <w:t>  ​</w:t>
            </w:r>
          </w:p>
        </w:tc>
      </w:tr>
      <w:tr>
        <w:trPr/>
        <w:tc>
          <w:tcPr>
            <w:tcW w:w="42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forward contracts</w:t>
            </w:r>
          </w:p>
        </w:tc>
        <w:tc>
          <w:tcPr>
            <w:tcW w:w="146" w:type="dxa"/>
            <w:tcBorders/>
            <w:shd w:fill="CCEEFF" w:val="clear"/>
            <w:vAlign w:val="center"/>
          </w:tcPr>
          <w:p>
            <w:pPr>
              <w:pStyle w:val="TableContents"/>
              <w:bidi w:val="0"/>
              <w:spacing w:before="0" w:after="0"/>
              <w:ind w:left="0" w:right="0" w:hanging="0"/>
              <w:jc w:val="left"/>
              <w:rPr/>
            </w:pPr>
            <w:r>
              <w:rPr/>
              <w:t> </w:t>
            </w:r>
          </w:p>
        </w:tc>
        <w:tc>
          <w:tcPr>
            <w:tcW w:w="24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assets</w:t>
            </w:r>
          </w:p>
        </w:tc>
        <w:tc>
          <w:tcPr>
            <w:tcW w:w="346"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2,147</w:t>
            </w:r>
          </w:p>
        </w:tc>
        <w:tc>
          <w:tcPr>
            <w:tcW w:w="34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1,390</w:t>
            </w:r>
          </w:p>
        </w:tc>
      </w:tr>
      <w:tr>
        <w:trPr/>
        <w:tc>
          <w:tcPr>
            <w:tcW w:w="4290"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40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82" w:type="dxa"/>
            <w:tcBorders/>
            <w:vAlign w:val="center"/>
          </w:tcPr>
          <w:p>
            <w:pPr>
              <w:pStyle w:val="TableContents"/>
              <w:bidi w:val="0"/>
              <w:spacing w:before="0" w:after="0"/>
              <w:ind w:left="0" w:right="0" w:hanging="0"/>
              <w:jc w:val="left"/>
              <w:rPr/>
            </w:pPr>
            <w:r>
              <w:rPr/>
              <w:t>​</w:t>
            </w:r>
          </w:p>
        </w:tc>
        <w:tc>
          <w:tcPr>
            <w:tcW w:w="84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w:t>
            </w:r>
          </w:p>
        </w:tc>
        <w:tc>
          <w:tcPr>
            <w:tcW w:w="1180" w:type="dxa"/>
            <w:tcBorders/>
            <w:vAlign w:val="center"/>
          </w:tcPr>
          <w:p>
            <w:pPr>
              <w:pStyle w:val="TableContents"/>
              <w:bidi w:val="0"/>
              <w:spacing w:before="0" w:after="0"/>
              <w:ind w:left="0" w:right="0" w:hanging="0"/>
              <w:jc w:val="right"/>
              <w:rPr/>
            </w:pPr>
            <w:r>
              <w:rPr/>
              <w:t>​</w:t>
            </w:r>
          </w:p>
        </w:tc>
      </w:tr>
      <w:tr>
        <w:trPr/>
        <w:tc>
          <w:tcPr>
            <w:tcW w:w="4290" w:type="dxa"/>
            <w:tcBorders/>
            <w:shd w:fill="CCEEFF" w:val="cle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(Liabilities)</w:t>
            </w:r>
          </w:p>
        </w:tc>
        <w:tc>
          <w:tcPr>
            <w:tcW w:w="146" w:type="dxa"/>
            <w:tcBorders/>
            <w:shd w:fill="CCEEFF" w:val="clear"/>
            <w:vAlign w:val="center"/>
          </w:tcPr>
          <w:p>
            <w:pPr>
              <w:pStyle w:val="TableContents"/>
              <w:bidi w:val="0"/>
              <w:spacing w:before="0" w:after="0"/>
              <w:ind w:left="0" w:right="0" w:hanging="0"/>
              <w:jc w:val="left"/>
              <w:rPr/>
            </w:pPr>
            <w:r>
              <w:rPr/>
              <w:t> </w:t>
            </w:r>
          </w:p>
        </w:tc>
        <w:tc>
          <w:tcPr>
            <w:tcW w:w="2404"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pPr>
            <w:r>
              <w:rPr/>
              <w:t> </w:t>
            </w:r>
          </w:p>
        </w:tc>
        <w:tc>
          <w:tcPr>
            <w:tcW w:w="844"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 </w:t>
            </w:r>
          </w:p>
        </w:tc>
        <w:tc>
          <w:tcPr>
            <w:tcW w:w="1180" w:type="dxa"/>
            <w:tcBorders/>
            <w:shd w:fill="CCEEFF" w:val="clear"/>
            <w:vAlign w:val="center"/>
          </w:tcPr>
          <w:p>
            <w:pPr>
              <w:pStyle w:val="TableContents"/>
              <w:bidi w:val="0"/>
              <w:spacing w:before="0" w:after="0"/>
              <w:ind w:left="0" w:right="0" w:hanging="0"/>
              <w:jc w:val="right"/>
              <w:rPr/>
            </w:pPr>
            <w:r>
              <w:rPr/>
              <w:t>  ​</w:t>
            </w:r>
          </w:p>
        </w:tc>
      </w:tr>
      <w:tr>
        <w:trPr/>
        <w:tc>
          <w:tcPr>
            <w:tcW w:w="42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forward contracts</w:t>
            </w:r>
          </w:p>
        </w:tc>
        <w:tc>
          <w:tcPr>
            <w:tcW w:w="146" w:type="dxa"/>
            <w:tcBorders/>
            <w:vAlign w:val="center"/>
          </w:tcPr>
          <w:p>
            <w:pPr>
              <w:pStyle w:val="TableContents"/>
              <w:bidi w:val="0"/>
              <w:spacing w:before="0" w:after="0"/>
              <w:ind w:left="0" w:right="0" w:hanging="0"/>
              <w:jc w:val="left"/>
              <w:rPr/>
            </w:pPr>
            <w:r>
              <w:rPr/>
              <w:t> </w:t>
            </w:r>
          </w:p>
        </w:tc>
        <w:tc>
          <w:tcPr>
            <w:tcW w:w="24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w:t>
            </w:r>
          </w:p>
        </w:tc>
        <w:tc>
          <w:tcPr>
            <w:tcW w:w="346" w:type="dxa"/>
            <w:tcBorders/>
            <w:vAlign w:val="center"/>
          </w:tcPr>
          <w:p>
            <w:pPr>
              <w:pStyle w:val="TableContents"/>
              <w:bidi w:val="0"/>
              <w:spacing w:before="0" w:after="0"/>
              <w:ind w:left="0" w:right="0" w:hanging="0"/>
              <w:jc w:val="left"/>
              <w:rPr/>
            </w:pPr>
            <w:r>
              <w:rPr/>
              <w:t>​</w:t>
            </w:r>
          </w:p>
        </w:tc>
        <w:tc>
          <w:tcPr>
            <w:tcW w:w="282" w:type="dxa"/>
            <w:tcBorders/>
            <w:vAlign w:val="center"/>
          </w:tcPr>
          <w:p>
            <w:pPr>
              <w:pStyle w:val="TableContents"/>
              <w:bidi w:val="0"/>
              <w:spacing w:before="0" w:after="0"/>
              <w:ind w:left="0" w:right="0" w:hanging="0"/>
              <w:jc w:val="left"/>
              <w:rPr/>
            </w:pPr>
            <w:r>
              <w:rPr/>
              <w:t> </w:t>
            </w:r>
          </w:p>
        </w:tc>
        <w:tc>
          <w:tcPr>
            <w:tcW w:w="8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(1,967)</w:t>
            </w:r>
          </w:p>
        </w:tc>
        <w:tc>
          <w:tcPr>
            <w:tcW w:w="346"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 </w:t>
            </w:r>
          </w:p>
        </w:tc>
        <w:tc>
          <w:tcPr>
            <w:tcW w:w="11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(1,620)</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bookmarkStart w:id="904" w:name="Tc_m1v1A5HxhUaFBjnbvIdLeg_3_13"/>
      <w:bookmarkStart w:id="905" w:name="Tc_SYokmr7rakSHK4P1zFa3yg_3_10"/>
      <w:bookmarkStart w:id="906" w:name="Tc_edaTSL6Um0S5dVq0FqW8Qw_3_7"/>
      <w:bookmarkStart w:id="907" w:name="Tc_H2FUp4lEFkqRsdUhSBvRQw_3_4"/>
      <w:bookmarkStart w:id="908" w:name="Tc_TE9CBOyQ3UKMYP9VL8bYyQ_3_0"/>
      <w:bookmarkStart w:id="909" w:name="Tc_b6OB2ltgrEKiaRC4RhraKA_2_13"/>
      <w:bookmarkStart w:id="910" w:name="Tc_Xh1YW2OWKEGKq7OiqJ6Zog_2_10"/>
      <w:bookmarkStart w:id="911" w:name="Tc_RGrD7JrwPE6UwBJycsSrjA_2_7"/>
      <w:bookmarkStart w:id="912" w:name="Tc_cT8iHdR2NU-O2ekbUbSyjA_2_4"/>
      <w:bookmarkStart w:id="913" w:name="Tc_KvassseztkSXHyFpJzU1xw_2_2"/>
      <w:bookmarkStart w:id="914" w:name="Tc_2GhM5_AUhU6Iz0hRwpb9DQ_2_0"/>
      <w:bookmarkStart w:id="915" w:name="Tc_-0gOTBpc1U-EorVw-KW6OQ_1_10"/>
      <w:bookmarkStart w:id="916" w:name="Tc_zk6n9ub9D0ClZvKiBCb-zA_1_4"/>
      <w:bookmarkStart w:id="917" w:name="_f3c6a499_131c_4eb0_a07e_735ec6c955e4"/>
      <w:bookmarkStart w:id="918" w:name="Tc_1rCr3Ylrp0mm-vC4tZLeJA_6_8"/>
      <w:bookmarkStart w:id="919" w:name="Tc_GEAXS4DhtUCawuwi8Q9s0Q_5_19"/>
      <w:bookmarkStart w:id="920" w:name="Tc_rTsFX4Y7H0akAllTyuSXpg_5_16"/>
      <w:bookmarkStart w:id="921" w:name="Tc_5YT2li6KFkWI4Qtq3uJgMg_5_13"/>
      <w:bookmarkStart w:id="922" w:name="Tc_KtRcio-Iwkyx4S5De7ggfg_5_10"/>
      <w:bookmarkStart w:id="923" w:name="Tc_3tXFUKzf50urTCayFW0rPw_5_8"/>
      <w:bookmarkStart w:id="924" w:name="Tc_vDecPS13702-80XboWusww_5_5"/>
      <w:bookmarkStart w:id="925" w:name="Tc_vwT8NMsne0GXjtkKgTKsgg_5_2"/>
      <w:bookmarkStart w:id="926" w:name="Tc_ORUiWE3CV0GoJSvs4zxEDQ_5_0"/>
      <w:bookmarkStart w:id="927" w:name="Tc_W7IunelLT06LcH51MeeZ_g_4_20"/>
      <w:bookmarkStart w:id="928" w:name="Tc_B08PFws890iRAhsKtJz87Q_4_16"/>
      <w:bookmarkStart w:id="929" w:name="Tc_OVNHjXviD0OWyaOjxga8Nw_4_14"/>
      <w:bookmarkStart w:id="930" w:name="Tc_Ikc05armmkiteF5sHS0Afg_4_10"/>
      <w:bookmarkStart w:id="931" w:name="Tc_kh9OvFewIUOCEzdMSsT2SA_4_8"/>
      <w:bookmarkStart w:id="932" w:name="Tc_StLyacdhIkSy4TLdnKtsgQ_4_5"/>
      <w:bookmarkStart w:id="933" w:name="Tc_U7EJdPKq3E6VEmwuSxU8Qw_4_2"/>
      <w:bookmarkStart w:id="934" w:name="Tc__G98sjxM7kyNkqDW1fAYVQ_4_0"/>
      <w:bookmarkStart w:id="935" w:name="Tc_aIgS2dHIH0a8fKURWZnTIg_3_16"/>
      <w:bookmarkStart w:id="936" w:name="Tc_f4zfD_9mgkSy0cWHKnWuJg_3_10"/>
      <w:bookmarkStart w:id="937" w:name="Tc_GqXSFFMUwkek34Yj9vn2fg_3_2"/>
      <w:bookmarkStart w:id="938" w:name="Tc_riM0RNV2UEKigdnPqy5Q1Q_2_16"/>
      <w:bookmarkStart w:id="939" w:name="Tc_jwSYAC6d4EuQs7_siTq9CQ_2_10"/>
      <w:bookmarkStart w:id="940" w:name="Tc_O-YGGjhUxk2yaHYkWJ0Fpw_2_2"/>
      <w:bookmarkStart w:id="941" w:name="Tc_iLQW3-_pxkqoR1TGe4F_yw_1_16"/>
      <w:bookmarkStart w:id="942" w:name="Tc_MPWhuOMgp0az6QytTYjaCQ_1_10"/>
      <w:bookmarkStart w:id="943" w:name="Tc_ZmvNgm8YJU2uVKhfxz1o_A_1_2"/>
      <w:bookmarkStart w:id="944" w:name="_f9a74a48_f3be_4a73_a066_109ebffd7fb5"/>
      <w:bookmarkStart w:id="945" w:name="Tc_KrdHEgp7k0O__P-wlRGNIA_6_8"/>
      <w:bookmarkStart w:id="946" w:name="Tc_whUXlk0OV0q0c3qXEdrcxA_5_19"/>
      <w:bookmarkStart w:id="947" w:name="Tc_xnNAnEnw20KnnwU_mi8FiQ_5_16"/>
      <w:bookmarkStart w:id="948" w:name="Tc_ddSWp8ac90iyw79uwgbH0g_5_13"/>
      <w:bookmarkStart w:id="949" w:name="Tc_8Dqrq0uBzkqxnD9wf2WCew_5_10"/>
      <w:bookmarkStart w:id="950" w:name="Tc_XKBpHWj9YEK8vcPMtSiJTg_5_8"/>
      <w:bookmarkStart w:id="951" w:name="Tc_RKZU7RlV1k-aLG67DAus6Q_5_5"/>
      <w:bookmarkStart w:id="952" w:name="Tc_h0k8BRXL40ewaH2mYdr2dg_5_2"/>
      <w:bookmarkStart w:id="953" w:name="Tc_6dh-A5qk0EubhiM1T934rg_5_0"/>
      <w:bookmarkStart w:id="954" w:name="Tc_0IXhINT00UyweEVIp-LV6g_4_20"/>
      <w:bookmarkStart w:id="955" w:name="Tc_YpkncRfzSk-E2GDwkdmzEQ_4_16"/>
      <w:bookmarkStart w:id="956" w:name="Tc_qYCLCujd6Uahc2K_-cFa1A_4_14"/>
      <w:bookmarkStart w:id="957" w:name="Tc_3q3RfaL-1EKav5wxL_MSbQ_4_10"/>
      <w:bookmarkStart w:id="958" w:name="Tc_NYn4nDfuDU66KVzacbShLQ_4_8"/>
      <w:bookmarkStart w:id="959" w:name="Tc_RiBgSNEjdk60VJ8Z8pwA-A_4_5"/>
      <w:bookmarkStart w:id="960" w:name="Tc_2AmBKxPfTkaJRJdweRh8uw_4_2"/>
      <w:bookmarkStart w:id="961" w:name="Tc_1x0M9-yTqkGTasFucMkhtg_4_0"/>
      <w:bookmarkStart w:id="962" w:name="Tc_DUyLZ27y10ybw6PFJRxWSA_3_16"/>
      <w:bookmarkStart w:id="963" w:name="Tc_6a-Mg9tX3k6_U1cLutIftQ_3_10"/>
      <w:bookmarkStart w:id="964" w:name="Tc_TAKR-e4LpEueuvdI-wrr9Q_3_2"/>
      <w:bookmarkStart w:id="965" w:name="Tc_nmVJ2jCp4kiwyijl18ZFqw_2_16"/>
      <w:bookmarkStart w:id="966" w:name="Tc_RLfYBu8hc0ufCLdFLogqPw_2_10"/>
      <w:bookmarkStart w:id="967" w:name="Tc_ENhgbyy4SUqpEHVY0uP4zg_2_2"/>
      <w:bookmarkStart w:id="968" w:name="Tc_KTX3qX71FE6sPF9UPfWNvg_1_16"/>
      <w:bookmarkStart w:id="969" w:name="Tc_IbxsdC4LYkq_oenlu2hIhA_1_10"/>
      <w:bookmarkStart w:id="970" w:name="Tc_AN1cMq_M1EWO7fLbqAmTEg_1_2"/>
      <w:bookmarkStart w:id="971" w:name="_163aaf05_eb55_4735_8189_6a7764768342"/>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r>
        <w:rPr>
          <w:rFonts w:ascii="Times New Roman;Times;serif" w:hAnsi="Times New Roman;Times;serif"/>
          <w:b/>
          <w:sz w:val="20"/>
        </w:rPr>
        <w:t>Income Statement Presentation of Derivative Instruments.</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Derivative Instruments Designated as Cash Flow Hedges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Derivative instruments designated as cash flow hedges had the following effects, before income taxes, on other comprehensive income (“OCI”), accumulated other comprehensive income (“AOCI”), and net earnings in our consolidated statements of income, consolidated statements of comprehensive income and consolidated balance sheets (in thousands):</w:t>
      </w:r>
    </w:p>
    <w:tbl>
      <w:tblPr>
        <w:tblW w:w="10205" w:type="dxa"/>
        <w:jc w:val="left"/>
        <w:tblInd w:w="0" w:type="dxa"/>
        <w:tblLayout w:type="fixed"/>
        <w:tblCellMar>
          <w:top w:w="0" w:type="dxa"/>
          <w:left w:w="0" w:type="dxa"/>
          <w:bottom w:w="0" w:type="dxa"/>
          <w:right w:w="0" w:type="dxa"/>
        </w:tblCellMar>
      </w:tblPr>
      <w:tblGrid>
        <w:gridCol w:w="1486"/>
        <w:gridCol w:w="346"/>
        <w:gridCol w:w="229"/>
        <w:gridCol w:w="441"/>
        <w:gridCol w:w="171"/>
        <w:gridCol w:w="229"/>
        <w:gridCol w:w="700"/>
        <w:gridCol w:w="346"/>
        <w:gridCol w:w="1435"/>
        <w:gridCol w:w="346"/>
        <w:gridCol w:w="197"/>
        <w:gridCol w:w="776"/>
        <w:gridCol w:w="227"/>
        <w:gridCol w:w="227"/>
        <w:gridCol w:w="776"/>
        <w:gridCol w:w="226"/>
        <w:gridCol w:w="239"/>
        <w:gridCol w:w="624"/>
        <w:gridCol w:w="275"/>
        <w:gridCol w:w="275"/>
        <w:gridCol w:w="634"/>
      </w:tblGrid>
      <w:tr>
        <w:trPr/>
        <w:tc>
          <w:tcPr>
            <w:tcW w:w="14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441" w:type="dxa"/>
            <w:tcBorders/>
            <w:vAlign w:val="center"/>
          </w:tcPr>
          <w:p>
            <w:pPr>
              <w:pStyle w:val="TableContents"/>
              <w:bidi w:val="0"/>
              <w:spacing w:before="0" w:after="1"/>
              <w:ind w:left="0" w:right="0" w:hanging="0"/>
              <w:jc w:val="left"/>
              <w:rPr/>
            </w:pPr>
            <w:r>
              <w:rPr/>
              <w:t>​</w:t>
            </w:r>
          </w:p>
        </w:tc>
        <w:tc>
          <w:tcPr>
            <w:tcW w:w="171"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70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43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pPr>
            <w:r>
              <w:rPr/>
              <w:t>​</w:t>
            </w:r>
          </w:p>
        </w:tc>
        <w:tc>
          <w:tcPr>
            <w:tcW w:w="77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77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624" w:type="dxa"/>
            <w:tcBorders/>
            <w:vAlign w:val="center"/>
          </w:tcPr>
          <w:p>
            <w:pPr>
              <w:pStyle w:val="TableContents"/>
              <w:bidi w:val="0"/>
              <w:spacing w:before="0" w:after="1"/>
              <w:ind w:left="0" w:right="0" w:hanging="0"/>
              <w:jc w:val="left"/>
              <w:rPr/>
            </w:pPr>
            <w:r>
              <w:rPr/>
              <w:t>​</w:t>
            </w:r>
          </w:p>
        </w:tc>
        <w:tc>
          <w:tcPr>
            <w:tcW w:w="275" w:type="dxa"/>
            <w:tcBorders/>
            <w:vAlign w:val="center"/>
          </w:tcPr>
          <w:p>
            <w:pPr>
              <w:pStyle w:val="TableContents"/>
              <w:bidi w:val="0"/>
              <w:spacing w:before="0" w:after="1"/>
              <w:ind w:left="0" w:right="0" w:hanging="0"/>
              <w:jc w:val="left"/>
              <w:rPr/>
            </w:pPr>
            <w:r>
              <w:rPr/>
              <w:t>​</w:t>
            </w:r>
          </w:p>
        </w:tc>
        <w:tc>
          <w:tcPr>
            <w:tcW w:w="275" w:type="dxa"/>
            <w:tcBorders/>
            <w:vAlign w:val="center"/>
          </w:tcPr>
          <w:p>
            <w:pPr>
              <w:pStyle w:val="TableContents"/>
              <w:bidi w:val="0"/>
              <w:spacing w:before="0" w:after="1"/>
              <w:ind w:left="0" w:right="0" w:hanging="0"/>
              <w:jc w:val="left"/>
              <w:rPr/>
            </w:pPr>
            <w:r>
              <w:rPr/>
              <w:t>​</w:t>
            </w:r>
          </w:p>
        </w:tc>
        <w:tc>
          <w:tcPr>
            <w:tcW w:w="634" w:type="dxa"/>
            <w:tcBorders/>
            <w:vAlign w:val="center"/>
          </w:tcPr>
          <w:p>
            <w:pPr>
              <w:pStyle w:val="TableContents"/>
              <w:bidi w:val="0"/>
              <w:spacing w:before="0" w:after="1"/>
              <w:ind w:left="0" w:right="0" w:hanging="0"/>
              <w:jc w:val="left"/>
              <w:rPr/>
            </w:pPr>
            <w:r>
              <w:rPr/>
              <w:t>​</w:t>
            </w:r>
          </w:p>
        </w:tc>
      </w:tr>
      <w:tr>
        <w:trPr/>
        <w:tc>
          <w:tcPr>
            <w:tcW w:w="14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77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 of Gain/(Loss)</w:t>
            </w:r>
          </w:p>
        </w:tc>
        <w:tc>
          <w:tcPr>
            <w:tcW w:w="346" w:type="dxa"/>
            <w:tcBorders/>
            <w:vAlign w:val="center"/>
          </w:tcPr>
          <w:p>
            <w:pPr>
              <w:pStyle w:val="TableContents"/>
              <w:bidi w:val="0"/>
              <w:spacing w:before="0" w:after="1"/>
              <w:ind w:left="0" w:right="0" w:hanging="0"/>
              <w:jc w:val="left"/>
              <w:rPr/>
            </w:pPr>
            <w:r>
              <w:rPr/>
              <w:t>​</w:t>
            </w:r>
          </w:p>
        </w:tc>
        <w:tc>
          <w:tcPr>
            <w:tcW w:w="143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203"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Consolidated Statements</w:t>
            </w:r>
          </w:p>
        </w:tc>
        <w:tc>
          <w:tcPr>
            <w:tcW w:w="226" w:type="dxa"/>
            <w:tcBorders/>
            <w:vAlign w:val="center"/>
          </w:tcPr>
          <w:p>
            <w:pPr>
              <w:pStyle w:val="TableContents"/>
              <w:bidi w:val="0"/>
              <w:spacing w:before="0" w:after="1"/>
              <w:ind w:left="0" w:right="0" w:hanging="0"/>
              <w:jc w:val="left"/>
              <w:rPr/>
            </w:pPr>
            <w:r>
              <w:rPr/>
              <w:t>​</w:t>
            </w:r>
          </w:p>
        </w:tc>
        <w:tc>
          <w:tcPr>
            <w:tcW w:w="2047"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 of Gain/(Loss)</w:t>
            </w:r>
          </w:p>
        </w:tc>
      </w:tr>
      <w:tr>
        <w:trPr/>
        <w:tc>
          <w:tcPr>
            <w:tcW w:w="14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77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Recognized in OCI</w:t>
            </w:r>
          </w:p>
        </w:tc>
        <w:tc>
          <w:tcPr>
            <w:tcW w:w="346" w:type="dxa"/>
            <w:tcBorders/>
            <w:vAlign w:val="center"/>
          </w:tcPr>
          <w:p>
            <w:pPr>
              <w:pStyle w:val="TableContents"/>
              <w:bidi w:val="0"/>
              <w:spacing w:before="0" w:after="1"/>
              <w:ind w:left="0" w:right="0" w:hanging="0"/>
              <w:jc w:val="left"/>
              <w:rPr/>
            </w:pPr>
            <w:r>
              <w:rPr/>
              <w:t>​</w:t>
            </w:r>
          </w:p>
        </w:tc>
        <w:tc>
          <w:tcPr>
            <w:tcW w:w="143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20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of Income</w:t>
            </w:r>
          </w:p>
        </w:tc>
        <w:tc>
          <w:tcPr>
            <w:tcW w:w="226" w:type="dxa"/>
            <w:tcBorders/>
            <w:vAlign w:val="center"/>
          </w:tcPr>
          <w:p>
            <w:pPr>
              <w:pStyle w:val="TableContents"/>
              <w:bidi w:val="0"/>
              <w:spacing w:before="0" w:after="1"/>
              <w:ind w:left="0" w:right="0" w:hanging="0"/>
              <w:jc w:val="left"/>
              <w:rPr/>
            </w:pPr>
            <w:r>
              <w:rPr/>
              <w:t>​</w:t>
            </w:r>
          </w:p>
        </w:tc>
        <w:tc>
          <w:tcPr>
            <w:tcW w:w="2047"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Reclassified from AOCI</w:t>
            </w:r>
          </w:p>
        </w:tc>
      </w:tr>
      <w:tr>
        <w:trPr/>
        <w:tc>
          <w:tcPr>
            <w:tcW w:w="14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77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46" w:type="dxa"/>
            <w:tcBorders/>
            <w:vAlign w:val="center"/>
          </w:tcPr>
          <w:p>
            <w:pPr>
              <w:pStyle w:val="TableContents"/>
              <w:bidi w:val="0"/>
              <w:spacing w:before="0" w:after="1"/>
              <w:ind w:left="0" w:right="0" w:hanging="0"/>
              <w:jc w:val="left"/>
              <w:rPr/>
            </w:pPr>
            <w:r>
              <w:rPr/>
              <w:t> </w:t>
            </w:r>
          </w:p>
        </w:tc>
        <w:tc>
          <w:tcPr>
            <w:tcW w:w="143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2203"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226" w:type="dxa"/>
            <w:tcBorders/>
            <w:vAlign w:val="center"/>
          </w:tcPr>
          <w:p>
            <w:pPr>
              <w:pStyle w:val="TableContents"/>
              <w:bidi w:val="0"/>
              <w:spacing w:before="0" w:after="1"/>
              <w:ind w:left="0" w:right="0" w:hanging="0"/>
              <w:jc w:val="left"/>
              <w:rPr/>
            </w:pPr>
            <w:r>
              <w:rPr/>
              <w:t>​</w:t>
            </w:r>
          </w:p>
        </w:tc>
        <w:tc>
          <w:tcPr>
            <w:tcW w:w="2047"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r>
      <w:tr>
        <w:trPr/>
        <w:tc>
          <w:tcPr>
            <w:tcW w:w="148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Derivative instrument</w:t>
            </w:r>
          </w:p>
        </w:tc>
        <w:tc>
          <w:tcPr>
            <w:tcW w:w="346" w:type="dxa"/>
            <w:tcBorders/>
            <w:vAlign w:val="center"/>
          </w:tcPr>
          <w:p>
            <w:pPr>
              <w:pStyle w:val="TableContents"/>
              <w:bidi w:val="0"/>
              <w:spacing w:before="0" w:after="1"/>
              <w:ind w:left="0" w:right="0" w:hanging="0"/>
              <w:jc w:val="left"/>
              <w:rPr/>
            </w:pPr>
            <w:r>
              <w:rPr/>
              <w:t>  ​ ​ ​</w:t>
            </w:r>
          </w:p>
        </w:tc>
        <w:tc>
          <w:tcPr>
            <w:tcW w:w="67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71" w:type="dxa"/>
            <w:tcBorders/>
            <w:vAlign w:val="center"/>
          </w:tcPr>
          <w:p>
            <w:pPr>
              <w:pStyle w:val="TableContents"/>
              <w:bidi w:val="0"/>
              <w:spacing w:before="0" w:after="1"/>
              <w:ind w:left="0" w:right="0" w:hanging="0"/>
              <w:jc w:val="left"/>
              <w:rPr/>
            </w:pPr>
            <w:r>
              <w:rPr/>
              <w:t> </w:t>
            </w:r>
          </w:p>
        </w:tc>
        <w:tc>
          <w:tcPr>
            <w:tcW w:w="92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1435"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Location in statements of income</w:t>
            </w:r>
          </w:p>
        </w:tc>
        <w:tc>
          <w:tcPr>
            <w:tcW w:w="346" w:type="dxa"/>
            <w:tcBorders/>
            <w:vAlign w:val="center"/>
          </w:tcPr>
          <w:p>
            <w:pPr>
              <w:pStyle w:val="TableContents"/>
              <w:bidi w:val="0"/>
              <w:spacing w:before="0" w:after="1"/>
              <w:ind w:left="0" w:right="0" w:hanging="0"/>
              <w:jc w:val="left"/>
              <w:rPr/>
            </w:pPr>
            <w:r>
              <w:rPr/>
              <w:t>  ​ ​ ​</w:t>
            </w:r>
          </w:p>
        </w:tc>
        <w:tc>
          <w:tcPr>
            <w:tcW w:w="97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27" w:type="dxa"/>
            <w:tcBorders/>
            <w:vAlign w:val="center"/>
          </w:tcPr>
          <w:p>
            <w:pPr>
              <w:pStyle w:val="TableContents"/>
              <w:bidi w:val="0"/>
              <w:spacing w:before="0" w:after="1"/>
              <w:ind w:left="0" w:right="0" w:hanging="0"/>
              <w:jc w:val="left"/>
              <w:rPr/>
            </w:pPr>
            <w:r>
              <w:rPr/>
              <w:t>  ​</w:t>
            </w:r>
          </w:p>
        </w:tc>
        <w:tc>
          <w:tcPr>
            <w:tcW w:w="22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26" w:type="dxa"/>
            <w:tcBorders/>
            <w:vAlign w:val="center"/>
          </w:tcPr>
          <w:p>
            <w:pPr>
              <w:pStyle w:val="TableContents"/>
              <w:bidi w:val="0"/>
              <w:spacing w:before="0" w:after="1"/>
              <w:ind w:left="0" w:right="0" w:hanging="0"/>
              <w:jc w:val="left"/>
              <w:rPr/>
            </w:pPr>
            <w:r>
              <w:rPr/>
              <w:t>  ​</w:t>
            </w:r>
          </w:p>
        </w:tc>
        <w:tc>
          <w:tcPr>
            <w:tcW w:w="86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75" w:type="dxa"/>
            <w:tcBorders/>
            <w:vAlign w:val="center"/>
          </w:tcPr>
          <w:p>
            <w:pPr>
              <w:pStyle w:val="TableContents"/>
              <w:bidi w:val="0"/>
              <w:spacing w:before="0" w:after="1"/>
              <w:ind w:left="0" w:right="0" w:hanging="0"/>
              <w:jc w:val="left"/>
              <w:rPr/>
            </w:pPr>
            <w:r>
              <w:rPr/>
              <w:t>  ​</w:t>
            </w:r>
          </w:p>
        </w:tc>
        <w:tc>
          <w:tcPr>
            <w:tcW w:w="27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34"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486" w:type="dxa"/>
            <w:tcBorders/>
            <w:shd w:fill="CCEEFF" w:val="clear"/>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Foreign currency forward contracts</w:t>
            </w:r>
          </w:p>
        </w:tc>
        <w:tc>
          <w:tcPr>
            <w:tcW w:w="34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4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732</w:t>
            </w:r>
          </w:p>
        </w:tc>
        <w:tc>
          <w:tcPr>
            <w:tcW w:w="171"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0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(1,396)</w:t>
            </w:r>
          </w:p>
        </w:tc>
        <w:tc>
          <w:tcPr>
            <w:tcW w:w="346" w:type="dxa"/>
            <w:tcBorders/>
            <w:shd w:fill="CCEEFF" w:val="clear"/>
            <w:vAlign w:val="center"/>
          </w:tcPr>
          <w:p>
            <w:pPr>
              <w:pStyle w:val="TableContents"/>
              <w:bidi w:val="0"/>
              <w:spacing w:before="0" w:after="1"/>
              <w:ind w:left="0" w:right="0" w:hanging="0"/>
              <w:jc w:val="left"/>
              <w:rPr/>
            </w:pPr>
            <w:r>
              <w:rPr/>
              <w:t>​</w:t>
            </w:r>
          </w:p>
        </w:tc>
        <w:tc>
          <w:tcPr>
            <w:tcW w:w="1435" w:type="dxa"/>
            <w:tcBorders/>
            <w:shd w:fill="CCEEFF" w:val="clear"/>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Revenue</w:t>
            </w:r>
          </w:p>
        </w:tc>
        <w:tc>
          <w:tcPr>
            <w:tcW w:w="346" w:type="dxa"/>
            <w:tcBorders/>
            <w:shd w:fill="CCEEFF" w:val="clear"/>
            <w:vAlign w:val="center"/>
          </w:tcPr>
          <w:p>
            <w:pPr>
              <w:pStyle w:val="TableContents"/>
              <w:bidi w:val="0"/>
              <w:spacing w:before="0" w:after="1"/>
              <w:ind w:left="0" w:right="0" w:hanging="0"/>
              <w:jc w:val="left"/>
              <w:rPr/>
            </w:pPr>
            <w:r>
              <w:rPr/>
              <w:t>​</w:t>
            </w:r>
          </w:p>
        </w:tc>
        <w:tc>
          <w:tcPr>
            <w:tcW w:w="19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7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418,843</w:t>
            </w:r>
          </w:p>
        </w:tc>
        <w:tc>
          <w:tcPr>
            <w:tcW w:w="227" w:type="dxa"/>
            <w:tcBorders/>
            <w:shd w:fill="CCEEFF" w:val="clear"/>
            <w:vAlign w:val="center"/>
          </w:tcPr>
          <w:p>
            <w:pPr>
              <w:pStyle w:val="TableContents"/>
              <w:bidi w:val="0"/>
              <w:spacing w:before="0" w:after="1"/>
              <w:ind w:left="0" w:right="0" w:hanging="0"/>
              <w:jc w:val="right"/>
              <w:rPr/>
            </w:pPr>
            <w:r>
              <w:rPr/>
              <w:t>​</w:t>
            </w:r>
          </w:p>
        </w:tc>
        <w:tc>
          <w:tcPr>
            <w:tcW w:w="22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7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382,462</w:t>
            </w:r>
          </w:p>
        </w:tc>
        <w:tc>
          <w:tcPr>
            <w:tcW w:w="2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2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(643)</w:t>
            </w:r>
          </w:p>
        </w:tc>
        <w:tc>
          <w:tcPr>
            <w:tcW w:w="275" w:type="dxa"/>
            <w:tcBorders/>
            <w:shd w:fill="CCEEFF" w:val="clear"/>
            <w:vAlign w:val="center"/>
          </w:tcPr>
          <w:p>
            <w:pPr>
              <w:pStyle w:val="TableContents"/>
              <w:bidi w:val="0"/>
              <w:spacing w:before="0" w:after="1"/>
              <w:ind w:left="0" w:right="0" w:hanging="0"/>
              <w:jc w:val="right"/>
              <w:rPr/>
            </w:pPr>
            <w:r>
              <w:rPr/>
              <w:t>​</w:t>
            </w:r>
          </w:p>
        </w:tc>
        <w:tc>
          <w:tcPr>
            <w:tcW w:w="27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509</w:t>
            </w:r>
          </w:p>
        </w:tc>
      </w:tr>
      <w:tr>
        <w:trPr/>
        <w:tc>
          <w:tcPr>
            <w:tcW w:w="14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441" w:type="dxa"/>
            <w:tcBorders/>
            <w:vAlign w:val="center"/>
          </w:tcPr>
          <w:p>
            <w:pPr>
              <w:pStyle w:val="TableContents"/>
              <w:bidi w:val="0"/>
              <w:spacing w:before="0" w:after="1"/>
              <w:ind w:left="0" w:right="0" w:hanging="0"/>
              <w:jc w:val="left"/>
              <w:rPr/>
            </w:pPr>
            <w:r>
              <w:rPr/>
              <w:t>​</w:t>
            </w:r>
          </w:p>
        </w:tc>
        <w:tc>
          <w:tcPr>
            <w:tcW w:w="171"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70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435" w:type="dxa"/>
            <w:tcBorders/>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Cost of sales</w:t>
            </w:r>
          </w:p>
        </w:tc>
        <w:tc>
          <w:tcPr>
            <w:tcW w:w="346" w:type="dxa"/>
            <w:tcBorders/>
            <w:vAlign w:val="center"/>
          </w:tcPr>
          <w:p>
            <w:pPr>
              <w:pStyle w:val="TableContents"/>
              <w:bidi w:val="0"/>
              <w:spacing w:before="0" w:after="1"/>
              <w:ind w:left="0" w:right="0" w:hanging="0"/>
              <w:jc w:val="left"/>
              <w:rPr/>
            </w:pPr>
            <w:r>
              <w:rPr/>
              <w:t>​</w:t>
            </w:r>
          </w:p>
        </w:tc>
        <w:tc>
          <w:tcPr>
            <w:tcW w:w="197" w:type="dxa"/>
            <w:tcBorders/>
            <w:vAlign w:val="center"/>
          </w:tcPr>
          <w:p>
            <w:pPr>
              <w:pStyle w:val="TableContents"/>
              <w:bidi w:val="0"/>
              <w:spacing w:before="0" w:after="1"/>
              <w:ind w:left="0" w:right="0" w:hanging="0"/>
              <w:jc w:val="left"/>
              <w:rPr/>
            </w:pPr>
            <w:r>
              <w:rPr/>
              <w:t> </w:t>
            </w:r>
          </w:p>
        </w:tc>
        <w:tc>
          <w:tcPr>
            <w:tcW w:w="77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(203,677)</w:t>
            </w:r>
          </w:p>
        </w:tc>
        <w:tc>
          <w:tcPr>
            <w:tcW w:w="227" w:type="dxa"/>
            <w:tcBorders/>
            <w:vAlign w:val="center"/>
          </w:tcPr>
          <w:p>
            <w:pPr>
              <w:pStyle w:val="TableContents"/>
              <w:bidi w:val="0"/>
              <w:spacing w:before="0" w:after="1"/>
              <w:ind w:left="0" w:right="0" w:hanging="0"/>
              <w:jc w:val="right"/>
              <w:rPr/>
            </w:pPr>
            <w:r>
              <w:rPr/>
              <w:t>​</w:t>
            </w:r>
          </w:p>
        </w:tc>
        <w:tc>
          <w:tcPr>
            <w:tcW w:w="227" w:type="dxa"/>
            <w:tcBorders/>
            <w:vAlign w:val="center"/>
          </w:tcPr>
          <w:p>
            <w:pPr>
              <w:pStyle w:val="TableContents"/>
              <w:bidi w:val="0"/>
              <w:spacing w:before="0" w:after="1"/>
              <w:ind w:left="0" w:right="0" w:hanging="0"/>
              <w:jc w:val="left"/>
              <w:rPr/>
            </w:pPr>
            <w:r>
              <w:rPr/>
              <w:t> </w:t>
            </w:r>
          </w:p>
        </w:tc>
        <w:tc>
          <w:tcPr>
            <w:tcW w:w="77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(197,975)</w:t>
            </w:r>
          </w:p>
        </w:tc>
        <w:tc>
          <w:tcPr>
            <w:tcW w:w="2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 </w:t>
            </w:r>
          </w:p>
        </w:tc>
        <w:tc>
          <w:tcPr>
            <w:tcW w:w="62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1,040</w:t>
            </w:r>
          </w:p>
        </w:tc>
        <w:tc>
          <w:tcPr>
            <w:tcW w:w="275" w:type="dxa"/>
            <w:tcBorders/>
            <w:vAlign w:val="center"/>
          </w:tcPr>
          <w:p>
            <w:pPr>
              <w:pStyle w:val="TableContents"/>
              <w:bidi w:val="0"/>
              <w:spacing w:before="0" w:after="1"/>
              <w:ind w:left="0" w:right="0" w:hanging="0"/>
              <w:jc w:val="right"/>
              <w:rPr/>
            </w:pPr>
            <w:r>
              <w:rPr/>
              <w:t>​</w:t>
            </w:r>
          </w:p>
        </w:tc>
        <w:tc>
          <w:tcPr>
            <w:tcW w:w="275" w:type="dxa"/>
            <w:tcBorders/>
            <w:vAlign w:val="center"/>
          </w:tcPr>
          <w:p>
            <w:pPr>
              <w:pStyle w:val="TableContents"/>
              <w:bidi w:val="0"/>
              <w:spacing w:before="0" w:after="1"/>
              <w:ind w:left="0" w:right="0" w:hanging="0"/>
              <w:jc w:val="left"/>
              <w:rPr/>
            </w:pPr>
            <w:r>
              <w:rPr/>
              <w:t> </w:t>
            </w:r>
          </w:p>
        </w:tc>
        <w:tc>
          <w:tcPr>
            <w:tcW w:w="63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(242)</w:t>
            </w:r>
          </w:p>
        </w:tc>
      </w:tr>
    </w:tbl>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500"/>
        <w:gridCol w:w="346"/>
        <w:gridCol w:w="204"/>
        <w:gridCol w:w="391"/>
        <w:gridCol w:w="152"/>
        <w:gridCol w:w="204"/>
        <w:gridCol w:w="619"/>
        <w:gridCol w:w="360"/>
        <w:gridCol w:w="1449"/>
        <w:gridCol w:w="346"/>
        <w:gridCol w:w="196"/>
        <w:gridCol w:w="772"/>
        <w:gridCol w:w="146"/>
        <w:gridCol w:w="196"/>
        <w:gridCol w:w="772"/>
        <w:gridCol w:w="226"/>
        <w:gridCol w:w="232"/>
        <w:gridCol w:w="686"/>
        <w:gridCol w:w="173"/>
        <w:gridCol w:w="232"/>
        <w:gridCol w:w="608"/>
        <w:gridCol w:w="395"/>
      </w:tblGrid>
      <w:tr>
        <w:trPr/>
        <w:tc>
          <w:tcPr>
            <w:tcW w:w="150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04"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left"/>
              <w:rPr/>
            </w:pPr>
            <w:r>
              <w:rPr/>
              <w:t>​</w:t>
            </w:r>
          </w:p>
        </w:tc>
        <w:tc>
          <w:tcPr>
            <w:tcW w:w="152" w:type="dxa"/>
            <w:tcBorders/>
            <w:vAlign w:val="center"/>
          </w:tcPr>
          <w:p>
            <w:pPr>
              <w:pStyle w:val="TableContents"/>
              <w:bidi w:val="0"/>
              <w:spacing w:before="0" w:after="1"/>
              <w:ind w:left="0" w:right="0" w:hanging="0"/>
              <w:jc w:val="left"/>
              <w:rPr/>
            </w:pPr>
            <w:r>
              <w:rPr/>
              <w:t>​</w:t>
            </w:r>
          </w:p>
        </w:tc>
        <w:tc>
          <w:tcPr>
            <w:tcW w:w="204" w:type="dxa"/>
            <w:tcBorders/>
            <w:vAlign w:val="center"/>
          </w:tcPr>
          <w:p>
            <w:pPr>
              <w:pStyle w:val="TableContents"/>
              <w:bidi w:val="0"/>
              <w:spacing w:before="0" w:after="1"/>
              <w:ind w:left="0" w:right="0" w:hanging="0"/>
              <w:jc w:val="left"/>
              <w:rPr/>
            </w:pPr>
            <w:r>
              <w:rPr/>
              <w:t>​</w:t>
            </w:r>
          </w:p>
        </w:tc>
        <w:tc>
          <w:tcPr>
            <w:tcW w:w="619" w:type="dxa"/>
            <w:tcBorders/>
            <w:vAlign w:val="center"/>
          </w:tcPr>
          <w:p>
            <w:pPr>
              <w:pStyle w:val="TableContents"/>
              <w:bidi w:val="0"/>
              <w:spacing w:before="0" w:after="1"/>
              <w:ind w:left="0" w:right="0" w:hanging="0"/>
              <w:jc w:val="left"/>
              <w:rPr/>
            </w:pPr>
            <w:r>
              <w:rPr/>
              <w:t>​</w:t>
            </w:r>
          </w:p>
        </w:tc>
        <w:tc>
          <w:tcPr>
            <w:tcW w:w="360" w:type="dxa"/>
            <w:tcBorders/>
            <w:vAlign w:val="center"/>
          </w:tcPr>
          <w:p>
            <w:pPr>
              <w:pStyle w:val="TableContents"/>
              <w:bidi w:val="0"/>
              <w:spacing w:before="0" w:after="1"/>
              <w:ind w:left="0" w:right="0" w:hanging="0"/>
              <w:jc w:val="left"/>
              <w:rPr/>
            </w:pPr>
            <w:r>
              <w:rPr/>
              <w:t>​</w:t>
            </w:r>
          </w:p>
        </w:tc>
        <w:tc>
          <w:tcPr>
            <w:tcW w:w="144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72"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72"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w:t>
            </w:r>
          </w:p>
        </w:tc>
        <w:tc>
          <w:tcPr>
            <w:tcW w:w="686" w:type="dxa"/>
            <w:tcBorders/>
            <w:vAlign w:val="center"/>
          </w:tcPr>
          <w:p>
            <w:pPr>
              <w:pStyle w:val="TableContents"/>
              <w:bidi w:val="0"/>
              <w:spacing w:before="0" w:after="1"/>
              <w:ind w:left="0" w:right="0" w:hanging="0"/>
              <w:jc w:val="left"/>
              <w:rPr/>
            </w:pPr>
            <w:r>
              <w:rPr/>
              <w:t>​</w:t>
            </w:r>
          </w:p>
        </w:tc>
        <w:tc>
          <w:tcPr>
            <w:tcW w:w="173"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w:t>
            </w:r>
          </w:p>
        </w:tc>
        <w:tc>
          <w:tcPr>
            <w:tcW w:w="608" w:type="dxa"/>
            <w:tcBorders/>
            <w:vAlign w:val="center"/>
          </w:tcPr>
          <w:p>
            <w:pPr>
              <w:pStyle w:val="TableContents"/>
              <w:bidi w:val="0"/>
              <w:spacing w:before="0" w:after="1"/>
              <w:ind w:left="0" w:right="0" w:hanging="0"/>
              <w:jc w:val="left"/>
              <w:rPr/>
            </w:pPr>
            <w:r>
              <w:rPr/>
              <w:t>​</w:t>
            </w:r>
          </w:p>
        </w:tc>
        <w:tc>
          <w:tcPr>
            <w:tcW w:w="395" w:type="dxa"/>
            <w:tcBorders/>
            <w:vAlign w:val="center"/>
          </w:tcPr>
          <w:p>
            <w:pPr>
              <w:pStyle w:val="TableContents"/>
              <w:bidi w:val="0"/>
              <w:spacing w:before="0" w:after="1"/>
              <w:ind w:left="0" w:right="0" w:hanging="0"/>
              <w:jc w:val="left"/>
              <w:rPr/>
            </w:pPr>
            <w:r>
              <w:rPr/>
              <w:t>​</w:t>
            </w:r>
          </w:p>
        </w:tc>
      </w:tr>
      <w:tr>
        <w:trPr/>
        <w:tc>
          <w:tcPr>
            <w:tcW w:w="150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30" w:type="dxa"/>
            <w:gridSpan w:val="6"/>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 of Gain/(Loss)</w:t>
            </w:r>
          </w:p>
        </w:tc>
        <w:tc>
          <w:tcPr>
            <w:tcW w:w="144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082"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Consolidated Statements</w:t>
            </w:r>
          </w:p>
        </w:tc>
        <w:tc>
          <w:tcPr>
            <w:tcW w:w="226" w:type="dxa"/>
            <w:tcBorders/>
            <w:vAlign w:val="center"/>
          </w:tcPr>
          <w:p>
            <w:pPr>
              <w:pStyle w:val="TableContents"/>
              <w:bidi w:val="0"/>
              <w:spacing w:before="0" w:after="1"/>
              <w:ind w:left="0" w:right="0" w:hanging="0"/>
              <w:jc w:val="left"/>
              <w:rPr/>
            </w:pPr>
            <w:r>
              <w:rPr/>
              <w:t>​</w:t>
            </w:r>
          </w:p>
        </w:tc>
        <w:tc>
          <w:tcPr>
            <w:tcW w:w="1931"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 of Gain/(Loss)</w:t>
            </w:r>
          </w:p>
        </w:tc>
        <w:tc>
          <w:tcPr>
            <w:tcW w:w="395" w:type="dxa"/>
            <w:tcBorders/>
            <w:vAlign w:val="center"/>
          </w:tcPr>
          <w:p>
            <w:pPr>
              <w:pStyle w:val="TableContents"/>
              <w:bidi w:val="0"/>
              <w:spacing w:before="0" w:after="1"/>
              <w:ind w:left="0" w:right="0" w:hanging="0"/>
              <w:jc w:val="left"/>
              <w:rPr/>
            </w:pPr>
            <w:r>
              <w:rPr/>
              <w:t>​</w:t>
            </w:r>
          </w:p>
        </w:tc>
      </w:tr>
      <w:tr>
        <w:trPr/>
        <w:tc>
          <w:tcPr>
            <w:tcW w:w="150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30" w:type="dxa"/>
            <w:gridSpan w:val="6"/>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Recognized in OCI</w:t>
            </w:r>
          </w:p>
        </w:tc>
        <w:tc>
          <w:tcPr>
            <w:tcW w:w="144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082"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of Income</w:t>
            </w:r>
          </w:p>
        </w:tc>
        <w:tc>
          <w:tcPr>
            <w:tcW w:w="226" w:type="dxa"/>
            <w:tcBorders/>
            <w:vAlign w:val="center"/>
          </w:tcPr>
          <w:p>
            <w:pPr>
              <w:pStyle w:val="TableContents"/>
              <w:bidi w:val="0"/>
              <w:spacing w:before="0" w:after="1"/>
              <w:ind w:left="0" w:right="0" w:hanging="0"/>
              <w:jc w:val="left"/>
              <w:rPr/>
            </w:pPr>
            <w:r>
              <w:rPr/>
              <w:t>​</w:t>
            </w:r>
          </w:p>
        </w:tc>
        <w:tc>
          <w:tcPr>
            <w:tcW w:w="1931"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Reclassified from AOCI</w:t>
            </w:r>
          </w:p>
        </w:tc>
        <w:tc>
          <w:tcPr>
            <w:tcW w:w="395" w:type="dxa"/>
            <w:tcBorders/>
            <w:vAlign w:val="center"/>
          </w:tcPr>
          <w:p>
            <w:pPr>
              <w:pStyle w:val="TableContents"/>
              <w:bidi w:val="0"/>
              <w:spacing w:before="0" w:after="1"/>
              <w:ind w:left="0" w:right="0" w:hanging="0"/>
              <w:jc w:val="left"/>
              <w:rPr/>
            </w:pPr>
            <w:r>
              <w:rPr/>
              <w:t>​</w:t>
            </w:r>
          </w:p>
        </w:tc>
      </w:tr>
      <w:tr>
        <w:trPr/>
        <w:tc>
          <w:tcPr>
            <w:tcW w:w="150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30" w:type="dxa"/>
            <w:gridSpan w:val="6"/>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144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2082"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226" w:type="dxa"/>
            <w:tcBorders/>
            <w:vAlign w:val="center"/>
          </w:tcPr>
          <w:p>
            <w:pPr>
              <w:pStyle w:val="TableContents"/>
              <w:bidi w:val="0"/>
              <w:spacing w:before="0" w:after="1"/>
              <w:ind w:left="0" w:right="0" w:hanging="0"/>
              <w:jc w:val="left"/>
              <w:rPr/>
            </w:pPr>
            <w:r>
              <w:rPr/>
              <w:t>​</w:t>
            </w:r>
          </w:p>
        </w:tc>
        <w:tc>
          <w:tcPr>
            <w:tcW w:w="1931"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95" w:type="dxa"/>
            <w:tcBorders/>
            <w:vAlign w:val="center"/>
          </w:tcPr>
          <w:p>
            <w:pPr>
              <w:pStyle w:val="TableContents"/>
              <w:bidi w:val="0"/>
              <w:spacing w:before="0" w:after="1"/>
              <w:ind w:left="0" w:right="0" w:hanging="0"/>
              <w:jc w:val="left"/>
              <w:rPr/>
            </w:pPr>
            <w:r>
              <w:rPr/>
              <w:t>  ​ ​ ​</w:t>
            </w:r>
          </w:p>
        </w:tc>
      </w:tr>
      <w:tr>
        <w:trPr/>
        <w:tc>
          <w:tcPr>
            <w:tcW w:w="1500"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Derivative instrument</w:t>
            </w:r>
          </w:p>
        </w:tc>
        <w:tc>
          <w:tcPr>
            <w:tcW w:w="346" w:type="dxa"/>
            <w:tcBorders/>
            <w:vAlign w:val="center"/>
          </w:tcPr>
          <w:p>
            <w:pPr>
              <w:pStyle w:val="TableContents"/>
              <w:bidi w:val="0"/>
              <w:spacing w:before="0" w:after="1"/>
              <w:ind w:left="0" w:right="0" w:hanging="0"/>
              <w:jc w:val="left"/>
              <w:rPr/>
            </w:pPr>
            <w:r>
              <w:rPr/>
              <w:t>  ​ ​ ​</w:t>
            </w:r>
          </w:p>
        </w:tc>
        <w:tc>
          <w:tcPr>
            <w:tcW w:w="59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52" w:type="dxa"/>
            <w:tcBorders/>
            <w:vAlign w:val="center"/>
          </w:tcPr>
          <w:p>
            <w:pPr>
              <w:pStyle w:val="TableContents"/>
              <w:bidi w:val="0"/>
              <w:spacing w:before="0" w:after="1"/>
              <w:ind w:left="0" w:right="0" w:hanging="0"/>
              <w:jc w:val="left"/>
              <w:rPr/>
            </w:pPr>
            <w:r>
              <w:rPr/>
              <w:t> </w:t>
            </w:r>
          </w:p>
        </w:tc>
        <w:tc>
          <w:tcPr>
            <w:tcW w:w="82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0" w:type="dxa"/>
            <w:tcBorders/>
            <w:vAlign w:val="center"/>
          </w:tcPr>
          <w:p>
            <w:pPr>
              <w:pStyle w:val="TableContents"/>
              <w:bidi w:val="0"/>
              <w:spacing w:before="0" w:after="1"/>
              <w:ind w:left="0" w:right="0" w:hanging="0"/>
              <w:jc w:val="left"/>
              <w:rPr/>
            </w:pPr>
            <w:r>
              <w:rPr/>
              <w:t>  ​ ​ ​</w:t>
            </w:r>
          </w:p>
        </w:tc>
        <w:tc>
          <w:tcPr>
            <w:tcW w:w="1449"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Location in statements of income</w:t>
            </w:r>
          </w:p>
        </w:tc>
        <w:tc>
          <w:tcPr>
            <w:tcW w:w="346" w:type="dxa"/>
            <w:tcBorders/>
            <w:vAlign w:val="center"/>
          </w:tcPr>
          <w:p>
            <w:pPr>
              <w:pStyle w:val="TableContents"/>
              <w:bidi w:val="0"/>
              <w:spacing w:before="0" w:after="1"/>
              <w:ind w:left="0" w:right="0" w:hanging="0"/>
              <w:jc w:val="left"/>
              <w:rPr/>
            </w:pPr>
            <w:r>
              <w:rPr/>
              <w:t>  ​ ​ ​</w:t>
            </w:r>
          </w:p>
        </w:tc>
        <w:tc>
          <w:tcPr>
            <w:tcW w:w="96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46" w:type="dxa"/>
            <w:tcBorders/>
            <w:vAlign w:val="center"/>
          </w:tcPr>
          <w:p>
            <w:pPr>
              <w:pStyle w:val="TableContents"/>
              <w:bidi w:val="0"/>
              <w:spacing w:before="0" w:after="1"/>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7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26" w:type="dxa"/>
            <w:tcBorders/>
            <w:vAlign w:val="center"/>
          </w:tcPr>
          <w:p>
            <w:pPr>
              <w:pStyle w:val="TableContents"/>
              <w:bidi w:val="0"/>
              <w:spacing w:before="0" w:after="1"/>
              <w:ind w:left="0" w:right="0" w:hanging="0"/>
              <w:jc w:val="left"/>
              <w:rPr/>
            </w:pPr>
            <w:r>
              <w:rPr/>
              <w:t>  ​</w:t>
            </w:r>
          </w:p>
        </w:tc>
        <w:tc>
          <w:tcPr>
            <w:tcW w:w="91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73" w:type="dxa"/>
            <w:tcBorders/>
            <w:vAlign w:val="center"/>
          </w:tcPr>
          <w:p>
            <w:pPr>
              <w:pStyle w:val="TableContents"/>
              <w:bidi w:val="0"/>
              <w:spacing w:before="0" w:after="1"/>
              <w:ind w:left="0" w:right="0" w:hanging="0"/>
              <w:jc w:val="left"/>
              <w:rPr/>
            </w:pPr>
            <w:r>
              <w:rPr/>
              <w:t> </w:t>
            </w:r>
          </w:p>
        </w:tc>
        <w:tc>
          <w:tcPr>
            <w:tcW w:w="23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0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5" w:type="dxa"/>
            <w:tcBorders/>
            <w:vAlign w:val="center"/>
          </w:tcPr>
          <w:p>
            <w:pPr>
              <w:pStyle w:val="TableContents"/>
              <w:bidi w:val="0"/>
              <w:spacing w:before="0" w:after="1"/>
              <w:ind w:left="0" w:right="0" w:hanging="0"/>
              <w:jc w:val="left"/>
              <w:rPr/>
            </w:pPr>
            <w:r>
              <w:rPr/>
              <w:t> </w:t>
            </w:r>
          </w:p>
        </w:tc>
      </w:tr>
      <w:tr>
        <w:trPr/>
        <w:tc>
          <w:tcPr>
            <w:tcW w:w="1500" w:type="dxa"/>
            <w:tcBorders/>
            <w:shd w:fill="CCEEFF" w:val="clear"/>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Foreign currency forward contracts</w:t>
            </w:r>
          </w:p>
        </w:tc>
        <w:tc>
          <w:tcPr>
            <w:tcW w:w="346"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3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590</w:t>
            </w:r>
          </w:p>
        </w:tc>
        <w:tc>
          <w:tcPr>
            <w:tcW w:w="152"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1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(3,293)</w:t>
            </w:r>
          </w:p>
        </w:tc>
        <w:tc>
          <w:tcPr>
            <w:tcW w:w="360" w:type="dxa"/>
            <w:tcBorders/>
            <w:shd w:fill="CCEEFF" w:val="clear"/>
            <w:vAlign w:val="center"/>
          </w:tcPr>
          <w:p>
            <w:pPr>
              <w:pStyle w:val="TableContents"/>
              <w:bidi w:val="0"/>
              <w:spacing w:before="0" w:after="1"/>
              <w:ind w:left="0" w:right="0" w:hanging="0"/>
              <w:jc w:val="left"/>
              <w:rPr/>
            </w:pPr>
            <w:r>
              <w:rPr/>
              <w:t>​</w:t>
            </w:r>
          </w:p>
        </w:tc>
        <w:tc>
          <w:tcPr>
            <w:tcW w:w="1449" w:type="dxa"/>
            <w:tcBorders/>
            <w:shd w:fill="CCEEFF" w:val="clear"/>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Revenue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7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800,720</w:t>
            </w:r>
          </w:p>
        </w:tc>
        <w:tc>
          <w:tcPr>
            <w:tcW w:w="1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7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737,813</w:t>
            </w:r>
          </w:p>
        </w:tc>
        <w:tc>
          <w:tcPr>
            <w:tcW w:w="22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8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(1,160)</w:t>
            </w:r>
          </w:p>
        </w:tc>
        <w:tc>
          <w:tcPr>
            <w:tcW w:w="173" w:type="dxa"/>
            <w:tcBorders/>
            <w:shd w:fill="CCEEFF" w:val="clear"/>
            <w:vAlign w:val="center"/>
          </w:tcPr>
          <w:p>
            <w:pPr>
              <w:pStyle w:val="TableContents"/>
              <w:bidi w:val="0"/>
              <w:spacing w:before="0" w:after="1"/>
              <w:ind w:left="0" w:right="0" w:hanging="0"/>
              <w:jc w:val="right"/>
              <w:rPr/>
            </w:pPr>
            <w:r>
              <w:rPr/>
              <w:t>​</w:t>
            </w:r>
          </w:p>
        </w:tc>
        <w:tc>
          <w:tcPr>
            <w:tcW w:w="23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1,530</w:t>
            </w:r>
          </w:p>
        </w:tc>
        <w:tc>
          <w:tcPr>
            <w:tcW w:w="395" w:type="dxa"/>
            <w:tcBorders/>
            <w:shd w:fill="CCEEFF" w:val="clear"/>
            <w:vAlign w:val="center"/>
          </w:tcPr>
          <w:p>
            <w:pPr>
              <w:pStyle w:val="TableContents"/>
              <w:bidi w:val="0"/>
              <w:spacing w:before="0" w:after="1"/>
              <w:ind w:left="0" w:right="0" w:hanging="0"/>
              <w:jc w:val="left"/>
              <w:rPr/>
            </w:pPr>
            <w:r>
              <w:rPr/>
              <w:t>​</w:t>
            </w:r>
          </w:p>
        </w:tc>
      </w:tr>
      <w:tr>
        <w:trPr/>
        <w:tc>
          <w:tcPr>
            <w:tcW w:w="150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04"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left"/>
              <w:rPr/>
            </w:pPr>
            <w:r>
              <w:rPr/>
              <w:t>​</w:t>
            </w:r>
          </w:p>
        </w:tc>
        <w:tc>
          <w:tcPr>
            <w:tcW w:w="152" w:type="dxa"/>
            <w:tcBorders/>
            <w:vAlign w:val="center"/>
          </w:tcPr>
          <w:p>
            <w:pPr>
              <w:pStyle w:val="TableContents"/>
              <w:bidi w:val="0"/>
              <w:spacing w:before="0" w:after="1"/>
              <w:ind w:left="0" w:right="0" w:hanging="0"/>
              <w:jc w:val="left"/>
              <w:rPr/>
            </w:pPr>
            <w:r>
              <w:rPr/>
              <w:t>​</w:t>
            </w:r>
          </w:p>
        </w:tc>
        <w:tc>
          <w:tcPr>
            <w:tcW w:w="204" w:type="dxa"/>
            <w:tcBorders/>
            <w:vAlign w:val="center"/>
          </w:tcPr>
          <w:p>
            <w:pPr>
              <w:pStyle w:val="TableContents"/>
              <w:bidi w:val="0"/>
              <w:spacing w:before="0" w:after="1"/>
              <w:ind w:left="0" w:right="0" w:hanging="0"/>
              <w:jc w:val="left"/>
              <w:rPr/>
            </w:pPr>
            <w:r>
              <w:rPr/>
              <w:t>​</w:t>
            </w:r>
          </w:p>
        </w:tc>
        <w:tc>
          <w:tcPr>
            <w:tcW w:w="619" w:type="dxa"/>
            <w:tcBorders/>
            <w:vAlign w:val="center"/>
          </w:tcPr>
          <w:p>
            <w:pPr>
              <w:pStyle w:val="TableContents"/>
              <w:bidi w:val="0"/>
              <w:spacing w:before="0" w:after="1"/>
              <w:ind w:left="0" w:right="0" w:hanging="0"/>
              <w:jc w:val="left"/>
              <w:rPr/>
            </w:pPr>
            <w:r>
              <w:rPr/>
              <w:t>​</w:t>
            </w:r>
          </w:p>
        </w:tc>
        <w:tc>
          <w:tcPr>
            <w:tcW w:w="360" w:type="dxa"/>
            <w:tcBorders/>
            <w:vAlign w:val="center"/>
          </w:tcPr>
          <w:p>
            <w:pPr>
              <w:pStyle w:val="TableContents"/>
              <w:bidi w:val="0"/>
              <w:spacing w:before="0" w:after="1"/>
              <w:ind w:left="0" w:right="0" w:hanging="0"/>
              <w:jc w:val="left"/>
              <w:rPr/>
            </w:pPr>
            <w:r>
              <w:rPr/>
              <w:t>​</w:t>
            </w:r>
          </w:p>
        </w:tc>
        <w:tc>
          <w:tcPr>
            <w:tcW w:w="1449" w:type="dxa"/>
            <w:tcBorders/>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Cost of sales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7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(400,757)</w:t>
            </w:r>
          </w:p>
        </w:tc>
        <w:tc>
          <w:tcPr>
            <w:tcW w:w="1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 </w:t>
            </w:r>
          </w:p>
        </w:tc>
        <w:tc>
          <w:tcPr>
            <w:tcW w:w="77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(381,306)</w:t>
            </w:r>
          </w:p>
        </w:tc>
        <w:tc>
          <w:tcPr>
            <w:tcW w:w="22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 </w:t>
            </w:r>
          </w:p>
        </w:tc>
        <w:tc>
          <w:tcPr>
            <w:tcW w:w="68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1,955</w:t>
            </w:r>
          </w:p>
        </w:tc>
        <w:tc>
          <w:tcPr>
            <w:tcW w:w="173" w:type="dxa"/>
            <w:tcBorders/>
            <w:vAlign w:val="center"/>
          </w:tcPr>
          <w:p>
            <w:pPr>
              <w:pStyle w:val="TableContents"/>
              <w:bidi w:val="0"/>
              <w:spacing w:before="0" w:after="1"/>
              <w:ind w:left="0" w:right="0" w:hanging="0"/>
              <w:jc w:val="right"/>
              <w:rPr/>
            </w:pPr>
            <w:r>
              <w:rPr/>
              <w:t>​</w:t>
            </w:r>
          </w:p>
        </w:tc>
        <w:tc>
          <w:tcPr>
            <w:tcW w:w="232" w:type="dxa"/>
            <w:tcBorders/>
            <w:vAlign w:val="center"/>
          </w:tcPr>
          <w:p>
            <w:pPr>
              <w:pStyle w:val="TableContents"/>
              <w:bidi w:val="0"/>
              <w:spacing w:before="0" w:after="1"/>
              <w:ind w:left="0" w:right="0" w:hanging="0"/>
              <w:jc w:val="left"/>
              <w:rPr/>
            </w:pPr>
            <w:r>
              <w:rPr/>
              <w:t> </w:t>
            </w:r>
          </w:p>
        </w:tc>
        <w:tc>
          <w:tcPr>
            <w:tcW w:w="60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(774)</w:t>
            </w:r>
          </w:p>
        </w:tc>
        <w:tc>
          <w:tcPr>
            <w:tcW w:w="395"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both"/>
        <w:rPr/>
      </w:pPr>
      <w:r>
        <w:rPr/>
        <w: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As of June 30, 2026, a gain of $1.9 million, or $1.4 million after taxes, was expected to be reclassified from AOCI to earnings in revenue and cost of sales over the succeeding twelve months.</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Derivative Instruments Not Designated as Hedging Instruments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following gains/(losses) from these derivative instruments were recognized in our consolidated statements of income for the periods presented (in thousands):</w:t>
      </w:r>
    </w:p>
    <w:tbl>
      <w:tblPr>
        <w:tblW w:w="10205" w:type="dxa"/>
        <w:jc w:val="left"/>
        <w:tblInd w:w="0" w:type="dxa"/>
        <w:tblLayout w:type="fixed"/>
        <w:tblCellMar>
          <w:top w:w="0" w:type="dxa"/>
          <w:left w:w="0" w:type="dxa"/>
          <w:bottom w:w="0" w:type="dxa"/>
          <w:right w:w="0" w:type="dxa"/>
        </w:tblCellMar>
      </w:tblPr>
      <w:tblGrid>
        <w:gridCol w:w="2440"/>
        <w:gridCol w:w="346"/>
        <w:gridCol w:w="2354"/>
        <w:gridCol w:w="346"/>
        <w:gridCol w:w="262"/>
        <w:gridCol w:w="842"/>
        <w:gridCol w:w="195"/>
        <w:gridCol w:w="262"/>
        <w:gridCol w:w="685"/>
        <w:gridCol w:w="346"/>
        <w:gridCol w:w="233"/>
        <w:gridCol w:w="746"/>
        <w:gridCol w:w="173"/>
        <w:gridCol w:w="233"/>
        <w:gridCol w:w="742"/>
      </w:tblGrid>
      <w:tr>
        <w:trPr/>
        <w:tc>
          <w:tcPr>
            <w:tcW w:w="24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1549400" cy="175260"/>
                      <wp:effectExtent l="0" t="0" r="0" b="0"/>
                      <wp:wrapNone/>
                      <wp:docPr id="196" name="Frame195"/>
                      <a:graphic xmlns:a="http://schemas.openxmlformats.org/drawingml/2006/main">
                        <a:graphicData uri="http://schemas.microsoft.com/office/word/2010/wordprocessingShape">
                          <wps:wsp>
                            <wps:cNvSpPr txBox="1"/>
                            <wps:spPr>
                              <a:xfrm>
                                <a:off x="0" y="0"/>
                                <a:ext cx="1549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19710" cy="175260"/>
                      <wp:effectExtent l="0" t="0" r="0" b="0"/>
                      <wp:wrapNone/>
                      <wp:docPr id="197" name="Frame1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1494790" cy="175260"/>
                      <wp:effectExtent l="0" t="0" r="0" b="0"/>
                      <wp:wrapNone/>
                      <wp:docPr id="198" name="Frame197"/>
                      <a:graphic xmlns:a="http://schemas.openxmlformats.org/drawingml/2006/main">
                        <a:graphicData uri="http://schemas.microsoft.com/office/word/2010/wordprocessingShape">
                          <wps:wsp>
                            <wps:cNvSpPr txBox="1"/>
                            <wps:spPr>
                              <a:xfrm>
                                <a:off x="0" y="0"/>
                                <a:ext cx="1494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219710" cy="175260"/>
                      <wp:effectExtent l="0" t="0" r="0" b="0"/>
                      <wp:wrapNone/>
                      <wp:docPr id="199" name="Frame1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166370" cy="175260"/>
                      <wp:effectExtent l="0" t="0" r="0" b="0"/>
                      <wp:wrapNone/>
                      <wp:docPr id="200" name="Frame199"/>
                      <a:graphic xmlns:a="http://schemas.openxmlformats.org/drawingml/2006/main">
                        <a:graphicData uri="http://schemas.microsoft.com/office/word/2010/wordprocessingShape">
                          <wps:wsp>
                            <wps:cNvSpPr txBox="1"/>
                            <wps:spPr>
                              <a:xfrm>
                                <a:off x="0" y="0"/>
                                <a:ext cx="1663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534670" cy="175260"/>
                      <wp:effectExtent l="0" t="0" r="0" b="0"/>
                      <wp:wrapNone/>
                      <wp:docPr id="201" name="Frame200"/>
                      <a:graphic xmlns:a="http://schemas.openxmlformats.org/drawingml/2006/main">
                        <a:graphicData uri="http://schemas.microsoft.com/office/word/2010/wordprocessingShape">
                          <wps:wsp>
                            <wps:cNvSpPr txBox="1"/>
                            <wps:spPr>
                              <a:xfrm>
                                <a:off x="0" y="0"/>
                                <a:ext cx="534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123825" cy="175260"/>
                      <wp:effectExtent l="0" t="0" r="0" b="0"/>
                      <wp:wrapNone/>
                      <wp:docPr id="202" name="Frame201"/>
                      <a:graphic xmlns:a="http://schemas.openxmlformats.org/drawingml/2006/main">
                        <a:graphicData uri="http://schemas.microsoft.com/office/word/2010/wordprocessingShape">
                          <wps:wsp>
                            <wps:cNvSpPr txBox="1"/>
                            <wps:spPr>
                              <a:xfrm>
                                <a:off x="0" y="0"/>
                                <a:ext cx="1238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166370" cy="175260"/>
                      <wp:effectExtent l="0" t="0" r="0" b="0"/>
                      <wp:wrapNone/>
                      <wp:docPr id="203" name="Frame202"/>
                      <a:graphic xmlns:a="http://schemas.openxmlformats.org/drawingml/2006/main">
                        <a:graphicData uri="http://schemas.microsoft.com/office/word/2010/wordprocessingShape">
                          <wps:wsp>
                            <wps:cNvSpPr txBox="1"/>
                            <wps:spPr>
                              <a:xfrm>
                                <a:off x="0" y="0"/>
                                <a:ext cx="1663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434975" cy="175260"/>
                      <wp:effectExtent l="0" t="0" r="0" b="0"/>
                      <wp:wrapNone/>
                      <wp:docPr id="204" name="Frame203"/>
                      <a:graphic xmlns:a="http://schemas.openxmlformats.org/drawingml/2006/main">
                        <a:graphicData uri="http://schemas.microsoft.com/office/word/2010/wordprocessingShape">
                          <wps:wsp>
                            <wps:cNvSpPr txBox="1"/>
                            <wps:spPr>
                              <a:xfrm>
                                <a:off x="0" y="0"/>
                                <a:ext cx="4349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19710" cy="175260"/>
                      <wp:effectExtent l="0" t="0" r="0" b="0"/>
                      <wp:wrapNone/>
                      <wp:docPr id="205" name="Frame2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147955" cy="175260"/>
                      <wp:effectExtent l="0" t="0" r="0" b="0"/>
                      <wp:wrapNone/>
                      <wp:docPr id="206" name="Frame205"/>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473710" cy="175260"/>
                      <wp:effectExtent l="0" t="0" r="0" b="0"/>
                      <wp:wrapNone/>
                      <wp:docPr id="207" name="Frame206"/>
                      <a:graphic xmlns:a="http://schemas.openxmlformats.org/drawingml/2006/main">
                        <a:graphicData uri="http://schemas.microsoft.com/office/word/2010/wordprocessingShape">
                          <wps:wsp>
                            <wps:cNvSpPr txBox="1"/>
                            <wps:spPr>
                              <a:xfrm>
                                <a:off x="0" y="0"/>
                                <a:ext cx="473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109855" cy="175260"/>
                      <wp:effectExtent l="0" t="0" r="0" b="0"/>
                      <wp:wrapNone/>
                      <wp:docPr id="208" name="Frame207"/>
                      <a:graphic xmlns:a="http://schemas.openxmlformats.org/drawingml/2006/main">
                        <a:graphicData uri="http://schemas.microsoft.com/office/word/2010/wordprocessingShape">
                          <wps:wsp>
                            <wps:cNvSpPr txBox="1"/>
                            <wps:spPr>
                              <a:xfrm>
                                <a:off x="0" y="0"/>
                                <a:ext cx="1098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147955" cy="175260"/>
                      <wp:effectExtent l="0" t="0" r="0" b="0"/>
                      <wp:wrapNone/>
                      <wp:docPr id="209" name="Frame208"/>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471170" cy="175260"/>
                      <wp:effectExtent l="0" t="0" r="0" b="0"/>
                      <wp:wrapNone/>
                      <wp:docPr id="210" name="Frame209"/>
                      <a:graphic xmlns:a="http://schemas.openxmlformats.org/drawingml/2006/main">
                        <a:graphicData uri="http://schemas.microsoft.com/office/word/2010/wordprocessingShape">
                          <wps:wsp>
                            <wps:cNvSpPr txBox="1"/>
                            <wps:spPr>
                              <a:xfrm>
                                <a:off x="0" y="0"/>
                                <a:ext cx="4711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44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2354"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2246"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46" w:type="dxa"/>
            <w:tcBorders/>
            <w:vAlign w:val="center"/>
          </w:tcPr>
          <w:p>
            <w:pPr>
              <w:pStyle w:val="TableContents"/>
              <w:bidi w:val="0"/>
              <w:spacing w:before="0" w:after="1"/>
              <w:ind w:left="0" w:right="0" w:hanging="0"/>
              <w:jc w:val="left"/>
              <w:rPr/>
            </w:pPr>
            <w:r>
              <w:rPr/>
              <w:t>  ​ ​ ​</w:t>
            </w:r>
          </w:p>
        </w:tc>
        <w:tc>
          <w:tcPr>
            <w:tcW w:w="2127"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2440"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Derivative Instrument</w:t>
            </w:r>
          </w:p>
        </w:tc>
        <w:tc>
          <w:tcPr>
            <w:tcW w:w="346" w:type="dxa"/>
            <w:tcBorders/>
            <w:vAlign w:val="center"/>
          </w:tcPr>
          <w:p>
            <w:pPr>
              <w:pStyle w:val="TableContents"/>
              <w:bidi w:val="0"/>
              <w:spacing w:before="0" w:after="1"/>
              <w:ind w:left="0" w:right="0" w:hanging="0"/>
              <w:jc w:val="left"/>
              <w:rPr/>
            </w:pPr>
            <w:r>
              <w:rPr/>
              <w:t> </w:t>
            </w:r>
          </w:p>
        </w:tc>
        <w:tc>
          <w:tcPr>
            <w:tcW w:w="2354"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Location in statements of income</w:t>
            </w:r>
          </w:p>
        </w:tc>
        <w:tc>
          <w:tcPr>
            <w:tcW w:w="346" w:type="dxa"/>
            <w:tcBorders/>
            <w:vAlign w:val="center"/>
          </w:tcPr>
          <w:p>
            <w:pPr>
              <w:pStyle w:val="TableContents"/>
              <w:bidi w:val="0"/>
              <w:spacing w:before="0" w:after="1"/>
              <w:ind w:left="0" w:right="0" w:hanging="0"/>
              <w:jc w:val="left"/>
              <w:rPr/>
            </w:pPr>
            <w:r>
              <w:rPr/>
              <w:t> </w:t>
            </w:r>
          </w:p>
        </w:tc>
        <w:tc>
          <w:tcPr>
            <w:tcW w:w="110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95" w:type="dxa"/>
            <w:tcBorders/>
            <w:vAlign w:val="center"/>
          </w:tcPr>
          <w:p>
            <w:pPr>
              <w:pStyle w:val="TableContents"/>
              <w:bidi w:val="0"/>
              <w:spacing w:before="0" w:after="1"/>
              <w:ind w:left="0" w:right="0" w:hanging="0"/>
              <w:jc w:val="left"/>
              <w:rPr/>
            </w:pPr>
            <w:r>
              <w:rPr/>
              <w:t> </w:t>
            </w:r>
          </w:p>
        </w:tc>
        <w:tc>
          <w:tcPr>
            <w:tcW w:w="9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w:t>
            </w:r>
          </w:p>
        </w:tc>
        <w:tc>
          <w:tcPr>
            <w:tcW w:w="97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73" w:type="dxa"/>
            <w:tcBorders/>
            <w:vAlign w:val="center"/>
          </w:tcPr>
          <w:p>
            <w:pPr>
              <w:pStyle w:val="TableContents"/>
              <w:bidi w:val="0"/>
              <w:spacing w:before="0" w:after="1"/>
              <w:ind w:left="0" w:right="0" w:hanging="0"/>
              <w:jc w:val="left"/>
              <w:rPr/>
            </w:pPr>
            <w:r>
              <w:rPr/>
              <w:t> </w:t>
            </w:r>
          </w:p>
        </w:tc>
        <w:tc>
          <w:tcPr>
            <w:tcW w:w="97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440" w:type="dxa"/>
            <w:tcBorders/>
            <w:shd w:fill="CCEEFF" w:val="clear"/>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Foreign currency forward contracts</w:t>
            </w:r>
          </w:p>
        </w:tc>
        <w:tc>
          <w:tcPr>
            <w:tcW w:w="346" w:type="dxa"/>
            <w:tcBorders/>
            <w:shd w:fill="CCEEFF" w:val="clear"/>
            <w:vAlign w:val="center"/>
          </w:tcPr>
          <w:p>
            <w:pPr>
              <w:pStyle w:val="TableContents"/>
              <w:bidi w:val="0"/>
              <w:spacing w:before="0" w:after="1"/>
              <w:ind w:left="0" w:right="0" w:hanging="0"/>
              <w:jc w:val="left"/>
              <w:rPr/>
            </w:pPr>
            <w:r>
              <w:rPr/>
              <w:t> </w:t>
            </w:r>
          </w:p>
        </w:tc>
        <w:tc>
          <w:tcPr>
            <w:tcW w:w="2354" w:type="dxa"/>
            <w:tcBorders/>
            <w:shd w:fill="CCEEFF" w:val="cle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Other income (expense) — net</w:t>
            </w:r>
          </w:p>
        </w:tc>
        <w:tc>
          <w:tcPr>
            <w:tcW w:w="346" w:type="dxa"/>
            <w:tcBorders/>
            <w:shd w:fill="CCEEFF" w:val="clear"/>
            <w:vAlign w:val="center"/>
          </w:tcPr>
          <w:p>
            <w:pPr>
              <w:pStyle w:val="TableContents"/>
              <w:bidi w:val="0"/>
              <w:spacing w:before="0" w:after="1"/>
              <w:ind w:left="0" w:right="0" w:hanging="0"/>
              <w:jc w:val="left"/>
              <w:rPr/>
            </w:pPr>
            <w:r>
              <w:rPr/>
              <w:t>​</w:t>
            </w:r>
          </w:p>
        </w:tc>
        <w:tc>
          <w:tcPr>
            <w:tcW w:w="26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4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(1,753)</w:t>
            </w:r>
          </w:p>
        </w:tc>
        <w:tc>
          <w:tcPr>
            <w:tcW w:w="195" w:type="dxa"/>
            <w:tcBorders/>
            <w:shd w:fill="CCEEFF" w:val="clear"/>
            <w:vAlign w:val="center"/>
          </w:tcPr>
          <w:p>
            <w:pPr>
              <w:pStyle w:val="TableContents"/>
              <w:bidi w:val="0"/>
              <w:spacing w:before="0" w:after="1"/>
              <w:ind w:left="0" w:right="0" w:hanging="0"/>
              <w:jc w:val="left"/>
              <w:rPr/>
            </w:pPr>
            <w:r>
              <w:rPr/>
              <w:t>​</w:t>
            </w:r>
          </w:p>
        </w:tc>
        <w:tc>
          <w:tcPr>
            <w:tcW w:w="26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8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1,340</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4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(3,441)</w:t>
            </w:r>
          </w:p>
        </w:tc>
        <w:tc>
          <w:tcPr>
            <w:tcW w:w="173"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42" w:type="dxa"/>
            <w:tcBorders/>
            <w:shd w:fill="CCEEFF" w:val="clear"/>
            <w:vAlign w:val="center"/>
          </w:tcPr>
          <w:p>
            <w:pPr>
              <w:pStyle w:val="TableContents"/>
              <w:bidi w:val="0"/>
              <w:spacing w:before="0" w:after="1"/>
              <w:ind w:left="0" w:right="60" w:hanging="0"/>
              <w:jc w:val="right"/>
              <w:rPr>
                <w:rFonts w:ascii="Times New Roman;Times;serif" w:hAnsi="Times New Roman;Times;serif"/>
                <w:sz w:val="16"/>
              </w:rPr>
            </w:pPr>
            <w:r>
              <w:rPr>
                <w:rFonts w:ascii="Times New Roman;Times;serif" w:hAnsi="Times New Roman;Times;serif"/>
                <w:sz w:val="16"/>
              </w:rPr>
              <w:t>1,182</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10.   Commitments and Contingencies.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b/>
          <w:sz w:val="20"/>
        </w:rPr>
        <w:t xml:space="preserve">Litigation. </w:t>
      </w:r>
      <w:r>
        <w:rPr>
          <w:rFonts w:ascii="Times New Roman;Times;serif" w:hAnsi="Times New Roman;Times;serif"/>
          <w:sz w:val="20"/>
        </w:rPr>
        <w:t>In the ordinary course of business, we are involved in various claims and litigation matters. These proceedings, actions and claims may involve product liability, intellectual property, contract disputes, employment, governmental inquiries or other matters. These matters generally involve inherent uncertainties and often require prolonged periods of time to resolve. In certain proceedings, the claimants may seek damages as well as other compensatory and equitable relief that could result in the payment of significant claims and settlements and/or the imposition of injunctions or other equitable relief. For legal matters for which our management had sufficient information to reasonably estimate our future obligations, a liability representing management’s best estimate of the probable loss, or the minimum of the range of probable losses when a best estimate within the range is not known, is recorded. The estimates are based on consultation with legal counsel, previous settlement experience and settlement strategies. If actual outcomes are less favorable than those estimated by management, additional expense may be incurred, which could unfavorably affect our financial position, results of operations and cash flows. The ultimate cost to us with respect to actions and claims could be materially different than the amount of the current estimates and accruals and could have a material adverse effect on our financial position, results of operations and cash flows. Unless included in our legal accrual, we are unable to estimate a reasonably possible loss or range of loss associated with any individual material legal proceeding. Legal costs for these matters, such as outside counsel fees and expenses, are charged to expense in the period incurred.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In management's opinion, based on its examination of these matters, its experience to date and discussions with counsel, we are not currently involved in any legal proceedings which, individually or in the aggregate, could have a material adverse effect on our financial position, results of operations or cash flows. Our management regularly assesses the risks of legal proceedings in which we are involved, and management’s view of these matters may change in the future.</w:t>
      </w:r>
    </w:p>
    <w:p>
      <w:pPr>
        <w:pStyle w:val="TextBody"/>
        <w:bidi w:val="0"/>
        <w:spacing w:before="0" w:after="200"/>
        <w:ind w:left="0" w:right="0" w:hanging="0"/>
        <w:jc w:val="left"/>
        <w:rPr>
          <w:rFonts w:ascii="Times New Roman;Times;serif" w:hAnsi="Times New Roman;Times;serif"/>
          <w:b/>
          <w:sz w:val="20"/>
        </w:rPr>
      </w:pPr>
      <w:bookmarkStart w:id="972" w:name="Tc_hR6iEdPmSE-gAW-7b8iAXw_14_0"/>
      <w:bookmarkStart w:id="973" w:name="Tc_j7H0f9sSv0yudxcFyBr-9g_12_11"/>
      <w:bookmarkStart w:id="974" w:name="Tc_qDIs2AvDgEemwjFLxY0JQg_12_8"/>
      <w:bookmarkStart w:id="975" w:name="Tc_j976jq4fWEaQBTrKZ0Ex6w_12_5"/>
      <w:bookmarkStart w:id="976" w:name="Tc_O5Jz4f4mF0anAIySzE6H7g_12_2"/>
      <w:bookmarkStart w:id="977" w:name="Tc_DEKd9ltDh0KT_YlJtjv-Hg_12_0"/>
      <w:bookmarkStart w:id="978" w:name="Tc_St52mM4Vq0OzWEf-ZsDbqA_11_0"/>
      <w:bookmarkStart w:id="979" w:name="Tc_PEreDNtFf0C7nz7r25rHTg_10_9"/>
      <w:bookmarkStart w:id="980" w:name="Tc_fh8iJ9yEZkaB0fq2EqwT2w_10_3"/>
      <w:bookmarkStart w:id="981" w:name="Tc_TtnxeDGyqUe-0LJFNdAfAw_10_0"/>
      <w:bookmarkStart w:id="982" w:name="Tc_08urwFTGBUCm3GkoEp1CMg_9_0"/>
      <w:bookmarkStart w:id="983" w:name="Tc_Yw-qeONxBkOLVtWaij442A_8_0"/>
      <w:bookmarkStart w:id="984" w:name="Tc_Mai8h3vU7UG7oKStmg4zKA_6_11"/>
      <w:bookmarkStart w:id="985" w:name="Tc_1P8P65rfeEC8-zrtNCVTXw_6_8"/>
      <w:bookmarkStart w:id="986" w:name="Tc_uejOLyhXPUue49z-9CVfzw_6_5"/>
      <w:bookmarkStart w:id="987" w:name="Tc_kCvVX73Gtk2gyhYi8DuFsw_6_2"/>
      <w:bookmarkStart w:id="988" w:name="Tc_1mwi-t3miUyp7EyXygZilQ_6_0"/>
      <w:bookmarkStart w:id="989" w:name="Tc_kp3yhiXe-Eq_HS_U8kn6Ew_5_0"/>
      <w:bookmarkStart w:id="990" w:name="Tc_FKorNPPX6UC8IJPUCI1EFQ_4_11"/>
      <w:bookmarkStart w:id="991" w:name="Tc_Dhk4hWX2g029xHgGs_k2Cg_4_8"/>
      <w:bookmarkStart w:id="992" w:name="Tc_2eWYd-zmMk6nI4Hhsf47fg_4_5"/>
      <w:bookmarkStart w:id="993" w:name="Tc_zn5sRRkgPEaYPXGzokV9cQ_4_2"/>
      <w:bookmarkStart w:id="994" w:name="Tc_3sKhZpctY0iahBFHKzbFuQ_4_0"/>
      <w:bookmarkStart w:id="995" w:name="Tc_iRNLmwxr0kSdHTM_zeKoPQ_3_11"/>
      <w:bookmarkStart w:id="996" w:name="Tc_tvZBCCTdIUilRkUOT1feyw_3_8"/>
      <w:bookmarkStart w:id="997" w:name="Tc_mMR5mWbMU0KOdNlhrUiaKg_3_5"/>
      <w:bookmarkStart w:id="998" w:name="Tc_EVkqm2ti702rjdTChKgM8A_3_2"/>
      <w:bookmarkStart w:id="999" w:name="Tc_Pf9xWCH29kyRn6vDLg-kTA_2_8"/>
      <w:bookmarkStart w:id="1000" w:name="Tc_TDAvecDOukq6QKcIbifnAw_2_2"/>
      <w:bookmarkStart w:id="1001" w:name="Tc_02FZKku_4kO_QdgGa3kH1Q_1_8"/>
      <w:bookmarkStart w:id="1002" w:name="Tc_wTVHvL79U0Op0T82-x8jRQ_1_2"/>
      <w:bookmarkStart w:id="1003" w:name="_48e3fe7b_a69c_44e5_a9a4_baa673baeb1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r>
        <w:rPr>
          <w:rFonts w:ascii="Times New Roman;Times;serif" w:hAnsi="Times New Roman;Times;serif"/>
          <w:b/>
          <w:sz w:val="20"/>
        </w:rPr>
        <w:t xml:space="preserve">11.   Earnings Per Common Share (EPS). </w:t>
      </w:r>
      <w:r>
        <w:rPr>
          <w:rFonts w:ascii="Times New Roman;Times;serif" w:hAnsi="Times New Roman;Times;serif"/>
          <w:b w:val="false"/>
          <w:sz w:val="20"/>
        </w:rPr>
        <w:t>The computation of weighted average shares outstanding and the basic and diluted earnings per common share for the three and six-month periods ended June 30, 2026 and 2025 consisted of the following (in thousands, except per share amounts):</w:t>
      </w:r>
    </w:p>
    <w:p>
      <w:pPr>
        <w:pStyle w:val="TextBody"/>
        <w:bidi w:val="0"/>
        <w:spacing w:before="0" w:after="0"/>
        <w:ind w:left="0" w:right="0" w:hanging="0"/>
        <w:jc w:val="left"/>
        <w:rPr/>
      </w:pPr>
      <w:r>
        <w:rPr/>
        <w:t>​</w:t>
      </w:r>
    </w:p>
    <w:tbl>
      <w:tblPr>
        <w:tblW w:w="8830" w:type="dxa"/>
        <w:jc w:val="left"/>
        <w:tblInd w:w="0" w:type="dxa"/>
        <w:tblLayout w:type="fixed"/>
        <w:tblCellMar>
          <w:top w:w="0" w:type="dxa"/>
          <w:left w:w="0" w:type="dxa"/>
          <w:bottom w:w="0" w:type="dxa"/>
          <w:right w:w="0" w:type="dxa"/>
        </w:tblCellMar>
      </w:tblPr>
      <w:tblGrid>
        <w:gridCol w:w="4801"/>
        <w:gridCol w:w="109"/>
        <w:gridCol w:w="211"/>
        <w:gridCol w:w="676"/>
        <w:gridCol w:w="109"/>
        <w:gridCol w:w="211"/>
        <w:gridCol w:w="676"/>
        <w:gridCol w:w="109"/>
        <w:gridCol w:w="211"/>
        <w:gridCol w:w="676"/>
        <w:gridCol w:w="109"/>
        <w:gridCol w:w="211"/>
        <w:gridCol w:w="721"/>
      </w:tblGrid>
      <w:tr>
        <w:trPr/>
        <w:tc>
          <w:tcPr>
            <w:tcW w:w="4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3048635" cy="175260"/>
                      <wp:effectExtent l="0" t="0" r="0" b="0"/>
                      <wp:wrapNone/>
                      <wp:docPr id="211" name="Frame210"/>
                      <a:graphic xmlns:a="http://schemas.openxmlformats.org/drawingml/2006/main">
                        <a:graphicData uri="http://schemas.microsoft.com/office/word/2010/wordprocessingShape">
                          <wps:wsp>
                            <wps:cNvSpPr txBox="1"/>
                            <wps:spPr>
                              <a:xfrm>
                                <a:off x="0" y="0"/>
                                <a:ext cx="3048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9215" cy="175260"/>
                      <wp:effectExtent l="0" t="0" r="0" b="0"/>
                      <wp:wrapNone/>
                      <wp:docPr id="212" name="Frame21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133985" cy="175260"/>
                      <wp:effectExtent l="0" t="0" r="0" b="0"/>
                      <wp:wrapNone/>
                      <wp:docPr id="213" name="Frame2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429260" cy="175260"/>
                      <wp:effectExtent l="0" t="0" r="0" b="0"/>
                      <wp:wrapNone/>
                      <wp:docPr id="214" name="Frame21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9215" cy="175260"/>
                      <wp:effectExtent l="0" t="0" r="0" b="0"/>
                      <wp:wrapNone/>
                      <wp:docPr id="215" name="Frame21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133985" cy="175260"/>
                      <wp:effectExtent l="0" t="0" r="0" b="0"/>
                      <wp:wrapNone/>
                      <wp:docPr id="216" name="Frame2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429260" cy="175260"/>
                      <wp:effectExtent l="0" t="0" r="0" b="0"/>
                      <wp:wrapNone/>
                      <wp:docPr id="217" name="Frame21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9215" cy="175260"/>
                      <wp:effectExtent l="0" t="0" r="0" b="0"/>
                      <wp:wrapNone/>
                      <wp:docPr id="218" name="Frame21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133985" cy="175260"/>
                      <wp:effectExtent l="0" t="0" r="0" b="0"/>
                      <wp:wrapNone/>
                      <wp:docPr id="219" name="Frame2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429260" cy="175260"/>
                      <wp:effectExtent l="0" t="0" r="0" b="0"/>
                      <wp:wrapNone/>
                      <wp:docPr id="220" name="Frame21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9215" cy="175260"/>
                      <wp:effectExtent l="0" t="0" r="0" b="0"/>
                      <wp:wrapNone/>
                      <wp:docPr id="221" name="Frame22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133985" cy="175260"/>
                      <wp:effectExtent l="0" t="0" r="0" b="0"/>
                      <wp:wrapNone/>
                      <wp:docPr id="222" name="Frame2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457835" cy="175260"/>
                      <wp:effectExtent l="0" t="0" r="0" b="0"/>
                      <wp:wrapNone/>
                      <wp:docPr id="223" name="Frame222"/>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8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09" w:type="dxa"/>
            <w:tcBorders/>
            <w:vAlign w:val="center"/>
          </w:tcPr>
          <w:p>
            <w:pPr>
              <w:pStyle w:val="TableContents"/>
              <w:bidi w:val="0"/>
              <w:spacing w:before="0" w:after="0"/>
              <w:ind w:left="0" w:right="0" w:hanging="0"/>
              <w:jc w:val="left"/>
              <w:rPr/>
            </w:pPr>
            <w:r>
              <w:rPr/>
              <w:t>​</w:t>
            </w:r>
          </w:p>
        </w:tc>
        <w:tc>
          <w:tcPr>
            <w:tcW w:w="1928"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48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8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vAlign w:val="center"/>
          </w:tcPr>
          <w:p>
            <w:pPr>
              <w:pStyle w:val="TableContents"/>
              <w:bidi w:val="0"/>
              <w:spacing w:before="0" w:after="0"/>
              <w:ind w:left="0" w:right="0" w:hanging="0"/>
              <w:jc w:val="left"/>
              <w:rPr/>
            </w:pPr>
            <w:r>
              <w:rPr/>
              <w:t>​</w:t>
            </w:r>
          </w:p>
        </w:tc>
        <w:tc>
          <w:tcPr>
            <w:tcW w:w="192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48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left"/>
              <w:rPr/>
            </w:pPr>
            <w:r>
              <w:rPr/>
              <w:t>​</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38,803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32,581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79,798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62,728</w:t>
            </w:r>
          </w:p>
        </w:tc>
      </w:tr>
      <w:tr>
        <w:trPr/>
        <w:tc>
          <w:tcPr>
            <w:tcW w:w="4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Average common shares outstanding</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59,679</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59,140</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59,595</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59,019</w:t>
            </w:r>
          </w:p>
        </w:tc>
      </w:tr>
      <w:tr>
        <w:trPr/>
        <w:tc>
          <w:tcPr>
            <w:tcW w:w="4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EPS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w:t>
            </w:r>
          </w:p>
        </w:tc>
      </w:tr>
      <w:tr>
        <w:trPr/>
        <w:tc>
          <w:tcPr>
            <w:tcW w:w="48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r>
      <w:tr>
        <w:trPr/>
        <w:tc>
          <w:tcPr>
            <w:tcW w:w="4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Average common shares outstanding</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59,679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59,140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59,595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59,019</w:t>
            </w:r>
          </w:p>
        </w:tc>
      </w:tr>
      <w:tr>
        <w:trPr/>
        <w:tc>
          <w:tcPr>
            <w:tcW w:w="4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dilutive stock awards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415</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884</w:t>
            </w:r>
          </w:p>
        </w:tc>
      </w:tr>
      <w:tr>
        <w:trPr/>
        <w:tc>
          <w:tcPr>
            <w:tcW w:w="4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dilutive convertible notes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1,042</w:t>
            </w:r>
          </w:p>
        </w:tc>
      </w:tr>
      <w:tr>
        <w:trPr/>
        <w:tc>
          <w:tcPr>
            <w:tcW w:w="4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potential shares outstanding</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60,006</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60,611</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60,010</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60,945</w:t>
            </w:r>
          </w:p>
        </w:tc>
      </w:tr>
      <w:tr>
        <w:trPr/>
        <w:tc>
          <w:tcPr>
            <w:tcW w:w="4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 EPS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w:t>
            </w:r>
          </w:p>
        </w:tc>
      </w:tr>
      <w:tr>
        <w:trPr/>
        <w:tc>
          <w:tcPr>
            <w:tcW w:w="48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r>
      <w:tr>
        <w:trPr/>
        <w:tc>
          <w:tcPr>
            <w:tcW w:w="480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Equity awards excluded as the impact was anti-dilutive </w:t>
            </w:r>
            <w:r>
              <w:rPr>
                <w:rFonts w:ascii="Times New Roman;Times;serif" w:hAnsi="Times New Roman;Times;serif"/>
                <w:sz w:val="15"/>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165</w:t>
            </w:r>
          </w:p>
        </w:tc>
      </w:tr>
    </w:tbl>
    <w:tbl>
      <w:tblPr>
        <w:tblW w:w="6617" w:type="dxa"/>
        <w:jc w:val="left"/>
        <w:tblInd w:w="0" w:type="dxa"/>
        <w:tblLayout w:type="fixed"/>
        <w:tblCellMar>
          <w:top w:w="0" w:type="dxa"/>
          <w:left w:w="0" w:type="dxa"/>
          <w:bottom w:w="0" w:type="dxa"/>
          <w:right w:w="0" w:type="dxa"/>
        </w:tblCellMar>
      </w:tblPr>
      <w:tblGrid>
        <w:gridCol w:w="286"/>
        <w:gridCol w:w="6331"/>
      </w:tblGrid>
      <w:tr>
        <w:trPr/>
        <w:tc>
          <w:tcPr>
            <w:tcW w:w="286"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(1)</w:t>
            </w:r>
          </w:p>
        </w:tc>
        <w:tc>
          <w:tcPr>
            <w:tcW w:w="63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Does not reflect the impact of incremental repurchases under the treasury stock method.</w:t>
            </w:r>
          </w:p>
        </w:tc>
      </w:tr>
    </w:tbl>
    <w:p>
      <w:pPr>
        <w:pStyle w:val="TextBody"/>
        <w:bidi w:val="0"/>
        <w:spacing w:before="200" w:after="200"/>
        <w:ind w:left="0" w:right="0" w:hanging="0"/>
        <w:jc w:val="both"/>
        <w:rPr>
          <w:rFonts w:ascii="Times New Roman;Times;serif" w:hAnsi="Times New Roman;Times;serif"/>
          <w:i/>
          <w:sz w:val="20"/>
        </w:rPr>
      </w:pPr>
      <w:r>
        <w:rPr>
          <w:rFonts w:ascii="Times New Roman;Times;serif" w:hAnsi="Times New Roman;Times;serif"/>
          <w:i/>
          <w:sz w:val="20"/>
        </w:rPr>
        <w:t>Convertible Notes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For our Convertible Notes, the dilutive effect has been calculated using the if-converted method. </w:t>
      </w:r>
      <w:r>
        <w:rPr>
          <w:rFonts w:ascii="Times New Roman;Times;serif" w:hAnsi="Times New Roman;Times;serif"/>
          <w:sz w:val="20"/>
          <w:shd w:fill="FFFFFF" w:val="clear"/>
        </w:rPr>
        <w:t>Upon surrender of the Convertible Notes for conversion, Merit will pay cash up to the aggregate principal amount of the Notes to be converted and pay or deliver, as the case may be, cash, shares of Common Stock or a combination of cash and shares of Common Stock, at Merit’s election, in respect of the remainder, if any, of Merit’s conversion obligation in excess of the aggregate principal amount of the Convertible Notes being converted. </w:t>
      </w:r>
      <w:r>
        <w:rPr>
          <w:rFonts w:ascii="Times New Roman;Times;serif" w:hAnsi="Times New Roman;Times;serif"/>
          <w:sz w:val="20"/>
        </w:rPr>
        <w:t>Under the if-converted method, we include the number of shares required to satisfy the remaining conversion obligation, assuming all the Convertible Notes were converted. The convertible notes only have an impact on diluted earnings per share when the average share price of our Common Stock exceeds the conversion price of $86.83. The average closing price of the Common Stock for the three and six-month periods ended June 30, 2026 and 2025, respectively, was used as the basis for determining the dilutive effect on EPS.</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bookmarkStart w:id="1004" w:name="Tc_-gVJXnDLJE-_k2m4EHYnFQ_7_11"/>
      <w:bookmarkStart w:id="1005" w:name="Tc_whDp26OFPk-S9-TTY6ZniQ_7_8"/>
      <w:bookmarkStart w:id="1006" w:name="Tc_r_iNjoy8PE-8TjEhOOiQsg_7_5"/>
      <w:bookmarkStart w:id="1007" w:name="Tc_YbMCkp6WbUCMEbjKLqvcpw_7_2"/>
      <w:bookmarkStart w:id="1008" w:name="Tc_qBacKiCMa0iAdVIEeBSXPg_7_0"/>
      <w:bookmarkStart w:id="1009" w:name="Tc_XeTt-_M1l0qUvuvgdC4JrA_6_0"/>
      <w:bookmarkStart w:id="1010" w:name="Tc_enf_BP-6V0GplTSkQz253g_5_0"/>
      <w:bookmarkStart w:id="1011" w:name="Tc_vYTas-AWvESO6FUbUBUOog_4_11"/>
      <w:bookmarkStart w:id="1012" w:name="Tc_3C9SG7E-UkSVtFpCSalZYQ_4_8"/>
      <w:bookmarkStart w:id="1013" w:name="Tc_l2H49kPAGkmO3DgtBCf7Dw_4_5"/>
      <w:bookmarkStart w:id="1014" w:name="Tc_Pt-zb_TH0EGBoCcN1rdMCA_4_2"/>
      <w:bookmarkStart w:id="1015" w:name="Tc_JVTkEOFCaECr5HDunhcuqg_4_0"/>
      <w:bookmarkStart w:id="1016" w:name="Tc_MHVgJaz3yUCZdT5EVSM_2A_3_11"/>
      <w:bookmarkStart w:id="1017" w:name="Tc_V_shrV_As0-agU3OiPNl5Q_3_8"/>
      <w:bookmarkStart w:id="1018" w:name="Tc_9w-ZUpnuBEu7m6nn4QGiTA_3_5"/>
      <w:bookmarkStart w:id="1019" w:name="Tc_eWX6x27MD0qfPWfwnE3Ahw_3_2"/>
      <w:bookmarkStart w:id="1020" w:name="Tc_LD7vOUy4CUyS5Dx6oVke3A_2_8"/>
      <w:bookmarkStart w:id="1021" w:name="Tc__lapDe0K7Ua3k4tYGP1xDw_2_2"/>
      <w:bookmarkStart w:id="1022" w:name="Tc_k3g31uPmREGEimP6ZQ-HjA_1_8"/>
      <w:bookmarkStart w:id="1023" w:name="Tc_oUb0lXPpcEieIcNHdtr3KA_1_2"/>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r>
        <w:rPr>
          <w:rFonts w:ascii="Times New Roman;Times;serif" w:hAnsi="Times New Roman;Times;serif"/>
          <w:b/>
          <w:sz w:val="20"/>
        </w:rPr>
        <w:t>12.   Stock-Based Compensation Expense. </w:t>
      </w:r>
      <w:r>
        <w:rPr>
          <w:rFonts w:ascii="Times New Roman;Times;serif" w:hAnsi="Times New Roman;Times;serif"/>
          <w:b w:val="false"/>
          <w:sz w:val="20"/>
        </w:rPr>
        <w:t>Stock-based compensation expense before income tax expense for the three and six-month periods ended June 30, 2026 and 2025 consisted of the following (in thousands):</w:t>
      </w:r>
    </w:p>
    <w:p>
      <w:pPr>
        <w:pStyle w:val="TextBody"/>
        <w:bidi w:val="0"/>
        <w:spacing w:before="0" w:after="0"/>
        <w:ind w:left="0" w:right="0" w:hanging="0"/>
        <w:jc w:val="left"/>
        <w:rPr/>
      </w:pPr>
      <w:r>
        <w:rPr/>
        <w:t>​</w:t>
      </w:r>
    </w:p>
    <w:tbl>
      <w:tblPr>
        <w:tblW w:w="9058" w:type="dxa"/>
        <w:jc w:val="left"/>
        <w:tblInd w:w="0" w:type="dxa"/>
        <w:tblLayout w:type="fixed"/>
        <w:tblCellMar>
          <w:top w:w="0" w:type="dxa"/>
          <w:left w:w="0" w:type="dxa"/>
          <w:bottom w:w="0" w:type="dxa"/>
          <w:right w:w="0" w:type="dxa"/>
        </w:tblCellMar>
      </w:tblPr>
      <w:tblGrid>
        <w:gridCol w:w="4021"/>
        <w:gridCol w:w="346"/>
        <w:gridCol w:w="211"/>
        <w:gridCol w:w="676"/>
        <w:gridCol w:w="346"/>
        <w:gridCol w:w="211"/>
        <w:gridCol w:w="676"/>
        <w:gridCol w:w="346"/>
        <w:gridCol w:w="211"/>
        <w:gridCol w:w="676"/>
        <w:gridCol w:w="346"/>
        <w:gridCol w:w="211"/>
        <w:gridCol w:w="781"/>
      </w:tblGrid>
      <w:tr>
        <w:trPr/>
        <w:tc>
          <w:tcPr>
            <w:tcW w:w="4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553335" cy="175260"/>
                      <wp:effectExtent l="0" t="0" r="0" b="0"/>
                      <wp:wrapNone/>
                      <wp:docPr id="224" name="Frame223"/>
                      <a:graphic xmlns:a="http://schemas.openxmlformats.org/drawingml/2006/main">
                        <a:graphicData uri="http://schemas.microsoft.com/office/word/2010/wordprocessingShape">
                          <wps:wsp>
                            <wps:cNvSpPr txBox="1"/>
                            <wps:spPr>
                              <a:xfrm>
                                <a:off x="0" y="0"/>
                                <a:ext cx="2553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19710" cy="175260"/>
                      <wp:effectExtent l="0" t="0" r="0" b="0"/>
                      <wp:wrapNone/>
                      <wp:docPr id="225" name="Frame2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133985" cy="175260"/>
                      <wp:effectExtent l="0" t="0" r="0" b="0"/>
                      <wp:wrapNone/>
                      <wp:docPr id="226" name="Frame2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429260" cy="175260"/>
                      <wp:effectExtent l="0" t="0" r="0" b="0"/>
                      <wp:wrapNone/>
                      <wp:docPr id="227" name="Frame22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19710" cy="175260"/>
                      <wp:effectExtent l="0" t="0" r="0" b="0"/>
                      <wp:wrapNone/>
                      <wp:docPr id="228" name="Frame2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133985" cy="175260"/>
                      <wp:effectExtent l="0" t="0" r="0" b="0"/>
                      <wp:wrapNone/>
                      <wp:docPr id="229" name="Frame2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429260" cy="175260"/>
                      <wp:effectExtent l="0" t="0" r="0" b="0"/>
                      <wp:wrapNone/>
                      <wp:docPr id="230" name="Frame22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219710" cy="175260"/>
                      <wp:effectExtent l="0" t="0" r="0" b="0"/>
                      <wp:wrapNone/>
                      <wp:docPr id="231" name="Frame2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133985" cy="175260"/>
                      <wp:effectExtent l="0" t="0" r="0" b="0"/>
                      <wp:wrapNone/>
                      <wp:docPr id="232" name="Frame2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429260" cy="175260"/>
                      <wp:effectExtent l="0" t="0" r="0" b="0"/>
                      <wp:wrapNone/>
                      <wp:docPr id="233" name="Frame23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19710" cy="175260"/>
                      <wp:effectExtent l="0" t="0" r="0" b="0"/>
                      <wp:wrapNone/>
                      <wp:docPr id="234" name="Frame2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133985" cy="175260"/>
                      <wp:effectExtent l="0" t="0" r="0" b="0"/>
                      <wp:wrapNone/>
                      <wp:docPr id="235" name="Frame2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495935" cy="175260"/>
                      <wp:effectExtent l="0" t="0" r="0" b="0"/>
                      <wp:wrapNone/>
                      <wp:docPr id="236" name="Frame23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12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left"/>
              <w:rPr/>
            </w:pPr>
            <w:r>
              <w:rPr/>
              <w:t>​</w:t>
            </w:r>
          </w:p>
        </w:tc>
        <w:tc>
          <w:tcPr>
            <w:tcW w:w="222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40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1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222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40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1,273</w:t>
            </w:r>
          </w:p>
        </w:tc>
      </w:tr>
      <w:tr>
        <w:trPr/>
        <w:tc>
          <w:tcPr>
            <w:tcW w:w="40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1,354</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11,470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9,543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19,210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17,324</w:t>
            </w:r>
          </w:p>
        </w:tc>
      </w:tr>
      <w:tr>
        <w:trPr/>
        <w:tc>
          <w:tcPr>
            <w:tcW w:w="40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 before taxes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12,915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10,873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21,876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19,951</w:t>
            </w:r>
          </w:p>
        </w:tc>
      </w:tr>
    </w:tbl>
    <w:p>
      <w:pPr>
        <w:pStyle w:val="TextBody"/>
        <w:bidi w:val="0"/>
        <w:spacing w:before="0" w:after="0"/>
        <w:ind w:left="0" w:right="0" w:hanging="0"/>
        <w:jc w:val="left"/>
        <w:rPr/>
      </w:pPr>
      <w:r>
        <w:rPr/>
        <w:t>​</w:t>
      </w:r>
    </w:p>
    <w:p>
      <w:pPr>
        <w:pStyle w:val="TextBody"/>
        <w:bidi w:val="0"/>
        <w:spacing w:before="120" w:after="200"/>
        <w:ind w:left="0" w:right="0" w:hanging="0"/>
        <w:jc w:val="both"/>
        <w:rPr>
          <w:rFonts w:ascii="Times New Roman;Times;serif" w:hAnsi="Times New Roman;Times;serif"/>
          <w:sz w:val="20"/>
        </w:rPr>
      </w:pPr>
      <w:r>
        <w:rPr>
          <w:rFonts w:ascii="Times New Roman;Times;serif" w:hAnsi="Times New Roman;Times;serif"/>
          <w:sz w:val="20"/>
        </w:rPr>
        <w:t>We recognize stock-based compensation expense (net of a forfeiture rate), for those awards which are expected to vest, on a straight-line basis over the requisite service period. We estimate the forfeiture rate based on our historical experience and expectations about future forfeitures.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i/>
          <w:sz w:val="20"/>
        </w:rPr>
      </w:pPr>
      <w:bookmarkStart w:id="1024" w:name="Tc_J0c9kk6o3EiFLLRe81UWDg_7_2"/>
      <w:bookmarkStart w:id="1025" w:name="Tc_rMps2Huq70GMkxbvvAh0Hg_7_0"/>
      <w:bookmarkStart w:id="1026" w:name="Tc_fcFdw7ziR06ZgaENqvkwaA_6_4"/>
      <w:bookmarkStart w:id="1027" w:name="Tc_VmuQiajjvEKLbufZnRMkvw_6_2"/>
      <w:bookmarkStart w:id="1028" w:name="Tc_N0K146_nC0y-SH05LLKpgQ_6_0"/>
      <w:bookmarkStart w:id="1029" w:name="Tc_ClMhH_u5GUOUbhasDGYwsQ_5_4"/>
      <w:bookmarkStart w:id="1030" w:name="Tc__73ETeDdREa_SChP3oPIWQ_5_2"/>
      <w:bookmarkStart w:id="1031" w:name="Tc_w0EM_viyFEqEWLcwTR3j2w_5_0"/>
      <w:bookmarkStart w:id="1032" w:name="Tc_HtbuBPHFbUuUe31ezS3XBw_4_2"/>
      <w:bookmarkStart w:id="1033" w:name="Tc_B2bMnqWrj027h582-jondQ_4_0"/>
      <w:bookmarkStart w:id="1034" w:name="Tc_0Ywb9_SThkiOhTw2tIhv7A_3_4"/>
      <w:bookmarkStart w:id="1035" w:name="Tc_l1svXdkDVEivkiQbBCP6FQ_3_2"/>
      <w:bookmarkStart w:id="1036" w:name="Tc_1fPrDmmMCEm4hxFQS5W2Qw_2_2"/>
      <w:bookmarkStart w:id="1037" w:name="Tc_BXbBX4r0w0KLfd0ppuSwmg_1_2"/>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r>
        <w:rPr>
          <w:rFonts w:ascii="Times New Roman;Times;serif" w:hAnsi="Times New Roman;Times;serif"/>
          <w:i/>
          <w:sz w:val="20"/>
        </w:rPr>
        <w:t>Nonqualified Stock Options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During the six months ended June 30, 2026 and 2025, we did not grant any stock options. As of June 30, 2026, the total remaining unrecognized compensation cost related to non-vested stock options was $2.5 million, which was expected to be recognized over a weighted average period of 0.9 years.</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Stock-Settled Performance-Based Restricted Stock Units (“Performance Stock Units”)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During the six-month periods ended June 30, 2026 and 2025, we granted Performance Stock Units which represented awards of up to 490,985 and 290,120 shares of Common Stock, respectively. Settlement of the Performance Stock Units into shares of Common Stock occurs at the end of the relevant performance periods. The actual number of shares of Common Stock issuable at the end of the performance periods is based upon Company performance towards specified financial performance targets and relative total shareholder return as compared to the Russell 2000 Index (“rTSR”), all as more specifically set forth in the Performance Stock Unit award agreements.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We use Monte-Carlo simulations to estimate the grant-date fair value of the Performance Stock Units linked to total shareholder return. The fair value of each performance stock unit was estimated as of the grant date using the following assumptions for awards granted in the periods indicated below:</w:t>
      </w:r>
    </w:p>
    <w:p>
      <w:pPr>
        <w:pStyle w:val="TextBody"/>
        <w:bidi w:val="0"/>
        <w:spacing w:before="0" w:after="0"/>
        <w:ind w:left="0" w:right="0" w:hanging="0"/>
        <w:jc w:val="left"/>
        <w:rPr/>
      </w:pPr>
      <w:r>
        <w:rPr/>
        <w:t>​</w:t>
      </w:r>
    </w:p>
    <w:tbl>
      <w:tblPr>
        <w:tblW w:w="4895" w:type="dxa"/>
        <w:jc w:val="left"/>
        <w:tblInd w:w="0" w:type="dxa"/>
        <w:tblLayout w:type="fixed"/>
        <w:tblCellMar>
          <w:top w:w="0" w:type="dxa"/>
          <w:left w:w="0" w:type="dxa"/>
          <w:bottom w:w="0" w:type="dxa"/>
          <w:right w:w="0" w:type="dxa"/>
        </w:tblCellMar>
      </w:tblPr>
      <w:tblGrid>
        <w:gridCol w:w="2146"/>
        <w:gridCol w:w="346"/>
        <w:gridCol w:w="1306"/>
        <w:gridCol w:w="226"/>
        <w:gridCol w:w="871"/>
      </w:tblGrid>
      <w:tr>
        <w:trPr/>
        <w:tc>
          <w:tcPr>
            <w:tcW w:w="2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1362710" cy="175260"/>
                      <wp:effectExtent l="0" t="0" r="0" b="0"/>
                      <wp:wrapNone/>
                      <wp:docPr id="237" name="Frame236"/>
                      <a:graphic xmlns:a="http://schemas.openxmlformats.org/drawingml/2006/main">
                        <a:graphicData uri="http://schemas.microsoft.com/office/word/2010/wordprocessingShape">
                          <wps:wsp>
                            <wps:cNvSpPr txBox="1"/>
                            <wps:spPr>
                              <a:xfrm>
                                <a:off x="0" y="0"/>
                                <a:ext cx="136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219710" cy="175260"/>
                      <wp:effectExtent l="0" t="0" r="0" b="0"/>
                      <wp:wrapNone/>
                      <wp:docPr id="238" name="Frame2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829310" cy="175260"/>
                      <wp:effectExtent l="0" t="0" r="0" b="0"/>
                      <wp:wrapNone/>
                      <wp:docPr id="239" name="Frame238"/>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143510" cy="175260"/>
                      <wp:effectExtent l="0" t="0" r="0" b="0"/>
                      <wp:wrapNone/>
                      <wp:docPr id="240" name="Frame23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553085" cy="175260"/>
                      <wp:effectExtent l="0" t="0" r="0" b="0"/>
                      <wp:wrapNone/>
                      <wp:docPr id="241" name="Frame240"/>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403"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21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40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21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3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26" w:type="dxa"/>
            <w:tcBorders/>
            <w:vAlign w:val="center"/>
          </w:tcPr>
          <w:p>
            <w:pPr>
              <w:pStyle w:val="TableContents"/>
              <w:bidi w:val="0"/>
              <w:spacing w:before="0" w:after="1"/>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1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Risk-free interest rate</w:t>
            </w:r>
          </w:p>
        </w:tc>
        <w:tc>
          <w:tcPr>
            <w:tcW w:w="346" w:type="dxa"/>
            <w:tcBorders/>
            <w:shd w:fill="CCEEFF" w:val="clear"/>
            <w:vAlign w:val="center"/>
          </w:tcPr>
          <w:p>
            <w:pPr>
              <w:pStyle w:val="TableContents"/>
              <w:bidi w:val="0"/>
              <w:spacing w:before="0" w:after="1"/>
              <w:ind w:left="0" w:right="0" w:hanging="0"/>
              <w:jc w:val="left"/>
              <w:rPr/>
            </w:pPr>
            <w:r>
              <w:rPr/>
              <w:t>  ​ ​ ​</w:t>
            </w:r>
          </w:p>
        </w:tc>
        <w:tc>
          <w:tcPr>
            <w:tcW w:w="130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3.5% - 3.8%</w:t>
            </w:r>
          </w:p>
        </w:tc>
        <w:tc>
          <w:tcPr>
            <w:tcW w:w="22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4.0%</w:t>
            </w:r>
          </w:p>
        </w:tc>
      </w:tr>
      <w:tr>
        <w:trPr/>
        <w:tc>
          <w:tcPr>
            <w:tcW w:w="21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Performance period</w:t>
            </w:r>
          </w:p>
        </w:tc>
        <w:tc>
          <w:tcPr>
            <w:tcW w:w="346" w:type="dxa"/>
            <w:tcBorders/>
            <w:vAlign w:val="center"/>
          </w:tcPr>
          <w:p>
            <w:pPr>
              <w:pStyle w:val="TableContents"/>
              <w:bidi w:val="0"/>
              <w:spacing w:before="0" w:after="1"/>
              <w:ind w:left="0" w:right="0" w:hanging="0"/>
              <w:jc w:val="left"/>
              <w:rPr/>
            </w:pPr>
            <w:r>
              <w:rPr/>
              <w:t> </w:t>
            </w:r>
          </w:p>
        </w:tc>
        <w:tc>
          <w:tcPr>
            <w:tcW w:w="130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2.8 years</w:t>
            </w:r>
          </w:p>
        </w:tc>
        <w:tc>
          <w:tcPr>
            <w:tcW w:w="22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2.8 years</w:t>
            </w:r>
          </w:p>
        </w:tc>
      </w:tr>
      <w:tr>
        <w:trPr/>
        <w:tc>
          <w:tcPr>
            <w:tcW w:w="21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dividend yield</w:t>
            </w:r>
          </w:p>
        </w:tc>
        <w:tc>
          <w:tcPr>
            <w:tcW w:w="346" w:type="dxa"/>
            <w:tcBorders/>
            <w:shd w:fill="CCEEFF" w:val="clear"/>
            <w:vAlign w:val="center"/>
          </w:tcPr>
          <w:p>
            <w:pPr>
              <w:pStyle w:val="TableContents"/>
              <w:bidi w:val="0"/>
              <w:spacing w:before="0" w:after="1"/>
              <w:ind w:left="0" w:right="0" w:hanging="0"/>
              <w:jc w:val="left"/>
              <w:rPr/>
            </w:pPr>
            <w:r>
              <w:rPr/>
              <w:t> </w:t>
            </w:r>
          </w:p>
        </w:tc>
        <w:tc>
          <w:tcPr>
            <w:tcW w:w="1306" w:type="dxa"/>
            <w:tcBorders/>
            <w:shd w:fill="CCEEFF" w:val="clear"/>
            <w:vAlign w:val="center"/>
          </w:tcPr>
          <w:p>
            <w:pPr>
              <w:pStyle w:val="TableContents"/>
              <w:bidi w:val="0"/>
              <w:spacing w:before="0" w:after="1"/>
              <w:ind w:left="0" w:right="0" w:hanging="0"/>
              <w:jc w:val="center"/>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center"/>
              <w:rPr/>
            </w:pPr>
            <w:r>
              <w:rPr/>
              <w:t>—</w:t>
            </w:r>
          </w:p>
        </w:tc>
      </w:tr>
      <w:tr>
        <w:trPr/>
        <w:tc>
          <w:tcPr>
            <w:tcW w:w="21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price volatility</w:t>
            </w:r>
          </w:p>
        </w:tc>
        <w:tc>
          <w:tcPr>
            <w:tcW w:w="346" w:type="dxa"/>
            <w:tcBorders/>
            <w:vAlign w:val="center"/>
          </w:tcPr>
          <w:p>
            <w:pPr>
              <w:pStyle w:val="TableContents"/>
              <w:bidi w:val="0"/>
              <w:spacing w:before="0" w:after="1"/>
              <w:ind w:left="0" w:right="0" w:hanging="0"/>
              <w:jc w:val="left"/>
              <w:rPr/>
            </w:pPr>
            <w:r>
              <w:rPr/>
              <w:t> </w:t>
            </w:r>
          </w:p>
        </w:tc>
        <w:tc>
          <w:tcPr>
            <w:tcW w:w="130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28.5% - 28.7%</w:t>
            </w:r>
          </w:p>
        </w:tc>
        <w:tc>
          <w:tcPr>
            <w:tcW w:w="22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28.0%</w:t>
            </w:r>
          </w:p>
        </w:tc>
      </w:tr>
    </w:tbl>
    <w:p>
      <w:pPr>
        <w:pStyle w:val="TextBody"/>
        <w:bidi w:val="0"/>
        <w:spacing w:before="0" w:after="0"/>
        <w:ind w:left="0" w:right="0" w:hanging="0"/>
        <w:jc w:val="left"/>
        <w:rPr/>
      </w:pPr>
      <w:r>
        <w:rPr/>
        <w:t>​</w:t>
      </w:r>
    </w:p>
    <w:p>
      <w:pPr>
        <w:pStyle w:val="TextBody"/>
        <w:bidi w:val="0"/>
        <w:spacing w:before="200" w:after="200"/>
        <w:ind w:left="0" w:right="0" w:hanging="0"/>
        <w:jc w:val="both"/>
        <w:rPr>
          <w:rFonts w:ascii="Times New Roman;Times;serif" w:hAnsi="Times New Roman;Times;serif"/>
          <w:sz w:val="20"/>
        </w:rPr>
      </w:pPr>
      <w:r>
        <w:rPr>
          <w:rFonts w:ascii="Times New Roman;Times;serif" w:hAnsi="Times New Roman;Times;serif"/>
          <w:sz w:val="20"/>
        </w:rPr>
        <w:t>The risk-free interest rate of return was determined using the U.S. Treasury rate at the time of grant with a term equal to the expected term of the award. The expected volatility was based on the weighted average volatility of our stock price and the average volatility of our compensation peer group's stock price. The expected dividend yield was assumed to be zero because, at the time of the grant, we had no plans to declare a dividend.</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Compensation expense is recognized using the grant-date fair value for the number of shares that are likely to be awarded based on the performance metrics. Each reporting period, this probability assessment is updated, and cumulative adjustments are recorded based on the financial performance metrics expected to be achieved. At the end of the performance period, cumulative expense is calculated based on the actual performance metrics achieved. As of June 30, 2026, the total remaining unrecognized compensation cost related to stock-settled Performance Stock Units was $39.8 million, which is expected to be recognized over a weighted average period of 1.7 years.</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Cash-Settled Performance-Based Awards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During the six-month period ended June 30, 2025, we granted Performance Stock Units to Fred P. Lampropoulos, our former Chief Executive Officer that provided for settlement in cash upon achievement of specific metrics (“CEO Liability Awards”), with total target cash incentives in the amount of approximately $1.7 million. The CEO Liability Awards entitled Mr. Lampropoulos to a target cash payment based upon our level of rTSR performance and achievement of other performance metrics, as defined in the award agreements. During the six-month period ended June 30, 2026, we paid $2.7 million in connection with the settlement of vested CEO Liability Awards granted during 2023. All other unvested CEO Liability Awards were forfeited as of December 31,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 xml:space="preserve">Restricted Stock Units </w:t>
      </w:r>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During the six-month periods ended June 30, 2026 and 2025, we granted restricted stock units to certain employees and non-employee directors representing 395,725 and 135,778 shares of Common Stock, respectively. The expense recognized for restricted stock units is equal to the closing stock price on the date of grant, which is recognized over the vesting period. Restricted stock units granted to each employee are subject to such employee’s continued employment through the vesting date, which is between </w:t>
      </w:r>
      <w:r>
        <w:rPr>
          <w:rFonts w:ascii="Times New Roman;Times;serif" w:hAnsi="Times New Roman;Times;serif"/>
          <w:b w:val="false"/>
          <w:i w:val="false"/>
          <w:caps w:val="false"/>
          <w:smallCaps w:val="false"/>
          <w:sz w:val="20"/>
        </w:rPr>
        <w:t>three</w:t>
      </w:r>
      <w:r>
        <w:rPr>
          <w:rFonts w:ascii="Times New Roman;Times;serif" w:hAnsi="Times New Roman;Times;serif"/>
          <w:sz w:val="20"/>
        </w:rPr>
        <w:t xml:space="preserve"> to four years from the date of grant. Restricted stock units granted to each non-employee director are subject to such director’s continued service through the vesting date, which is approximately one year from the grant date. As of June 30, 2026, the total remaining unrecognized compensation cost related to restricted stock units was $45.3 million, which was expected to be recognized over a weighted average period of 2.4 years.</w:t>
      </w:r>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addition to the awards described above, we issue restricted stock units and performance stock units, each settled in cash, in certain countries that do not result in the issuance of common stock and are considered immaterial.</w:t>
      </w:r>
    </w:p>
    <w:p>
      <w:pPr>
        <w:pStyle w:val="TextBody"/>
        <w:shd w:fill="FFFFFF" w:val="clear"/>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0" w:after="200"/>
        <w:ind w:left="0" w:right="0" w:hanging="0"/>
        <w:jc w:val="both"/>
        <w:rPr>
          <w:rFonts w:ascii="Times New Roman;Times;serif" w:hAnsi="Times New Roman;Times;serif"/>
          <w:sz w:val="20"/>
        </w:rPr>
      </w:pPr>
      <w:bookmarkStart w:id="1038" w:name="Tc_zWyPAHt1Ukmyhcc0X8m4vg_13_11"/>
      <w:bookmarkStart w:id="1039" w:name="Tc_daKLASJRwkehUIL_MTV8Sw_13_8"/>
      <w:bookmarkStart w:id="1040" w:name="Tc_qKh_z3AzOESKA4Ys1yOOXg_13_5"/>
      <w:bookmarkStart w:id="1041" w:name="Tc_4nBCDtwsFEGuY9Je0BEsDA_13_2"/>
      <w:bookmarkStart w:id="1042" w:name="Tc_c0XNvJOe9Eeac4DasoT1QA_13_0"/>
      <w:bookmarkStart w:id="1043" w:name="Tc_mbzjEqE8hkyzOWkDg2FRag_12_0"/>
      <w:bookmarkStart w:id="1044" w:name="Tc_w661k0gg8UCyB1AXIvg_1A_11_0"/>
      <w:bookmarkStart w:id="1045" w:name="Tc_bACfoH8I6kSzzBGpsLsMwg_10_0"/>
      <w:bookmarkStart w:id="1046" w:name="Tc_9jHX40FIuEqND6GTWM2m8g_9_0"/>
      <w:bookmarkStart w:id="1047" w:name="Tc_4RDk41erL0WfYIPbTGM7eQ_8_0"/>
      <w:bookmarkStart w:id="1048" w:name="Tc_0O_gADzCfUquRR21huoEbw_7_0"/>
      <w:bookmarkStart w:id="1049" w:name="Tc_q1fEsQjwRUS4qSvsNQ1HBA_6_0"/>
      <w:bookmarkStart w:id="1050" w:name="Tc_G3gFn-Gz-0WLJ_VvJVfM9Q_5_0"/>
      <w:bookmarkStart w:id="1051" w:name="Tc_AYQ88JlA-Ue3M9r7gYO71w_4_11"/>
      <w:bookmarkStart w:id="1052" w:name="Tc_6w0uk4nnFU-ABkmx4603HQ_4_8"/>
      <w:bookmarkStart w:id="1053" w:name="Tc_2uivlWC0V0eenXl-x3E7lA_4_5"/>
      <w:bookmarkStart w:id="1054" w:name="Tc_l2eHCe1GDEy0rLwvaQpXhw_4_2"/>
      <w:bookmarkStart w:id="1055" w:name="Tc_dTtFXkelBU24U8l8CkTcQQ_4_0"/>
      <w:bookmarkStart w:id="1056" w:name="Tc_8IkfTvVSPkSLLX5cF_XFoA_3_11"/>
      <w:bookmarkStart w:id="1057" w:name="Tc_BA6JmiUA9k2gD122_FDa9w_3_8"/>
      <w:bookmarkStart w:id="1058" w:name="Tc_Ik0Vzpy1Nkybt3JIhIeYEA_3_5"/>
      <w:bookmarkStart w:id="1059" w:name="Tc_cUH6zJLwfkug2cuppHKYmQ_3_2"/>
      <w:bookmarkStart w:id="1060" w:name="Tc_UynUIOEaRkKSeues5C9RYw_2_8"/>
      <w:bookmarkStart w:id="1061" w:name="Tc_9XQvdqQAn0qDY5fnRtJwrQ_2_2"/>
      <w:bookmarkStart w:id="1062" w:name="Tc_kP610fN2u0-iWVUB4fQGOg_1_8"/>
      <w:bookmarkStart w:id="1063" w:name="Tc_ueP2n7O4lEq2dL8KrPFErw_1_2"/>
      <w:bookmarkStart w:id="1064" w:name="_2c170837_202b_4c6a_82bf_1ef303eb7aac"/>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r>
        <w:rPr>
          <w:rFonts w:ascii="Times New Roman;Times;serif" w:hAnsi="Times New Roman;Times;serif"/>
          <w:b/>
          <w:sz w:val="20"/>
        </w:rPr>
        <w:t>13.   Segment Reporting.</w:t>
      </w:r>
      <w:r>
        <w:rPr>
          <w:rFonts w:ascii="Times New Roman;Times;serif" w:hAnsi="Times New Roman;Times;serif"/>
          <w:sz w:val="20"/>
        </w:rPr>
        <w:t xml:space="preserve"> Beginning in the first quarter of 2026, we report our operations as a </w:t>
      </w:r>
      <w:r>
        <w:rPr>
          <w:rFonts w:ascii="Times New Roman;Times;serif" w:hAnsi="Times New Roman;Times;serif"/>
          <w:b w:val="false"/>
          <w:i w:val="false"/>
          <w:caps w:val="false"/>
          <w:smallCaps w:val="false"/>
          <w:sz w:val="20"/>
        </w:rPr>
        <w:t>single</w:t>
      </w:r>
      <w:r>
        <w:rPr>
          <w:rFonts w:ascii="Times New Roman;Times;serif" w:hAnsi="Times New Roman;Times;serif"/>
          <w:sz w:val="20"/>
        </w:rPr>
        <w:t xml:space="preserve"> operating segment that consists of two product categories: foundational and therapeutic. Foundational products are used primarily for access and enabling functions in vascular and other procedures, and include product platforms such as access devices, procedural solutions, OEM products, and vascular intervention. Therapeutic products are devices and systems used to treat a broad array of diseases, and include product platforms such as cardiac therapies, oncology, renal therapies, vascular intervention, OEM products and endoscopy. See Note 3, </w:t>
      </w:r>
      <w:r>
        <w:rPr>
          <w:rFonts w:ascii="Times New Roman;Times;serif" w:hAnsi="Times New Roman;Times;serif"/>
          <w:i/>
          <w:sz w:val="20"/>
        </w:rPr>
        <w:t>Revenues from Contracts with Customers</w:t>
      </w:r>
      <w:r>
        <w:rPr>
          <w:rFonts w:ascii="Times New Roman;Times;serif" w:hAnsi="Times New Roman;Times;serif"/>
          <w:sz w:val="20"/>
        </w:rPr>
        <w:t xml:space="preserve"> for a detailed breakout of our sales by product category, platform and geography. Our CODM is our Chief Executive Officer, who uses consolidated net income to measure segment profit or loss, assess performance and allocate resources, primarily through periodic budgeting and performance reviews. The CODM does not use asset information to assess performance or allocate resources. </w:t>
      </w:r>
      <w:r>
        <w:rPr>
          <w:rFonts w:ascii="Times New Roman;Times;serif" w:hAnsi="Times New Roman;Times;serif"/>
          <w:sz w:val="20"/>
          <w:shd w:fill="FFFFFF" w:val="clear"/>
        </w:rPr>
        <w:t>All information previously reported by segment has been recast to conform to this single segment conclusion.</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following represents total segment revenue and significant segment expenses for the periods indicated (in thousands):</w:t>
      </w:r>
    </w:p>
    <w:tbl>
      <w:tblPr>
        <w:tblW w:w="7688" w:type="dxa"/>
        <w:jc w:val="left"/>
        <w:tblInd w:w="0" w:type="dxa"/>
        <w:tblLayout w:type="fixed"/>
        <w:tblCellMar>
          <w:top w:w="0" w:type="dxa"/>
          <w:left w:w="0" w:type="dxa"/>
          <w:bottom w:w="0" w:type="dxa"/>
          <w:right w:w="0" w:type="dxa"/>
        </w:tblCellMar>
      </w:tblPr>
      <w:tblGrid>
        <w:gridCol w:w="3091"/>
        <w:gridCol w:w="146"/>
        <w:gridCol w:w="211"/>
        <w:gridCol w:w="781"/>
        <w:gridCol w:w="146"/>
        <w:gridCol w:w="211"/>
        <w:gridCol w:w="781"/>
        <w:gridCol w:w="146"/>
        <w:gridCol w:w="211"/>
        <w:gridCol w:w="781"/>
        <w:gridCol w:w="146"/>
        <w:gridCol w:w="211"/>
        <w:gridCol w:w="826"/>
      </w:tblGrid>
      <w:tr>
        <w:trPr/>
        <w:tc>
          <w:tcPr>
            <w:tcW w:w="30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1962785" cy="175260"/>
                      <wp:effectExtent l="0" t="0" r="0" b="0"/>
                      <wp:wrapNone/>
                      <wp:docPr id="242" name="Frame241"/>
                      <a:graphic xmlns:a="http://schemas.openxmlformats.org/drawingml/2006/main">
                        <a:graphicData uri="http://schemas.microsoft.com/office/word/2010/wordprocessingShape">
                          <wps:wsp>
                            <wps:cNvSpPr txBox="1"/>
                            <wps:spPr>
                              <a:xfrm>
                                <a:off x="0" y="0"/>
                                <a:ext cx="1962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92710" cy="175260"/>
                      <wp:effectExtent l="0" t="0" r="0" b="0"/>
                      <wp:wrapNone/>
                      <wp:docPr id="243" name="Frame242"/>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133985" cy="175260"/>
                      <wp:effectExtent l="0" t="0" r="0" b="0"/>
                      <wp:wrapNone/>
                      <wp:docPr id="244" name="Frame2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495935" cy="175260"/>
                      <wp:effectExtent l="0" t="0" r="0" b="0"/>
                      <wp:wrapNone/>
                      <wp:docPr id="245" name="Frame24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92710" cy="175260"/>
                      <wp:effectExtent l="0" t="0" r="0" b="0"/>
                      <wp:wrapNone/>
                      <wp:docPr id="246" name="Frame245"/>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133985" cy="175260"/>
                      <wp:effectExtent l="0" t="0" r="0" b="0"/>
                      <wp:wrapNone/>
                      <wp:docPr id="247" name="Frame2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495935" cy="175260"/>
                      <wp:effectExtent l="0" t="0" r="0" b="0"/>
                      <wp:wrapNone/>
                      <wp:docPr id="248" name="Frame24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92710" cy="175260"/>
                      <wp:effectExtent l="0" t="0" r="0" b="0"/>
                      <wp:wrapNone/>
                      <wp:docPr id="249" name="Frame248"/>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133985" cy="175260"/>
                      <wp:effectExtent l="0" t="0" r="0" b="0"/>
                      <wp:wrapNone/>
                      <wp:docPr id="250" name="Frame2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495935" cy="175260"/>
                      <wp:effectExtent l="0" t="0" r="0" b="0"/>
                      <wp:wrapNone/>
                      <wp:docPr id="251" name="Frame25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92710" cy="175260"/>
                      <wp:effectExtent l="0" t="0" r="0" b="0"/>
                      <wp:wrapNone/>
                      <wp:docPr id="252" name="Frame25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133985" cy="175260"/>
                      <wp:effectExtent l="0" t="0" r="0" b="0"/>
                      <wp:wrapNone/>
                      <wp:docPr id="253" name="Frame25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524510" cy="175260"/>
                      <wp:effectExtent l="0" t="0" r="0" b="0"/>
                      <wp:wrapNone/>
                      <wp:docPr id="254" name="Frame253"/>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9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13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46" w:type="dxa"/>
            <w:tcBorders/>
            <w:vAlign w:val="center"/>
          </w:tcPr>
          <w:p>
            <w:pPr>
              <w:pStyle w:val="TableContents"/>
              <w:bidi w:val="0"/>
              <w:spacing w:before="0" w:after="0"/>
              <w:ind w:left="0" w:right="0" w:hanging="0"/>
              <w:jc w:val="left"/>
              <w:rPr/>
            </w:pPr>
            <w:r>
              <w:rPr/>
              <w:t>​</w:t>
            </w:r>
          </w:p>
        </w:tc>
        <w:tc>
          <w:tcPr>
            <w:tcW w:w="217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309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1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46" w:type="dxa"/>
            <w:tcBorders/>
            <w:vAlign w:val="center"/>
          </w:tcPr>
          <w:p>
            <w:pPr>
              <w:pStyle w:val="TableContents"/>
              <w:bidi w:val="0"/>
              <w:spacing w:before="0" w:after="0"/>
              <w:ind w:left="0" w:right="0" w:hanging="0"/>
              <w:jc w:val="left"/>
              <w:rPr/>
            </w:pPr>
            <w:r>
              <w:rPr/>
              <w:t>​</w:t>
            </w:r>
          </w:p>
        </w:tc>
        <w:tc>
          <w:tcPr>
            <w:tcW w:w="217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09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4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4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46" w:type="dxa"/>
            <w:tcBorders/>
            <w:vAlign w:val="center"/>
          </w:tcPr>
          <w:p>
            <w:pPr>
              <w:pStyle w:val="TableContents"/>
              <w:bidi w:val="0"/>
              <w:spacing w:before="0" w:after="0"/>
              <w:ind w:left="0" w:right="0" w:hanging="0"/>
              <w:jc w:val="left"/>
              <w:rPr/>
            </w:pPr>
            <w:r>
              <w:rPr/>
              <w:t>​</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1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418,843</w:t>
            </w:r>
          </w:p>
        </w:tc>
        <w:tc>
          <w:tcPr>
            <w:tcW w:w="1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382,462</w:t>
            </w:r>
          </w:p>
        </w:tc>
        <w:tc>
          <w:tcPr>
            <w:tcW w:w="1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800,720</w:t>
            </w:r>
          </w:p>
        </w:tc>
        <w:tc>
          <w:tcPr>
            <w:tcW w:w="1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737,813</w:t>
            </w:r>
          </w:p>
        </w:tc>
      </w:tr>
      <w:tr>
        <w:trPr/>
        <w:tc>
          <w:tcPr>
            <w:tcW w:w="309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Cost of sales standard</w:t>
            </w:r>
            <w:r>
              <w:rPr>
                <w:rFonts w:ascii="Times New Roman;Times;serif" w:hAnsi="Times New Roman;Times;serif"/>
                <w:sz w:val="15"/>
              </w:rPr>
              <w:t>(1)</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158,509</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152,052</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305,525</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294,856</w:t>
            </w:r>
          </w:p>
        </w:tc>
      </w:tr>
      <w:tr>
        <w:trPr/>
        <w:tc>
          <w:tcPr>
            <w:tcW w:w="309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Cost of sales other</w:t>
            </w:r>
            <w:r>
              <w:rPr>
                <w:rFonts w:ascii="Times New Roman;Times;serif" w:hAnsi="Times New Roman;Times;serif"/>
                <w:sz w:val="15"/>
              </w:rPr>
              <w:t>(2)</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45,168</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45,923</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95,232</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86,450</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and marketing expenses</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75,182</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65,771</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149,139</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130,700</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54,047</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47,326</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98,300</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89,883</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expenses</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25,389</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24,367</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47,998</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46,845</w:t>
            </w:r>
          </w:p>
        </w:tc>
      </w:tr>
      <w:tr>
        <w:trPr/>
        <w:tc>
          <w:tcPr>
            <w:tcW w:w="309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Other operating expenses</w:t>
            </w:r>
            <w:r>
              <w:rPr>
                <w:rFonts w:ascii="Times New Roman;Times;serif" w:hAnsi="Times New Roman;Times;serif"/>
                <w:sz w:val="15"/>
              </w:rPr>
              <w:t>(3)</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1,166</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 — net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9,089</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3,501</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6,576</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12,511</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10,798</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25,062</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18,609</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38,803</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32,581</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79,798</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62,728</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(1)</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Cost of sales standard represents costs of goods sold measured at the internal standard cost for production of inventory. Inventory standard costs include material, labor and manufacturing overhead.</w:t>
            </w:r>
          </w:p>
        </w:tc>
      </w:tr>
    </w:tbl>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(2)</w:t>
            </w:r>
          </w:p>
        </w:tc>
        <w:tc>
          <w:tcPr>
            <w:tcW w:w="99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Cost of sales other includes amortization expense associated with our developed technology and license agreement intangible assets, freight and handling associated with shipments to customers, provisions based on estimated excess, slow moving and obsolete inventories, manufacturing and price variances, and royalties.</w:t>
            </w:r>
          </w:p>
        </w:tc>
      </w:tr>
    </w:tbl>
    <w:tbl>
      <w:tblPr>
        <w:tblW w:w="10205" w:type="dxa"/>
        <w:jc w:val="left"/>
        <w:tblInd w:w="0" w:type="dxa"/>
        <w:tblLayout w:type="fixed"/>
        <w:tblCellMar>
          <w:top w:w="0" w:type="dxa"/>
          <w:left w:w="0" w:type="dxa"/>
          <w:bottom w:w="0" w:type="dxa"/>
          <w:right w:w="0" w:type="dxa"/>
        </w:tblCellMar>
      </w:tblPr>
      <w:tblGrid>
        <w:gridCol w:w="278"/>
        <w:gridCol w:w="9927"/>
      </w:tblGrid>
      <w:tr>
        <w:trPr/>
        <w:tc>
          <w:tcPr>
            <w:tcW w:w="278"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(3)</w:t>
            </w:r>
          </w:p>
        </w:tc>
        <w:tc>
          <w:tcPr>
            <w:tcW w:w="99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Other operating expenses include contingent consideration expense (benefit) related to the changes in fair value of contingent payments associated with acquisitions.</w:t>
            </w:r>
          </w:p>
        </w:tc>
      </w:tr>
    </w:tbl>
    <w:p>
      <w:pPr>
        <w:pStyle w:val="TextBody"/>
        <w:bidi w:val="0"/>
        <w:spacing w:before="0" w:after="0"/>
        <w:ind w:left="0" w:right="0" w:hanging="0"/>
        <w:jc w:val="both"/>
        <w:rPr/>
      </w:pPr>
      <w:r>
        <w:rPr/>
        <w: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Depreciation and amortization for the three and six-month periods ended June 30, 2026 was $31.0 million and $61.5 million, respectively. Depreciation and amortization for the three and six-month periods ended June 30, 2025 was $31.0 million and $60.3 million, respectively.</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bookmarkStart w:id="1065" w:name="Tc_JoA_Mfiq0ku1Uyt7MeMwJg_9_9"/>
      <w:bookmarkStart w:id="1066" w:name="Tc_oMTw5MMk_UqBS0NUvueYdA_9_6"/>
      <w:bookmarkStart w:id="1067" w:name="Tc_6JihRq6c3UGLEsdsaSatEA_9_0"/>
      <w:bookmarkStart w:id="1068" w:name="Tc_uL_MmhFrwEWdYj35Biqn6w_8_12"/>
      <w:bookmarkStart w:id="1069" w:name="Tc_PtPcy9ZpA02imqBo6UXg0g_8_6"/>
      <w:bookmarkStart w:id="1070" w:name="Tc_CaBZN3mgIkqWgRt67NIEaw_8_0"/>
      <w:bookmarkStart w:id="1071" w:name="Tc__HqGG4HKdUia0es_2n3soQ_7_12"/>
      <w:bookmarkStart w:id="1072" w:name="Tc_FaO_BmIDLUeqENDuqCsdEw_7_6"/>
      <w:bookmarkStart w:id="1073" w:name="Tc_m9-evSb79EqGyC8z5of0ig_7_0"/>
      <w:bookmarkStart w:id="1074" w:name="Tc_R7vx7l7KFU2A5c3Wy9NnRQ_6_12"/>
      <w:bookmarkStart w:id="1075" w:name="Tc_V2Pne1HDYkK-jKVEV8eecA_6_9"/>
      <w:bookmarkStart w:id="1076" w:name="Tc_-i7WSA1SfkaESvYGIekLag_6_0"/>
      <w:bookmarkStart w:id="1077" w:name="Tc_IwrDzZJP7UCX527Gb707uA_5_12"/>
      <w:bookmarkStart w:id="1078" w:name="Tc_azUqPr_aSU-_10v6s2r4fg_5_11"/>
      <w:bookmarkStart w:id="1079" w:name="Tc_8yO4B545oUS8sKOTHqtj0w_5_9"/>
      <w:bookmarkStart w:id="1080" w:name="Tc_oL6dTr-UzkaW3pfziK8I4A_5_8"/>
      <w:bookmarkStart w:id="1081" w:name="Tc_nitIdsTcqUi_UUTu8Lr_pQ_5_5"/>
      <w:bookmarkStart w:id="1082" w:name="Tc_1vgiWLT6ekGov-zynqHRUQ_5_2"/>
      <w:bookmarkStart w:id="1083" w:name="Tc_qC06YPspNUaMR6pGd3ApGg_5_0"/>
      <w:bookmarkStart w:id="1084" w:name="Tc_Vgi323Ac9Ui1Rw9kb79Mjg_4_11"/>
      <w:bookmarkStart w:id="1085" w:name="Tc_gf7BFSiIy0Wa1AUiqjo9wA_4_8"/>
      <w:bookmarkStart w:id="1086" w:name="Tc_l4ccGtDXAEy2al5dnIJveg_4_5"/>
      <w:bookmarkStart w:id="1087" w:name="Tc_1M5k-2pSF0KcFcecnO5KEg_4_2"/>
      <w:bookmarkStart w:id="1088" w:name="Tc_66I_B2Wa00Kr50XWkc3TrA_3_11"/>
      <w:bookmarkStart w:id="1089" w:name="Tc_PGlZsEEqjEC9s6IuEFJTnA_3_8"/>
      <w:bookmarkStart w:id="1090" w:name="Tc_fZfUgpa1REmp0jvMa6gwEg_3_5"/>
      <w:bookmarkStart w:id="1091" w:name="Tc_db984FgFVkCQCnRlUqTz-Q_3_2"/>
      <w:bookmarkStart w:id="1092" w:name="Tc_D1uzaKxCSUyCkRhpRcXlRw_2_11"/>
      <w:bookmarkStart w:id="1093" w:name="Tc_BkoEOsWmhU2nkOvBWTiPMA_2_8"/>
      <w:bookmarkStart w:id="1094" w:name="Tc_W_AxN8ej6kefIwOzW1w_5w_2_5"/>
      <w:bookmarkStart w:id="1095" w:name="Tc_DSe38o_aJUSVXrvsAdQiZA_2_2"/>
      <w:bookmarkStart w:id="1096" w:name="Tc_7XSlpbBJckqWy2_vD3q5Sw_1_5"/>
      <w:bookmarkStart w:id="1097" w:name="_742ca1f4_abae_4a59_b5b9_fa518ae016ba"/>
      <w:bookmarkStart w:id="1098" w:name="Tc_tq4V2zyVBUCidETEKSnz7w_9_9"/>
      <w:bookmarkStart w:id="1099" w:name="Tc_0kY2qFeJuEqbM3TvcJTnmA_9_6"/>
      <w:bookmarkStart w:id="1100" w:name="Tc_pwKIWhiDqUm9tuKAcWXNlg_9_0"/>
      <w:bookmarkStart w:id="1101" w:name="Tc_ghedpZQ2uUi49lv-iBTp_g_8_12"/>
      <w:bookmarkStart w:id="1102" w:name="Tc_K9O97nb1cE6AMKyGD8E1GA_8_6"/>
      <w:bookmarkStart w:id="1103" w:name="Tc__HTZFYdeukOl6Ci9AWkGnQ_8_0"/>
      <w:bookmarkStart w:id="1104" w:name="Tc_1UvFsTghr0aBKoPrwr2Tbg_7_12"/>
      <w:bookmarkStart w:id="1105" w:name="Tc_MPCLfWNCfkG0vGqmSvLcgQ_7_6"/>
      <w:bookmarkStart w:id="1106" w:name="Tc_SD_xTFc7IEW9EH8_kNCTcw_7_0"/>
      <w:bookmarkStart w:id="1107" w:name="Tc_dC8V4cLVc0i5hBL2yClfFA_6_12"/>
      <w:bookmarkStart w:id="1108" w:name="Tc_sAUXgbjuJkSidPCncB2vsQ_6_9"/>
      <w:bookmarkStart w:id="1109" w:name="Tc_NNDpDKJvu0qyjmmDbNGf5Q_6_0"/>
      <w:bookmarkStart w:id="1110" w:name="Tc_61Ipyr4OCUmH9n_mO8jiZQ_5_12"/>
      <w:bookmarkStart w:id="1111" w:name="Tc_2FNCxQAw9Ea7nz9H0VKuVw_5_11"/>
      <w:bookmarkStart w:id="1112" w:name="Tc_DuM8chG5bkqGhSoqBNXioQ_5_9"/>
      <w:bookmarkStart w:id="1113" w:name="Tc_1bix6npvpU6mvSTq-_rKSg_5_8"/>
      <w:bookmarkStart w:id="1114" w:name="Tc_MV-4uTf4REKVMDUyDbmHCA_5_5"/>
      <w:bookmarkStart w:id="1115" w:name="Tc_-vPXPjTxWU29Qyj695hGaw_5_2"/>
      <w:bookmarkStart w:id="1116" w:name="Tc_DzJODRTsckOvl5YMa1bqHQ_5_0"/>
      <w:bookmarkStart w:id="1117" w:name="Tc_WgL_LhFRmki96kwJXb8jDw_4_11"/>
      <w:bookmarkStart w:id="1118" w:name="Tc_VtWqSKJCukeR5ynRAX5i2w_4_8"/>
      <w:bookmarkStart w:id="1119" w:name="Tc_RwVzQ_AKR06JxU16mu4n8g_4_5"/>
      <w:bookmarkStart w:id="1120" w:name="Tc_56Pfesaf30mPib5Ob2QWwg_4_2"/>
      <w:bookmarkStart w:id="1121" w:name="Tc_LupBtIHAdUW_PKaTpAhgBQ_3_11"/>
      <w:bookmarkStart w:id="1122" w:name="Tc__9YWVelKekuUVcR1nbibuQ_3_8"/>
      <w:bookmarkStart w:id="1123" w:name="Tc_8PmDPcdJDU2Ur6byQU3LmA_3_5"/>
      <w:bookmarkStart w:id="1124" w:name="Tc_gZWKJMMDHUeWipJbKah2Pw_3_2"/>
      <w:bookmarkStart w:id="1125" w:name="Tc_hQ4YMk2CsU-VdmdRm9wgng_2_11"/>
      <w:bookmarkStart w:id="1126" w:name="Tc_8Fx_AEOx-EG6pyjvas62HQ_2_8"/>
      <w:bookmarkStart w:id="1127" w:name="Tc_FwLJ1uiCCE2aSk7Le2_lTA_2_5"/>
      <w:bookmarkStart w:id="1128" w:name="Tc_ESPBVHzzAUuWNbjax5uykg_2_2"/>
      <w:bookmarkStart w:id="1129" w:name="Tc_vHAHHeGxME-V-MiU4OA8fg_1_5"/>
      <w:bookmarkStart w:id="1130" w:name="_763f310e_eaee_4c17_ba4d_fd5805257928"/>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r>
        <w:rPr>
          <w:rFonts w:ascii="Times New Roman;Times;serif" w:hAnsi="Times New Roman;Times;serif"/>
          <w:b/>
          <w:sz w:val="20"/>
        </w:rPr>
        <w:t xml:space="preserve">14.   Fair Value Measurements. </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Assets (Liabilities) Measured at Fair Value on a Recurring Basis</w:t>
      </w:r>
    </w:p>
    <w:p>
      <w:pPr>
        <w:pStyle w:val="TextBody"/>
        <w:bidi w:val="0"/>
        <w:spacing w:before="0" w:after="200"/>
        <w:ind w:left="0" w:right="0" w:hanging="0"/>
        <w:jc w:val="left"/>
        <w:rPr>
          <w:rFonts w:ascii="Times New Roman;Times;serif" w:hAnsi="Times New Roman;Times;serif"/>
          <w:b w:val="false"/>
          <w:sz w:val="20"/>
        </w:rPr>
      </w:pPr>
      <w:r>
        <w:rPr>
          <w:rFonts w:ascii="Times New Roman;Times;serif" w:hAnsi="Times New Roman;Times;serif"/>
          <w:b w:val="false"/>
          <w:sz w:val="20"/>
        </w:rPr>
        <w:t>Our financial assets and (liabilities) carried at fair value and measured on a recurring basis as of June 30, 2026 and December 31, 2025 consisted of the following (in thousands):</w:t>
      </w:r>
    </w:p>
    <w:tbl>
      <w:tblPr>
        <w:tblW w:w="10205" w:type="dxa"/>
        <w:jc w:val="left"/>
        <w:tblInd w:w="0" w:type="dxa"/>
        <w:tblLayout w:type="fixed"/>
        <w:tblCellMar>
          <w:top w:w="0" w:type="dxa"/>
          <w:left w:w="0" w:type="dxa"/>
          <w:bottom w:w="0" w:type="dxa"/>
          <w:right w:w="0" w:type="dxa"/>
        </w:tblCellMar>
      </w:tblPr>
      <w:tblGrid>
        <w:gridCol w:w="3447"/>
        <w:gridCol w:w="346"/>
        <w:gridCol w:w="267"/>
        <w:gridCol w:w="859"/>
        <w:gridCol w:w="346"/>
        <w:gridCol w:w="307"/>
        <w:gridCol w:w="984"/>
        <w:gridCol w:w="346"/>
        <w:gridCol w:w="342"/>
        <w:gridCol w:w="1024"/>
        <w:gridCol w:w="346"/>
        <w:gridCol w:w="360"/>
        <w:gridCol w:w="1231"/>
      </w:tblGrid>
      <w:tr>
        <w:trPr/>
        <w:tc>
          <w:tcPr>
            <w:tcW w:w="344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219710" cy="175260"/>
                      <wp:effectExtent l="0" t="0" r="0" b="0"/>
                      <wp:wrapNone/>
                      <wp:docPr id="255" name="Frame2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169545" cy="175260"/>
                      <wp:effectExtent l="0" t="0" r="0" b="0"/>
                      <wp:wrapNone/>
                      <wp:docPr id="256" name="Frame255"/>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19710" cy="175260"/>
                      <wp:effectExtent l="0" t="0" r="0" b="0"/>
                      <wp:wrapNone/>
                      <wp:docPr id="257" name="Frame2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7"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219710" cy="175260"/>
                      <wp:effectExtent l="0" t="0" r="0" b="0"/>
                      <wp:wrapNone/>
                      <wp:docPr id="258" name="Frame2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2" w:type="dxa"/>
            <w:tcBorders/>
            <w:vAlign w:val="center"/>
          </w:tcPr>
          <w:p>
            <w:pPr>
              <w:pStyle w:val="TableContents"/>
              <w:bidi w:val="0"/>
              <w:spacing w:before="0" w:after="0"/>
              <w:ind w:left="0" w:right="0" w:hanging="0"/>
              <w:jc w:val="left"/>
              <w:rPr/>
            </w:pPr>
            <w:r>
              <w:rPr/>
              <w:t>​</w:t>
            </w:r>
          </w:p>
        </w:tc>
        <w:tc>
          <w:tcPr>
            <w:tcW w:w="10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219710" cy="175260"/>
                      <wp:effectExtent l="0" t="0" r="0" b="0"/>
                      <wp:wrapNone/>
                      <wp:docPr id="259" name="Frame2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0"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left"/>
              <w:rPr/>
            </w:pPr>
            <w:r>
              <w:rPr/>
              <w:t>​</w:t>
            </w:r>
          </w:p>
        </w:tc>
      </w:tr>
      <w:tr>
        <w:trPr/>
        <w:tc>
          <w:tcPr>
            <w:tcW w:w="344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85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940"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 Measurements Using</w:t>
            </w:r>
          </w:p>
        </w:tc>
      </w:tr>
      <w:tr>
        <w:trPr/>
        <w:tc>
          <w:tcPr>
            <w:tcW w:w="344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Fair</w:t>
            </w:r>
          </w:p>
        </w:tc>
        <w:tc>
          <w:tcPr>
            <w:tcW w:w="346" w:type="dxa"/>
            <w:tcBorders/>
            <w:vAlign w:val="center"/>
          </w:tcPr>
          <w:p>
            <w:pPr>
              <w:pStyle w:val="TableContents"/>
              <w:bidi w:val="0"/>
              <w:spacing w:before="0" w:after="0"/>
              <w:ind w:left="0" w:right="0" w:hanging="0"/>
              <w:jc w:val="left"/>
              <w:rPr/>
            </w:pPr>
            <w:r>
              <w:rPr/>
              <w:t>​</w:t>
            </w:r>
          </w:p>
        </w:tc>
        <w:tc>
          <w:tcPr>
            <w:tcW w:w="129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Quoted prices in</w:t>
            </w:r>
          </w:p>
        </w:tc>
        <w:tc>
          <w:tcPr>
            <w:tcW w:w="346" w:type="dxa"/>
            <w:tcBorders/>
            <w:vAlign w:val="center"/>
          </w:tcPr>
          <w:p>
            <w:pPr>
              <w:pStyle w:val="TableContents"/>
              <w:bidi w:val="0"/>
              <w:spacing w:before="0" w:after="0"/>
              <w:ind w:left="0" w:right="0" w:hanging="0"/>
              <w:jc w:val="left"/>
              <w:rPr/>
            </w:pPr>
            <w:r>
              <w:rPr/>
              <w:t>​</w:t>
            </w:r>
          </w:p>
        </w:tc>
        <w:tc>
          <w:tcPr>
            <w:tcW w:w="13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 other</w:t>
            </w:r>
          </w:p>
        </w:tc>
        <w:tc>
          <w:tcPr>
            <w:tcW w:w="346" w:type="dxa"/>
            <w:tcBorders/>
            <w:vAlign w:val="center"/>
          </w:tcPr>
          <w:p>
            <w:pPr>
              <w:pStyle w:val="TableContents"/>
              <w:bidi w:val="0"/>
              <w:spacing w:before="0" w:after="0"/>
              <w:ind w:left="0" w:right="0" w:hanging="0"/>
              <w:jc w:val="left"/>
              <w:rPr/>
            </w:pPr>
            <w:r>
              <w:rPr/>
              <w:t>​</w:t>
            </w:r>
          </w:p>
        </w:tc>
        <w:tc>
          <w:tcPr>
            <w:tcW w:w="159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w:t>
            </w:r>
          </w:p>
        </w:tc>
      </w:tr>
      <w:tr>
        <w:trPr/>
        <w:tc>
          <w:tcPr>
            <w:tcW w:w="344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 at</w:t>
            </w:r>
          </w:p>
        </w:tc>
        <w:tc>
          <w:tcPr>
            <w:tcW w:w="346" w:type="dxa"/>
            <w:tcBorders/>
            <w:vAlign w:val="center"/>
          </w:tcPr>
          <w:p>
            <w:pPr>
              <w:pStyle w:val="TableContents"/>
              <w:bidi w:val="0"/>
              <w:spacing w:before="0" w:after="0"/>
              <w:ind w:left="0" w:right="0" w:hanging="0"/>
              <w:jc w:val="left"/>
              <w:rPr/>
            </w:pPr>
            <w:r>
              <w:rPr/>
              <w:t>​</w:t>
            </w:r>
          </w:p>
        </w:tc>
        <w:tc>
          <w:tcPr>
            <w:tcW w:w="129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active markets</w:t>
            </w:r>
          </w:p>
        </w:tc>
        <w:tc>
          <w:tcPr>
            <w:tcW w:w="346" w:type="dxa"/>
            <w:tcBorders/>
            <w:vAlign w:val="center"/>
          </w:tcPr>
          <w:p>
            <w:pPr>
              <w:pStyle w:val="TableContents"/>
              <w:bidi w:val="0"/>
              <w:spacing w:before="0" w:after="0"/>
              <w:ind w:left="0" w:right="0" w:hanging="0"/>
              <w:jc w:val="left"/>
              <w:rPr/>
            </w:pPr>
            <w:r>
              <w:rPr/>
              <w:t>​</w:t>
            </w:r>
          </w:p>
        </w:tc>
        <w:tc>
          <w:tcPr>
            <w:tcW w:w="13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observable inputs</w:t>
            </w:r>
          </w:p>
        </w:tc>
        <w:tc>
          <w:tcPr>
            <w:tcW w:w="346" w:type="dxa"/>
            <w:tcBorders/>
            <w:vAlign w:val="center"/>
          </w:tcPr>
          <w:p>
            <w:pPr>
              <w:pStyle w:val="TableContents"/>
              <w:bidi w:val="0"/>
              <w:spacing w:before="0" w:after="0"/>
              <w:ind w:left="0" w:right="0" w:hanging="0"/>
              <w:jc w:val="left"/>
              <w:rPr/>
            </w:pPr>
            <w:r>
              <w:rPr/>
              <w:t>​</w:t>
            </w:r>
          </w:p>
        </w:tc>
        <w:tc>
          <w:tcPr>
            <w:tcW w:w="159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unobservable inputs</w:t>
            </w:r>
          </w:p>
        </w:tc>
      </w:tr>
      <w:tr>
        <w:trPr/>
        <w:tc>
          <w:tcPr>
            <w:tcW w:w="344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0"/>
              <w:ind w:left="0" w:right="0" w:hanging="0"/>
              <w:jc w:val="left"/>
              <w:rPr/>
            </w:pPr>
            <w:r>
              <w:rPr/>
              <w:t>  ​ ​ ​</w:t>
            </w:r>
          </w:p>
        </w:tc>
        <w:tc>
          <w:tcPr>
            <w:tcW w:w="12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46" w:type="dxa"/>
            <w:tcBorders/>
            <w:vAlign w:val="center"/>
          </w:tcPr>
          <w:p>
            <w:pPr>
              <w:pStyle w:val="TableContents"/>
              <w:bidi w:val="0"/>
              <w:spacing w:before="0" w:after="0"/>
              <w:ind w:left="0" w:right="0" w:hanging="0"/>
              <w:jc w:val="left"/>
              <w:rPr/>
            </w:pPr>
            <w:r>
              <w:rPr/>
              <w:t>  ​ ​ ​</w:t>
            </w:r>
          </w:p>
        </w:tc>
        <w:tc>
          <w:tcPr>
            <w:tcW w:w="13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46" w:type="dxa"/>
            <w:tcBorders/>
            <w:vAlign w:val="center"/>
          </w:tcPr>
          <w:p>
            <w:pPr>
              <w:pStyle w:val="TableContents"/>
              <w:bidi w:val="0"/>
              <w:spacing w:before="0" w:after="0"/>
              <w:ind w:left="0" w:right="0" w:hanging="0"/>
              <w:jc w:val="left"/>
              <w:rPr/>
            </w:pPr>
            <w:r>
              <w:rPr/>
              <w:t>  ​ ​ ​</w:t>
            </w:r>
          </w:p>
        </w:tc>
        <w:tc>
          <w:tcPr>
            <w:tcW w:w="15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3447"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Money market funds </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31,840</w:t>
            </w:r>
          </w:p>
        </w:tc>
        <w:tc>
          <w:tcPr>
            <w:tcW w:w="346"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31,840</w:t>
            </w:r>
          </w:p>
        </w:tc>
        <w:tc>
          <w:tcPr>
            <w:tcW w:w="346" w:type="dxa"/>
            <w:tcBorders/>
            <w:shd w:fill="CCEEFF" w:val="clear"/>
            <w:vAlign w:val="center"/>
          </w:tcPr>
          <w:p>
            <w:pPr>
              <w:pStyle w:val="TableContents"/>
              <w:bidi w:val="0"/>
              <w:spacing w:before="0" w:after="0"/>
              <w:ind w:left="0" w:right="0" w:hanging="0"/>
              <w:jc w:val="left"/>
              <w:rPr/>
            </w:pPr>
            <w:r>
              <w:rPr/>
              <w:t>​</w:t>
            </w:r>
          </w:p>
        </w:tc>
        <w:tc>
          <w:tcPr>
            <w:tcW w:w="3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1" w:type="dxa"/>
            <w:tcBorders/>
            <w:shd w:fill="CCEEFF" w:val="clear"/>
            <w:vAlign w:val="center"/>
          </w:tcPr>
          <w:p>
            <w:pPr>
              <w:pStyle w:val="TableContents"/>
              <w:bidi w:val="0"/>
              <w:spacing w:before="0" w:after="0"/>
              <w:ind w:left="0" w:right="0" w:hanging="0"/>
              <w:jc w:val="right"/>
              <w:rPr/>
            </w:pPr>
            <w:r>
              <w:rPr/>
              <w:t>—</w:t>
            </w:r>
          </w:p>
        </w:tc>
      </w:tr>
      <w:tr>
        <w:trPr/>
        <w:tc>
          <w:tcPr>
            <w:tcW w:w="3447"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United States treasury debt securities </w:t>
            </w:r>
            <w:r>
              <w:rPr>
                <w:rFonts w:ascii="Times New Roman;Times;serif" w:hAnsi="Times New Roman;Times;serif"/>
                <w:sz w:val="15"/>
              </w:rPr>
              <w:t>(2)</w:t>
            </w:r>
          </w:p>
        </w:tc>
        <w:tc>
          <w:tcPr>
            <w:tcW w:w="34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8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4,310</w:t>
            </w:r>
          </w:p>
        </w:tc>
        <w:tc>
          <w:tcPr>
            <w:tcW w:w="346"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4,310</w:t>
            </w:r>
          </w:p>
        </w:tc>
        <w:tc>
          <w:tcPr>
            <w:tcW w:w="346" w:type="dxa"/>
            <w:tcBorders/>
            <w:vAlign w:val="center"/>
          </w:tcPr>
          <w:p>
            <w:pPr>
              <w:pStyle w:val="TableContents"/>
              <w:bidi w:val="0"/>
              <w:spacing w:before="0" w:after="0"/>
              <w:ind w:left="0" w:right="0" w:hanging="0"/>
              <w:jc w:val="left"/>
              <w:rPr/>
            </w:pPr>
            <w:r>
              <w:rPr/>
              <w:t>​</w:t>
            </w:r>
          </w:p>
        </w:tc>
        <w:tc>
          <w:tcPr>
            <w:tcW w:w="342" w:type="dxa"/>
            <w:tcBorders/>
            <w:vAlign w:val="center"/>
          </w:tcPr>
          <w:p>
            <w:pPr>
              <w:pStyle w:val="TableContents"/>
              <w:bidi w:val="0"/>
              <w:spacing w:before="0" w:after="0"/>
              <w:ind w:left="0" w:right="0" w:hanging="0"/>
              <w:jc w:val="left"/>
              <w:rPr/>
            </w:pPr>
            <w:r>
              <w:rPr/>
              <w:t>​</w:t>
            </w:r>
          </w:p>
        </w:tc>
        <w:tc>
          <w:tcPr>
            <w:tcW w:w="102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60" w:type="dxa"/>
            <w:tcBorders/>
            <w:vAlign w:val="center"/>
          </w:tcPr>
          <w:p>
            <w:pPr>
              <w:pStyle w:val="TableContents"/>
              <w:bidi w:val="0"/>
              <w:spacing w:before="0" w:after="0"/>
              <w:ind w:left="0" w:right="0" w:hanging="0"/>
              <w:jc w:val="center"/>
              <w:rPr/>
            </w:pPr>
            <w:r>
              <w:rPr/>
              <w:t>​</w:t>
            </w:r>
          </w:p>
        </w:tc>
        <w:tc>
          <w:tcPr>
            <w:tcW w:w="1231" w:type="dxa"/>
            <w:tcBorders/>
            <w:vAlign w:val="center"/>
          </w:tcPr>
          <w:p>
            <w:pPr>
              <w:pStyle w:val="TableContents"/>
              <w:bidi w:val="0"/>
              <w:spacing w:before="0" w:after="0"/>
              <w:ind w:left="0" w:right="0" w:hanging="0"/>
              <w:jc w:val="right"/>
              <w:rPr/>
            </w:pPr>
            <w:r>
              <w:rPr/>
              <w:t>—</w:t>
            </w:r>
          </w:p>
        </w:tc>
      </w:tr>
      <w:tr>
        <w:trPr/>
        <w:tc>
          <w:tcPr>
            <w:tcW w:w="3447"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Foreign currency contract assets, current and long-term </w:t>
            </w:r>
            <w:r>
              <w:rPr>
                <w:rFonts w:ascii="Times New Roman;Times;serif" w:hAnsi="Times New Roman;Times;serif"/>
                <w:sz w:val="15"/>
              </w:rPr>
              <w:t>(3)</w:t>
            </w:r>
          </w:p>
        </w:tc>
        <w:tc>
          <w:tcPr>
            <w:tcW w:w="34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w:t>
            </w:r>
          </w:p>
        </w:tc>
        <w:tc>
          <w:tcPr>
            <w:tcW w:w="8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5,944</w:t>
            </w:r>
          </w:p>
        </w:tc>
        <w:tc>
          <w:tcPr>
            <w:tcW w:w="346"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2" w:type="dxa"/>
            <w:tcBorders/>
            <w:shd w:fill="CCEEFF" w:val="clear"/>
            <w:vAlign w:val="center"/>
          </w:tcPr>
          <w:p>
            <w:pPr>
              <w:pStyle w:val="TableContents"/>
              <w:bidi w:val="0"/>
              <w:spacing w:before="0" w:after="0"/>
              <w:ind w:left="0" w:right="0" w:hanging="0"/>
              <w:jc w:val="left"/>
              <w:rPr/>
            </w:pPr>
            <w:r>
              <w:rPr/>
              <w:t>​</w:t>
            </w:r>
          </w:p>
        </w:tc>
        <w:tc>
          <w:tcPr>
            <w:tcW w:w="10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5,944</w:t>
            </w:r>
          </w:p>
        </w:tc>
        <w:tc>
          <w:tcPr>
            <w:tcW w:w="346" w:type="dxa"/>
            <w:tcBorders/>
            <w:shd w:fill="CCEEFF" w:val="clear"/>
            <w:vAlign w:val="center"/>
          </w:tcPr>
          <w:p>
            <w:pPr>
              <w:pStyle w:val="TableContents"/>
              <w:bidi w:val="0"/>
              <w:spacing w:before="0" w:after="0"/>
              <w:ind w:left="0" w:right="0" w:hanging="0"/>
              <w:jc w:val="left"/>
              <w:rPr/>
            </w:pPr>
            <w:r>
              <w:rPr/>
              <w:t>​</w:t>
            </w:r>
          </w:p>
        </w:tc>
        <w:tc>
          <w:tcPr>
            <w:tcW w:w="360" w:type="dxa"/>
            <w:tcBorders/>
            <w:shd w:fill="CCEEFF" w:val="clear"/>
            <w:vAlign w:val="center"/>
          </w:tcPr>
          <w:p>
            <w:pPr>
              <w:pStyle w:val="TableContents"/>
              <w:bidi w:val="0"/>
              <w:spacing w:before="0" w:after="0"/>
              <w:ind w:left="0" w:right="0" w:hanging="0"/>
              <w:jc w:val="left"/>
              <w:rPr/>
            </w:pPr>
            <w:r>
              <w:rPr/>
              <w:t>​</w:t>
            </w:r>
          </w:p>
        </w:tc>
        <w:tc>
          <w:tcPr>
            <w:tcW w:w="1231" w:type="dxa"/>
            <w:tcBorders/>
            <w:shd w:fill="CCEEFF" w:val="clear"/>
            <w:vAlign w:val="center"/>
          </w:tcPr>
          <w:p>
            <w:pPr>
              <w:pStyle w:val="TableContents"/>
              <w:bidi w:val="0"/>
              <w:spacing w:before="0" w:after="0"/>
              <w:ind w:left="0" w:right="0" w:hanging="0"/>
              <w:jc w:val="right"/>
              <w:rPr/>
            </w:pPr>
            <w:r>
              <w:rPr/>
              <w:t>—</w:t>
            </w:r>
          </w:p>
        </w:tc>
      </w:tr>
      <w:tr>
        <w:trPr/>
        <w:tc>
          <w:tcPr>
            <w:tcW w:w="3447"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Foreign currency contract liabilities, current and long-term </w:t>
            </w:r>
            <w:r>
              <w:rPr>
                <w:rFonts w:ascii="Times New Roman;Times;serif" w:hAnsi="Times New Roman;Times;serif"/>
                <w:sz w:val="15"/>
              </w:rPr>
              <w:t>(4)</w:t>
            </w:r>
          </w:p>
        </w:tc>
        <w:tc>
          <w:tcPr>
            <w:tcW w:w="34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8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(4,217)</w:t>
            </w:r>
          </w:p>
        </w:tc>
        <w:tc>
          <w:tcPr>
            <w:tcW w:w="346"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2" w:type="dxa"/>
            <w:tcBorders/>
            <w:vAlign w:val="center"/>
          </w:tcPr>
          <w:p>
            <w:pPr>
              <w:pStyle w:val="TableContents"/>
              <w:bidi w:val="0"/>
              <w:spacing w:before="0" w:after="0"/>
              <w:ind w:left="0" w:right="0" w:hanging="0"/>
              <w:jc w:val="left"/>
              <w:rPr/>
            </w:pPr>
            <w:r>
              <w:rPr/>
              <w:t>​</w:t>
            </w:r>
          </w:p>
        </w:tc>
        <w:tc>
          <w:tcPr>
            <w:tcW w:w="10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(4,217)</w:t>
            </w:r>
          </w:p>
        </w:tc>
        <w:tc>
          <w:tcPr>
            <w:tcW w:w="346" w:type="dxa"/>
            <w:tcBorders/>
            <w:vAlign w:val="center"/>
          </w:tcPr>
          <w:p>
            <w:pPr>
              <w:pStyle w:val="TableContents"/>
              <w:bidi w:val="0"/>
              <w:spacing w:before="0" w:after="0"/>
              <w:ind w:left="0" w:right="0" w:hanging="0"/>
              <w:jc w:val="left"/>
              <w:rPr/>
            </w:pPr>
            <w:r>
              <w:rPr/>
              <w:t>​</w:t>
            </w:r>
          </w:p>
        </w:tc>
        <w:tc>
          <w:tcPr>
            <w:tcW w:w="360"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right"/>
              <w:rPr/>
            </w:pPr>
            <w:r>
              <w:rPr/>
              <w:t>—</w:t>
            </w:r>
          </w:p>
        </w:tc>
      </w:tr>
      <w:tr>
        <w:trPr/>
        <w:tc>
          <w:tcPr>
            <w:tcW w:w="3447"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Contingent consideration liabilities </w:t>
            </w:r>
            <w:r>
              <w:rPr>
                <w:rFonts w:ascii="Times New Roman;Times;serif" w:hAnsi="Times New Roman;Times;serif"/>
                <w:sz w:val="15"/>
              </w:rPr>
              <w:t>(5)</w:t>
            </w:r>
          </w:p>
        </w:tc>
        <w:tc>
          <w:tcPr>
            <w:tcW w:w="34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w:t>
            </w:r>
          </w:p>
        </w:tc>
        <w:tc>
          <w:tcPr>
            <w:tcW w:w="8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(1,385)</w:t>
            </w:r>
          </w:p>
        </w:tc>
        <w:tc>
          <w:tcPr>
            <w:tcW w:w="346"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2" w:type="dxa"/>
            <w:tcBorders/>
            <w:shd w:fill="CCEEFF" w:val="clear"/>
            <w:vAlign w:val="center"/>
          </w:tcPr>
          <w:p>
            <w:pPr>
              <w:pStyle w:val="TableContents"/>
              <w:bidi w:val="0"/>
              <w:spacing w:before="0" w:after="0"/>
              <w:ind w:left="0" w:right="0" w:hanging="0"/>
              <w:jc w:val="left"/>
              <w:rPr/>
            </w:pPr>
            <w:r>
              <w:rPr/>
              <w:t>​</w:t>
            </w:r>
          </w:p>
        </w:tc>
        <w:tc>
          <w:tcPr>
            <w:tcW w:w="102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60" w:type="dxa"/>
            <w:tcBorders/>
            <w:shd w:fill="CCEEFF" w:val="clear"/>
            <w:vAlign w:val="center"/>
          </w:tcPr>
          <w:p>
            <w:pPr>
              <w:pStyle w:val="TableContents"/>
              <w:bidi w:val="0"/>
              <w:spacing w:before="0" w:after="0"/>
              <w:ind w:left="0" w:right="0" w:hanging="0"/>
              <w:jc w:val="left"/>
              <w:rPr/>
            </w:pPr>
            <w:r>
              <w:rPr/>
              <w:t>​</w:t>
            </w:r>
          </w:p>
        </w:tc>
        <w:tc>
          <w:tcPr>
            <w:tcW w:w="12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(1,385)</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3072"/>
        <w:gridCol w:w="346"/>
        <w:gridCol w:w="357"/>
        <w:gridCol w:w="1144"/>
        <w:gridCol w:w="346"/>
        <w:gridCol w:w="307"/>
        <w:gridCol w:w="984"/>
        <w:gridCol w:w="346"/>
        <w:gridCol w:w="342"/>
        <w:gridCol w:w="1024"/>
        <w:gridCol w:w="346"/>
        <w:gridCol w:w="360"/>
        <w:gridCol w:w="1231"/>
      </w:tblGrid>
      <w:tr>
        <w:trPr/>
        <w:tc>
          <w:tcPr>
            <w:tcW w:w="307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219710" cy="175260"/>
                      <wp:effectExtent l="0" t="0" r="0" b="0"/>
                      <wp:wrapNone/>
                      <wp:docPr id="260" name="Frame2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26695" cy="175260"/>
                      <wp:effectExtent l="0" t="0" r="0" b="0"/>
                      <wp:wrapNone/>
                      <wp:docPr id="261" name="Frame260"/>
                      <a:graphic xmlns:a="http://schemas.openxmlformats.org/drawingml/2006/main">
                        <a:graphicData uri="http://schemas.microsoft.com/office/word/2010/wordprocessingShape">
                          <wps:wsp>
                            <wps:cNvSpPr txBox="1"/>
                            <wps:spPr>
                              <a:xfrm>
                                <a:off x="0" y="0"/>
                                <a:ext cx="226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219710" cy="175260"/>
                      <wp:effectExtent l="0" t="0" r="0" b="0"/>
                      <wp:wrapNone/>
                      <wp:docPr id="262" name="Frame2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7"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219710" cy="175260"/>
                      <wp:effectExtent l="0" t="0" r="0" b="0"/>
                      <wp:wrapNone/>
                      <wp:docPr id="263" name="Frame2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2" w:type="dxa"/>
            <w:tcBorders/>
            <w:vAlign w:val="center"/>
          </w:tcPr>
          <w:p>
            <w:pPr>
              <w:pStyle w:val="TableContents"/>
              <w:bidi w:val="0"/>
              <w:spacing w:before="0" w:after="0"/>
              <w:ind w:left="0" w:right="0" w:hanging="0"/>
              <w:jc w:val="left"/>
              <w:rPr/>
            </w:pPr>
            <w:r>
              <w:rPr/>
              <w:t>​</w:t>
            </w:r>
          </w:p>
        </w:tc>
        <w:tc>
          <w:tcPr>
            <w:tcW w:w="10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219710" cy="175260"/>
                      <wp:effectExtent l="0" t="0" r="0" b="0"/>
                      <wp:wrapNone/>
                      <wp:docPr id="264" name="Frame2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0"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left"/>
              <w:rPr/>
            </w:pPr>
            <w:r>
              <w:rPr/>
              <w:t>​</w:t>
            </w:r>
          </w:p>
        </w:tc>
      </w:tr>
      <w:tr>
        <w:trPr/>
        <w:tc>
          <w:tcPr>
            <w:tcW w:w="307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57" w:type="dxa"/>
            <w:tcBorders/>
            <w:vAlign w:val="center"/>
          </w:tcPr>
          <w:p>
            <w:pPr>
              <w:pStyle w:val="TableContents"/>
              <w:bidi w:val="0"/>
              <w:spacing w:before="0" w:after="0"/>
              <w:ind w:left="0" w:right="0" w:hanging="0"/>
              <w:jc w:val="left"/>
              <w:rPr/>
            </w:pPr>
            <w:r>
              <w:rPr/>
              <w:t>​</w:t>
            </w:r>
          </w:p>
        </w:tc>
        <w:tc>
          <w:tcPr>
            <w:tcW w:w="114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940"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 Measurements Using</w:t>
            </w:r>
          </w:p>
        </w:tc>
      </w:tr>
      <w:tr>
        <w:trPr/>
        <w:tc>
          <w:tcPr>
            <w:tcW w:w="307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Fair</w:t>
            </w:r>
          </w:p>
        </w:tc>
        <w:tc>
          <w:tcPr>
            <w:tcW w:w="346" w:type="dxa"/>
            <w:tcBorders/>
            <w:vAlign w:val="center"/>
          </w:tcPr>
          <w:p>
            <w:pPr>
              <w:pStyle w:val="TableContents"/>
              <w:bidi w:val="0"/>
              <w:spacing w:before="0" w:after="0"/>
              <w:ind w:left="0" w:right="0" w:hanging="0"/>
              <w:jc w:val="left"/>
              <w:rPr/>
            </w:pPr>
            <w:r>
              <w:rPr/>
              <w:t>​</w:t>
            </w:r>
          </w:p>
        </w:tc>
        <w:tc>
          <w:tcPr>
            <w:tcW w:w="129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Quoted prices in</w:t>
            </w:r>
          </w:p>
        </w:tc>
        <w:tc>
          <w:tcPr>
            <w:tcW w:w="346" w:type="dxa"/>
            <w:tcBorders/>
            <w:vAlign w:val="center"/>
          </w:tcPr>
          <w:p>
            <w:pPr>
              <w:pStyle w:val="TableContents"/>
              <w:bidi w:val="0"/>
              <w:spacing w:before="0" w:after="0"/>
              <w:ind w:left="0" w:right="0" w:hanging="0"/>
              <w:jc w:val="left"/>
              <w:rPr/>
            </w:pPr>
            <w:r>
              <w:rPr/>
              <w:t>​</w:t>
            </w:r>
          </w:p>
        </w:tc>
        <w:tc>
          <w:tcPr>
            <w:tcW w:w="13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 other</w:t>
            </w:r>
          </w:p>
        </w:tc>
        <w:tc>
          <w:tcPr>
            <w:tcW w:w="346" w:type="dxa"/>
            <w:tcBorders/>
            <w:vAlign w:val="center"/>
          </w:tcPr>
          <w:p>
            <w:pPr>
              <w:pStyle w:val="TableContents"/>
              <w:bidi w:val="0"/>
              <w:spacing w:before="0" w:after="0"/>
              <w:ind w:left="0" w:right="0" w:hanging="0"/>
              <w:jc w:val="left"/>
              <w:rPr/>
            </w:pPr>
            <w:r>
              <w:rPr/>
              <w:t>​</w:t>
            </w:r>
          </w:p>
        </w:tc>
        <w:tc>
          <w:tcPr>
            <w:tcW w:w="159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w:t>
            </w:r>
          </w:p>
        </w:tc>
      </w:tr>
      <w:tr>
        <w:trPr/>
        <w:tc>
          <w:tcPr>
            <w:tcW w:w="307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 at</w:t>
            </w:r>
          </w:p>
        </w:tc>
        <w:tc>
          <w:tcPr>
            <w:tcW w:w="346" w:type="dxa"/>
            <w:tcBorders/>
            <w:vAlign w:val="center"/>
          </w:tcPr>
          <w:p>
            <w:pPr>
              <w:pStyle w:val="TableContents"/>
              <w:bidi w:val="0"/>
              <w:spacing w:before="0" w:after="0"/>
              <w:ind w:left="0" w:right="0" w:hanging="0"/>
              <w:jc w:val="left"/>
              <w:rPr/>
            </w:pPr>
            <w:r>
              <w:rPr/>
              <w:t>​</w:t>
            </w:r>
          </w:p>
        </w:tc>
        <w:tc>
          <w:tcPr>
            <w:tcW w:w="129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active markets</w:t>
            </w:r>
          </w:p>
        </w:tc>
        <w:tc>
          <w:tcPr>
            <w:tcW w:w="346" w:type="dxa"/>
            <w:tcBorders/>
            <w:vAlign w:val="center"/>
          </w:tcPr>
          <w:p>
            <w:pPr>
              <w:pStyle w:val="TableContents"/>
              <w:bidi w:val="0"/>
              <w:spacing w:before="0" w:after="0"/>
              <w:ind w:left="0" w:right="0" w:hanging="0"/>
              <w:jc w:val="left"/>
              <w:rPr/>
            </w:pPr>
            <w:r>
              <w:rPr/>
              <w:t>​</w:t>
            </w:r>
          </w:p>
        </w:tc>
        <w:tc>
          <w:tcPr>
            <w:tcW w:w="13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observable inputs</w:t>
            </w:r>
          </w:p>
        </w:tc>
        <w:tc>
          <w:tcPr>
            <w:tcW w:w="346" w:type="dxa"/>
            <w:tcBorders/>
            <w:vAlign w:val="center"/>
          </w:tcPr>
          <w:p>
            <w:pPr>
              <w:pStyle w:val="TableContents"/>
              <w:bidi w:val="0"/>
              <w:spacing w:before="0" w:after="0"/>
              <w:ind w:left="0" w:right="0" w:hanging="0"/>
              <w:jc w:val="left"/>
              <w:rPr/>
            </w:pPr>
            <w:r>
              <w:rPr/>
              <w:t>​</w:t>
            </w:r>
          </w:p>
        </w:tc>
        <w:tc>
          <w:tcPr>
            <w:tcW w:w="159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unobservable inputs</w:t>
            </w:r>
          </w:p>
        </w:tc>
      </w:tr>
      <w:tr>
        <w:trPr/>
        <w:tc>
          <w:tcPr>
            <w:tcW w:w="307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5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346" w:type="dxa"/>
            <w:tcBorders/>
            <w:vAlign w:val="center"/>
          </w:tcPr>
          <w:p>
            <w:pPr>
              <w:pStyle w:val="TableContents"/>
              <w:bidi w:val="0"/>
              <w:spacing w:before="0" w:after="0"/>
              <w:ind w:left="0" w:right="0" w:hanging="0"/>
              <w:jc w:val="left"/>
              <w:rPr/>
            </w:pPr>
            <w:r>
              <w:rPr/>
              <w:t>  ​ ​ ​</w:t>
            </w:r>
          </w:p>
        </w:tc>
        <w:tc>
          <w:tcPr>
            <w:tcW w:w="12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46" w:type="dxa"/>
            <w:tcBorders/>
            <w:vAlign w:val="center"/>
          </w:tcPr>
          <w:p>
            <w:pPr>
              <w:pStyle w:val="TableContents"/>
              <w:bidi w:val="0"/>
              <w:spacing w:before="0" w:after="0"/>
              <w:ind w:left="0" w:right="0" w:hanging="0"/>
              <w:jc w:val="left"/>
              <w:rPr/>
            </w:pPr>
            <w:r>
              <w:rPr/>
              <w:t>  ​ ​ ​</w:t>
            </w:r>
          </w:p>
        </w:tc>
        <w:tc>
          <w:tcPr>
            <w:tcW w:w="13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46" w:type="dxa"/>
            <w:tcBorders/>
            <w:vAlign w:val="center"/>
          </w:tcPr>
          <w:p>
            <w:pPr>
              <w:pStyle w:val="TableContents"/>
              <w:bidi w:val="0"/>
              <w:spacing w:before="0" w:after="0"/>
              <w:ind w:left="0" w:right="0" w:hanging="0"/>
              <w:jc w:val="left"/>
              <w:rPr/>
            </w:pPr>
            <w:r>
              <w:rPr/>
              <w:t>  ​ ​ ​</w:t>
            </w:r>
          </w:p>
        </w:tc>
        <w:tc>
          <w:tcPr>
            <w:tcW w:w="15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3072"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Money market funds </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3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31,285</w:t>
            </w:r>
          </w:p>
        </w:tc>
        <w:tc>
          <w:tcPr>
            <w:tcW w:w="346"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31,285</w:t>
            </w:r>
          </w:p>
        </w:tc>
        <w:tc>
          <w:tcPr>
            <w:tcW w:w="346" w:type="dxa"/>
            <w:tcBorders/>
            <w:shd w:fill="CCEEFF" w:val="clear"/>
            <w:vAlign w:val="center"/>
          </w:tcPr>
          <w:p>
            <w:pPr>
              <w:pStyle w:val="TableContents"/>
              <w:bidi w:val="0"/>
              <w:spacing w:before="0" w:after="0"/>
              <w:ind w:left="0" w:right="0" w:hanging="0"/>
              <w:jc w:val="left"/>
              <w:rPr/>
            </w:pPr>
            <w:r>
              <w:rPr/>
              <w:t>​</w:t>
            </w:r>
          </w:p>
        </w:tc>
        <w:tc>
          <w:tcPr>
            <w:tcW w:w="3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1" w:type="dxa"/>
            <w:tcBorders/>
            <w:shd w:fill="CCEEFF" w:val="clear"/>
            <w:vAlign w:val="center"/>
          </w:tcPr>
          <w:p>
            <w:pPr>
              <w:pStyle w:val="TableContents"/>
              <w:bidi w:val="0"/>
              <w:spacing w:before="0" w:after="0"/>
              <w:ind w:left="0" w:right="0" w:hanging="0"/>
              <w:jc w:val="right"/>
              <w:rPr/>
            </w:pPr>
            <w:r>
              <w:rPr/>
              <w:t>—</w:t>
            </w:r>
          </w:p>
        </w:tc>
      </w:tr>
      <w:tr>
        <w:trPr/>
        <w:tc>
          <w:tcPr>
            <w:tcW w:w="3072"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United States treasury debt securities </w:t>
            </w:r>
            <w:r>
              <w:rPr>
                <w:rFonts w:ascii="Times New Roman;Times;serif" w:hAnsi="Times New Roman;Times;serif"/>
                <w:sz w:val="15"/>
              </w:rPr>
              <w:t>(2)</w:t>
            </w:r>
          </w:p>
        </w:tc>
        <w:tc>
          <w:tcPr>
            <w:tcW w:w="346" w:type="dxa"/>
            <w:tcBorders/>
            <w:vAlign w:val="center"/>
          </w:tcPr>
          <w:p>
            <w:pPr>
              <w:pStyle w:val="TableContents"/>
              <w:bidi w:val="0"/>
              <w:spacing w:before="0" w:after="0"/>
              <w:ind w:left="0" w:right="0" w:hanging="0"/>
              <w:jc w:val="left"/>
              <w:rPr/>
            </w:pPr>
            <w:r>
              <w:rPr/>
              <w:t>​</w:t>
            </w:r>
          </w:p>
        </w:tc>
        <w:tc>
          <w:tcPr>
            <w:tcW w:w="357" w:type="dxa"/>
            <w:tcBorders/>
            <w:vAlign w:val="center"/>
          </w:tcPr>
          <w:p>
            <w:pPr>
              <w:pStyle w:val="TableContents"/>
              <w:bidi w:val="0"/>
              <w:spacing w:before="0" w:after="0"/>
              <w:ind w:left="0" w:right="0" w:hanging="0"/>
              <w:jc w:val="left"/>
              <w:rPr/>
            </w:pPr>
            <w:r>
              <w:rPr/>
              <w:t>​</w:t>
            </w:r>
          </w:p>
        </w:tc>
        <w:tc>
          <w:tcPr>
            <w:tcW w:w="11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5,230</w:t>
            </w:r>
          </w:p>
        </w:tc>
        <w:tc>
          <w:tcPr>
            <w:tcW w:w="346"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5,230</w:t>
            </w:r>
          </w:p>
        </w:tc>
        <w:tc>
          <w:tcPr>
            <w:tcW w:w="346" w:type="dxa"/>
            <w:tcBorders/>
            <w:vAlign w:val="center"/>
          </w:tcPr>
          <w:p>
            <w:pPr>
              <w:pStyle w:val="TableContents"/>
              <w:bidi w:val="0"/>
              <w:spacing w:before="0" w:after="0"/>
              <w:ind w:left="0" w:right="0" w:hanging="0"/>
              <w:jc w:val="left"/>
              <w:rPr/>
            </w:pPr>
            <w:r>
              <w:rPr/>
              <w:t>​</w:t>
            </w:r>
          </w:p>
        </w:tc>
        <w:tc>
          <w:tcPr>
            <w:tcW w:w="342" w:type="dxa"/>
            <w:tcBorders/>
            <w:vAlign w:val="center"/>
          </w:tcPr>
          <w:p>
            <w:pPr>
              <w:pStyle w:val="TableContents"/>
              <w:bidi w:val="0"/>
              <w:spacing w:before="0" w:after="0"/>
              <w:ind w:left="0" w:right="0" w:hanging="0"/>
              <w:jc w:val="left"/>
              <w:rPr/>
            </w:pPr>
            <w:r>
              <w:rPr/>
              <w:t>​</w:t>
            </w:r>
          </w:p>
        </w:tc>
        <w:tc>
          <w:tcPr>
            <w:tcW w:w="102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60" w:type="dxa"/>
            <w:tcBorders/>
            <w:vAlign w:val="center"/>
          </w:tcPr>
          <w:p>
            <w:pPr>
              <w:pStyle w:val="TableContents"/>
              <w:bidi w:val="0"/>
              <w:spacing w:before="0" w:after="0"/>
              <w:ind w:left="0" w:right="0" w:hanging="0"/>
              <w:jc w:val="center"/>
              <w:rPr/>
            </w:pPr>
            <w:r>
              <w:rPr/>
              <w:t>​</w:t>
            </w:r>
          </w:p>
        </w:tc>
        <w:tc>
          <w:tcPr>
            <w:tcW w:w="1231" w:type="dxa"/>
            <w:tcBorders/>
            <w:vAlign w:val="center"/>
          </w:tcPr>
          <w:p>
            <w:pPr>
              <w:pStyle w:val="TableContents"/>
              <w:bidi w:val="0"/>
              <w:spacing w:before="0" w:after="0"/>
              <w:ind w:left="0" w:right="0" w:hanging="0"/>
              <w:jc w:val="right"/>
              <w:rPr/>
            </w:pPr>
            <w:r>
              <w:rPr/>
              <w:t>—</w:t>
            </w:r>
          </w:p>
        </w:tc>
      </w:tr>
      <w:tr>
        <w:trPr/>
        <w:tc>
          <w:tcPr>
            <w:tcW w:w="3072"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Foreign currency contract assets, current and long-term </w:t>
            </w:r>
            <w:r>
              <w:rPr>
                <w:rFonts w:ascii="Times New Roman;Times;serif" w:hAnsi="Times New Roman;Times;serif"/>
                <w:sz w:val="15"/>
              </w:rPr>
              <w:t>(3)</w:t>
            </w:r>
          </w:p>
        </w:tc>
        <w:tc>
          <w:tcPr>
            <w:tcW w:w="346" w:type="dxa"/>
            <w:tcBorders/>
            <w:shd w:fill="CCEEFF" w:val="clear"/>
            <w:vAlign w:val="center"/>
          </w:tcPr>
          <w:p>
            <w:pPr>
              <w:pStyle w:val="TableContents"/>
              <w:bidi w:val="0"/>
              <w:spacing w:before="0" w:after="0"/>
              <w:ind w:left="0" w:right="0" w:hanging="0"/>
              <w:jc w:val="left"/>
              <w:rPr/>
            </w:pPr>
            <w:r>
              <w:rPr/>
              <w:t>​</w:t>
            </w:r>
          </w:p>
        </w:tc>
        <w:tc>
          <w:tcPr>
            <w:tcW w:w="357" w:type="dxa"/>
            <w:tcBorders/>
            <w:shd w:fill="CCEEFF" w:val="clear"/>
            <w:vAlign w:val="center"/>
          </w:tcPr>
          <w:p>
            <w:pPr>
              <w:pStyle w:val="TableContents"/>
              <w:bidi w:val="0"/>
              <w:spacing w:before="0" w:after="0"/>
              <w:ind w:left="0" w:right="0" w:hanging="0"/>
              <w:jc w:val="left"/>
              <w:rPr/>
            </w:pPr>
            <w:r>
              <w:rPr/>
              <w:t>​</w:t>
            </w:r>
          </w:p>
        </w:tc>
        <w:tc>
          <w:tcPr>
            <w:tcW w:w="11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5,608</w:t>
            </w:r>
          </w:p>
        </w:tc>
        <w:tc>
          <w:tcPr>
            <w:tcW w:w="346"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2" w:type="dxa"/>
            <w:tcBorders/>
            <w:shd w:fill="CCEEFF" w:val="clear"/>
            <w:vAlign w:val="center"/>
          </w:tcPr>
          <w:p>
            <w:pPr>
              <w:pStyle w:val="TableContents"/>
              <w:bidi w:val="0"/>
              <w:spacing w:before="0" w:after="0"/>
              <w:ind w:left="0" w:right="0" w:hanging="0"/>
              <w:jc w:val="left"/>
              <w:rPr/>
            </w:pPr>
            <w:r>
              <w:rPr/>
              <w:t>​</w:t>
            </w:r>
          </w:p>
        </w:tc>
        <w:tc>
          <w:tcPr>
            <w:tcW w:w="10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5,608</w:t>
            </w:r>
          </w:p>
        </w:tc>
        <w:tc>
          <w:tcPr>
            <w:tcW w:w="346" w:type="dxa"/>
            <w:tcBorders/>
            <w:shd w:fill="CCEEFF" w:val="clear"/>
            <w:vAlign w:val="center"/>
          </w:tcPr>
          <w:p>
            <w:pPr>
              <w:pStyle w:val="TableContents"/>
              <w:bidi w:val="0"/>
              <w:spacing w:before="0" w:after="0"/>
              <w:ind w:left="0" w:right="0" w:hanging="0"/>
              <w:jc w:val="left"/>
              <w:rPr/>
            </w:pPr>
            <w:r>
              <w:rPr/>
              <w:t>​</w:t>
            </w:r>
          </w:p>
        </w:tc>
        <w:tc>
          <w:tcPr>
            <w:tcW w:w="360" w:type="dxa"/>
            <w:tcBorders/>
            <w:shd w:fill="CCEEFF" w:val="clear"/>
            <w:vAlign w:val="center"/>
          </w:tcPr>
          <w:p>
            <w:pPr>
              <w:pStyle w:val="TableContents"/>
              <w:bidi w:val="0"/>
              <w:spacing w:before="0" w:after="0"/>
              <w:ind w:left="0" w:right="0" w:hanging="0"/>
              <w:jc w:val="left"/>
              <w:rPr/>
            </w:pPr>
            <w:r>
              <w:rPr/>
              <w:t>​</w:t>
            </w:r>
          </w:p>
        </w:tc>
        <w:tc>
          <w:tcPr>
            <w:tcW w:w="1231" w:type="dxa"/>
            <w:tcBorders/>
            <w:shd w:fill="CCEEFF" w:val="clear"/>
            <w:vAlign w:val="center"/>
          </w:tcPr>
          <w:p>
            <w:pPr>
              <w:pStyle w:val="TableContents"/>
              <w:bidi w:val="0"/>
              <w:spacing w:before="0" w:after="0"/>
              <w:ind w:left="0" w:right="0" w:hanging="0"/>
              <w:jc w:val="right"/>
              <w:rPr/>
            </w:pPr>
            <w:r>
              <w:rPr/>
              <w:t>—</w:t>
            </w:r>
          </w:p>
        </w:tc>
      </w:tr>
      <w:tr>
        <w:trPr/>
        <w:tc>
          <w:tcPr>
            <w:tcW w:w="3072"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Foreign currency contract liabilities, current and long-term </w:t>
            </w:r>
            <w:r>
              <w:rPr>
                <w:rFonts w:ascii="Times New Roman;Times;serif" w:hAnsi="Times New Roman;Times;serif"/>
                <w:sz w:val="15"/>
              </w:rPr>
              <w:t>(4)</w:t>
            </w:r>
          </w:p>
        </w:tc>
        <w:tc>
          <w:tcPr>
            <w:tcW w:w="346" w:type="dxa"/>
            <w:tcBorders/>
            <w:vAlign w:val="center"/>
          </w:tcPr>
          <w:p>
            <w:pPr>
              <w:pStyle w:val="TableContents"/>
              <w:bidi w:val="0"/>
              <w:spacing w:before="0" w:after="0"/>
              <w:ind w:left="0" w:right="0" w:hanging="0"/>
              <w:jc w:val="left"/>
              <w:rPr/>
            </w:pPr>
            <w:r>
              <w:rPr/>
              <w:t>​</w:t>
            </w:r>
          </w:p>
        </w:tc>
        <w:tc>
          <w:tcPr>
            <w:tcW w:w="357" w:type="dxa"/>
            <w:tcBorders/>
            <w:vAlign w:val="center"/>
          </w:tcPr>
          <w:p>
            <w:pPr>
              <w:pStyle w:val="TableContents"/>
              <w:bidi w:val="0"/>
              <w:spacing w:before="0" w:after="0"/>
              <w:ind w:left="0" w:right="0" w:hanging="0"/>
              <w:jc w:val="left"/>
              <w:rPr/>
            </w:pPr>
            <w:r>
              <w:rPr/>
              <w:t>​</w:t>
            </w:r>
          </w:p>
        </w:tc>
        <w:tc>
          <w:tcPr>
            <w:tcW w:w="11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(4,227)</w:t>
            </w:r>
          </w:p>
        </w:tc>
        <w:tc>
          <w:tcPr>
            <w:tcW w:w="346"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2" w:type="dxa"/>
            <w:tcBorders/>
            <w:vAlign w:val="center"/>
          </w:tcPr>
          <w:p>
            <w:pPr>
              <w:pStyle w:val="TableContents"/>
              <w:bidi w:val="0"/>
              <w:spacing w:before="0" w:after="0"/>
              <w:ind w:left="0" w:right="0" w:hanging="0"/>
              <w:jc w:val="left"/>
              <w:rPr/>
            </w:pPr>
            <w:r>
              <w:rPr/>
              <w:t>​</w:t>
            </w:r>
          </w:p>
        </w:tc>
        <w:tc>
          <w:tcPr>
            <w:tcW w:w="10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(4,227)</w:t>
            </w:r>
          </w:p>
        </w:tc>
        <w:tc>
          <w:tcPr>
            <w:tcW w:w="346" w:type="dxa"/>
            <w:tcBorders/>
            <w:vAlign w:val="center"/>
          </w:tcPr>
          <w:p>
            <w:pPr>
              <w:pStyle w:val="TableContents"/>
              <w:bidi w:val="0"/>
              <w:spacing w:before="0" w:after="0"/>
              <w:ind w:left="0" w:right="0" w:hanging="0"/>
              <w:jc w:val="left"/>
              <w:rPr/>
            </w:pPr>
            <w:r>
              <w:rPr/>
              <w:t>​</w:t>
            </w:r>
          </w:p>
        </w:tc>
        <w:tc>
          <w:tcPr>
            <w:tcW w:w="360"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right"/>
              <w:rPr/>
            </w:pPr>
            <w:r>
              <w:rPr/>
              <w:t>—</w:t>
            </w:r>
          </w:p>
        </w:tc>
      </w:tr>
      <w:tr>
        <w:trPr/>
        <w:tc>
          <w:tcPr>
            <w:tcW w:w="3072"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Contingent consideration liabilities </w:t>
            </w:r>
            <w:r>
              <w:rPr>
                <w:rFonts w:ascii="Times New Roman;Times;serif" w:hAnsi="Times New Roman;Times;serif"/>
                <w:sz w:val="15"/>
              </w:rPr>
              <w:t>(5)</w:t>
            </w:r>
          </w:p>
        </w:tc>
        <w:tc>
          <w:tcPr>
            <w:tcW w:w="346" w:type="dxa"/>
            <w:tcBorders/>
            <w:shd w:fill="CCEEFF" w:val="clear"/>
            <w:vAlign w:val="center"/>
          </w:tcPr>
          <w:p>
            <w:pPr>
              <w:pStyle w:val="TableContents"/>
              <w:bidi w:val="0"/>
              <w:spacing w:before="0" w:after="0"/>
              <w:ind w:left="0" w:right="0" w:hanging="0"/>
              <w:jc w:val="left"/>
              <w:rPr/>
            </w:pPr>
            <w:r>
              <w:rPr/>
              <w:t>​</w:t>
            </w:r>
          </w:p>
        </w:tc>
        <w:tc>
          <w:tcPr>
            <w:tcW w:w="357" w:type="dxa"/>
            <w:tcBorders/>
            <w:shd w:fill="CCEEFF" w:val="clear"/>
            <w:vAlign w:val="center"/>
          </w:tcPr>
          <w:p>
            <w:pPr>
              <w:pStyle w:val="TableContents"/>
              <w:bidi w:val="0"/>
              <w:spacing w:before="0" w:after="0"/>
              <w:ind w:left="0" w:right="0" w:hanging="0"/>
              <w:jc w:val="left"/>
              <w:rPr/>
            </w:pPr>
            <w:r>
              <w:rPr/>
              <w:t>​</w:t>
            </w:r>
          </w:p>
        </w:tc>
        <w:tc>
          <w:tcPr>
            <w:tcW w:w="11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(4,537)</w:t>
            </w:r>
          </w:p>
        </w:tc>
        <w:tc>
          <w:tcPr>
            <w:tcW w:w="346"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2" w:type="dxa"/>
            <w:tcBorders/>
            <w:shd w:fill="CCEEFF" w:val="clear"/>
            <w:vAlign w:val="center"/>
          </w:tcPr>
          <w:p>
            <w:pPr>
              <w:pStyle w:val="TableContents"/>
              <w:bidi w:val="0"/>
              <w:spacing w:before="0" w:after="0"/>
              <w:ind w:left="0" w:right="0" w:hanging="0"/>
              <w:jc w:val="left"/>
              <w:rPr/>
            </w:pPr>
            <w:r>
              <w:rPr/>
              <w:t>​</w:t>
            </w:r>
          </w:p>
        </w:tc>
        <w:tc>
          <w:tcPr>
            <w:tcW w:w="102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60" w:type="dxa"/>
            <w:tcBorders/>
            <w:shd w:fill="CCEEFF" w:val="clear"/>
            <w:vAlign w:val="center"/>
          </w:tcPr>
          <w:p>
            <w:pPr>
              <w:pStyle w:val="TableContents"/>
              <w:bidi w:val="0"/>
              <w:spacing w:before="0" w:after="0"/>
              <w:ind w:left="0" w:right="0" w:hanging="0"/>
              <w:jc w:val="left"/>
              <w:rPr/>
            </w:pPr>
            <w:r>
              <w:rPr/>
              <w:t>​</w:t>
            </w:r>
          </w:p>
        </w:tc>
        <w:tc>
          <w:tcPr>
            <w:tcW w:w="12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(4,537)</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(1)</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Our money market fund represents a bank-managed money market fund which permits daily redemptions. Amounts in the fund are recorded as cash equivalents in the consolidated balance sheets.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(2)</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fair value of U.S. treasury debt securities are determined using quoted prices for identical assets in active markets and is recorded as cash and cash equivalents in the consolidated balance sheets.</w:t>
            </w:r>
          </w:p>
        </w:tc>
      </w:tr>
    </w:tbl>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(3)</w:t>
            </w:r>
          </w:p>
        </w:tc>
        <w:tc>
          <w:tcPr>
            <w:tcW w:w="99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fair value of the foreign currency contract assets (including those designated as hedging instruments and those not designated as hedging instruments) is determined using Level 2 fair value inputs and is recorded as a prepaid expense and other current asset or other long-term asset in the consolidated balance sheets.</w:t>
            </w:r>
          </w:p>
        </w:tc>
      </w:tr>
    </w:tbl>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(4)</w:t>
            </w:r>
          </w:p>
        </w:tc>
        <w:tc>
          <w:tcPr>
            <w:tcW w:w="99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fair value of the foreign currency contract liabilities (including those designated as hedging instruments and those not designated as hedging instruments) is determined using Level 2 fair value inputs and is recorded as an accrued expense or other long-term obligation in the consolidated balance sheets.</w:t>
            </w:r>
          </w:p>
        </w:tc>
      </w:tr>
    </w:tbl>
    <w:tbl>
      <w:tblPr>
        <w:tblW w:w="10205" w:type="dxa"/>
        <w:jc w:val="left"/>
        <w:tblInd w:w="0" w:type="dxa"/>
        <w:tblLayout w:type="fixed"/>
        <w:tblCellMar>
          <w:top w:w="0" w:type="dxa"/>
          <w:left w:w="0" w:type="dxa"/>
          <w:bottom w:w="0" w:type="dxa"/>
          <w:right w:w="0" w:type="dxa"/>
        </w:tblCellMar>
      </w:tblPr>
      <w:tblGrid>
        <w:gridCol w:w="276"/>
        <w:gridCol w:w="9929"/>
      </w:tblGrid>
      <w:tr>
        <w:trPr/>
        <w:tc>
          <w:tcPr>
            <w:tcW w:w="276"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(5)</w:t>
            </w:r>
          </w:p>
        </w:tc>
        <w:tc>
          <w:tcPr>
            <w:tcW w:w="99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fair value of contingent consideration liabilities is determined using Level 3 fair value inputs and is recorded within accrued expenses and other long-term obligations.</w:t>
            </w:r>
          </w:p>
        </w:tc>
      </w:tr>
    </w:tbl>
    <w:p>
      <w:pPr>
        <w:pStyle w:val="TextBody"/>
        <w:bidi w:val="0"/>
        <w:spacing w:before="200" w:after="200"/>
        <w:ind w:left="0" w:right="0" w:hanging="0"/>
        <w:jc w:val="both"/>
        <w:rPr>
          <w:rFonts w:ascii="Times New Roman;Times;serif" w:hAnsi="Times New Roman;Times;serif"/>
          <w:b/>
          <w:sz w:val="20"/>
        </w:rPr>
      </w:pPr>
      <w:r>
        <w:rPr>
          <w:rFonts w:ascii="Times New Roman;Times;serif" w:hAnsi="Times New Roman;Times;serif"/>
          <w:b/>
          <w:sz w:val="20"/>
        </w:rPr>
        <w:t>Fair Value of Other Assets (Liabilities)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carrying amount of cash and cash equivalents, receivables, and trade payables approximate fair value because of the immediate, short-term maturity of these financial instruments. </w:t>
      </w:r>
      <w:r>
        <w:rPr>
          <w:rFonts w:ascii="Times New Roman;Times;serif" w:hAnsi="Times New Roman;Times;serif"/>
          <w:sz w:val="20"/>
          <w:shd w:fill="FFFFFF" w:val="clear"/>
        </w:rPr>
        <w:t>The fair value of our long-term debt under our Convertible Notes was $805.4 million as of June 30, 2026 and was determined based on quoted prices in markets that are not active, which is considered a Level 2 valuation input.</w:t>
      </w:r>
      <w:r>
        <w:rPr>
          <w:rFonts w:ascii="Times New Roman;Times;serif" w:hAnsi="Times New Roman;Times;serif"/>
          <w:sz w:val="20"/>
        </w:rPr>
        <w:t xml:space="preserve"> The fair value of assets and liabilities whose carrying value approximates fair value is determined using Level 2 inputs, with the exception of cash and cash equivalents, which use Level 1 inputs.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We recognize or disclose the fair value of certain assets, such as non-financial assets, primarily property and equipment, right-of-use operating lease assets, equity investments, intangible assets and goodwill in connection with impairment evaluations. Such assets are reported at carrying value and are not subject to recurring fair value measurements. We review our long-lived assets for impairment whenever events or changes in circumstances indicate that the carrying amount of an asset may not be recoverable. Fair value is generally determined based on discounted future cash flow. All our nonrecurring valuations use significant unobservable inputs and therefore fall under Level 3 of the fair value hierarchy.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sz w:val="20"/>
        </w:rPr>
      </w:pPr>
      <w:bookmarkStart w:id="1131" w:name="Tc_qiGmzgQuK0KgYX5rpH1ijg_6_11"/>
      <w:bookmarkStart w:id="1132" w:name="Tc_unC8Snzy_0GupPQJMuUzww_6_8"/>
      <w:bookmarkStart w:id="1133" w:name="Tc_cEbbkbYHuUiZzhbwCVtpNA_6_5"/>
      <w:bookmarkStart w:id="1134" w:name="Tc_meViWCG9WUiKauVVEGa0YA_6_2"/>
      <w:bookmarkStart w:id="1135" w:name="Tc_Dtiw7csy30qKywN70uh70A_6_0"/>
      <w:bookmarkStart w:id="1136" w:name="Tc_060AUz6qqku-paQprTZzuQ_5_0"/>
      <w:bookmarkStart w:id="1137" w:name="Tc_BuliApFf_Ea4UOr8IaABqw_4_11"/>
      <w:bookmarkStart w:id="1138" w:name="Tc_EeaGwKaL-EiGTu6b6MHmWA_4_8"/>
      <w:bookmarkStart w:id="1139" w:name="Tc_eVUe1BHmEkOThhDxhRJTsg_4_5"/>
      <w:bookmarkStart w:id="1140" w:name="Tc_pnGkmgsHCUm1OPVCXPCf0g_4_2"/>
      <w:bookmarkStart w:id="1141" w:name="Tc_wKo1S1ulYkaUW6Y9oGLkjg_4_0"/>
      <w:bookmarkStart w:id="1142" w:name="Tc_x2XEnWh70U2NZma3D1wapw_3_11"/>
      <w:bookmarkStart w:id="1143" w:name="Tc_HOpwcqB3t0SvfNuC68XbZw_3_8"/>
      <w:bookmarkStart w:id="1144" w:name="Tc_NlBSAG5IGkeUArhVPvKrGw_3_5"/>
      <w:bookmarkStart w:id="1145" w:name="Tc_Y3a3NjP6Pk25-9-3fQinfg_3_2"/>
      <w:bookmarkStart w:id="1146" w:name="Tc_940k5sI_p0mo8uesJFjPlA_2_8"/>
      <w:bookmarkStart w:id="1147" w:name="Tc_By18CvRhR0mM-2Ia_GF1NA_2_2"/>
      <w:bookmarkStart w:id="1148" w:name="Tc_0XZudwVFek-JiKU77S6WDA_1_8"/>
      <w:bookmarkStart w:id="1149" w:name="Tc_fcoCO-HdRU2C5tQewwzrfw_1_2"/>
      <w:bookmarkStart w:id="1150" w:name="_62d9bac1_9aad_410f_a51a_d4ba3f247152"/>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r>
        <w:rPr>
          <w:rFonts w:ascii="Times New Roman;Times;serif" w:hAnsi="Times New Roman;Times;serif"/>
          <w:sz w:val="20"/>
        </w:rPr>
        <w:t xml:space="preserve">Our equity investments in privately-held companies were $27.9 million and $28.7 million at June 30, 2026 and December 31, 2025, respectively, </w:t>
      </w:r>
      <w:r>
        <w:rPr>
          <w:rFonts w:ascii="Times New Roman;Times;serif" w:hAnsi="Times New Roman;Times;serif"/>
          <w:sz w:val="20"/>
          <w:shd w:fill="FFFFFF" w:val="clear"/>
        </w:rPr>
        <w:t>which are included within other long-term assets in our consolidated balance sheets. We analyze our investments in privately-held companies to determine if they should be accounted for using the equity method based on our ability to exercise significant influence over operating and financial policies of the investment whereby we record our proportionate share of the investee’s earnings or losses; amortization of differences between our investment basis and underlying equity in net assets of the investee, excluding the component representing goodwill; and impairment, if any, as a component of other income for each reporting period. Investments not accounted for under the equity method of accounting are accounted for at cost minus impairment, if applicable, plus or minus changes in valuation resulting from observable transactions for identical or similar investments</w:t>
      </w:r>
      <w:r>
        <w:rPr>
          <w:rFonts w:ascii="Times New Roman;Times;serif" w:hAnsi="Times New Roman;Times;serif"/>
          <w:sz w:val="20"/>
        </w:rPr>
        <w:t xml:space="preserve">. For the six-month periods ended June 30, 2026 and 2025, we recorded no impairment charges related to our equity investments. </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Current Expected Credit Losses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Our outstanding notes receivable, including accrued interest and an allowance for current expected credit losses, were $21.7 million and $21.6 million as of June 30, 2026 and December 31, 2025, respectively. As of June 30, 2026 and December 31, 2025, we had an allowance for current expected credit losses of $3.2 million and $2.6 million, respectively, associated with these notes receivable. We assess the allowance for current expected credit losses on an individual security basis, due to the limited number of securities, using a probability of default model, which is based on relevant information about past events, including historical experience, current conditions and reasonable and supportable forecasts that affect the expected collectability of securities, and other security specific factors. </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table below presents a roll-forward of the allowance for current expected credit losses on our notes receivable for the three and six-month periods ended June 30, 2026 and 2025 (in thousands):</w:t>
      </w:r>
    </w:p>
    <w:tbl>
      <w:tblPr>
        <w:tblW w:w="6889" w:type="dxa"/>
        <w:jc w:val="left"/>
        <w:tblInd w:w="0" w:type="dxa"/>
        <w:tblLayout w:type="fixed"/>
        <w:tblCellMar>
          <w:top w:w="0" w:type="dxa"/>
          <w:left w:w="0" w:type="dxa"/>
          <w:bottom w:w="0" w:type="dxa"/>
          <w:right w:w="0" w:type="dxa"/>
        </w:tblCellMar>
      </w:tblPr>
      <w:tblGrid>
        <w:gridCol w:w="2746"/>
        <w:gridCol w:w="109"/>
        <w:gridCol w:w="211"/>
        <w:gridCol w:w="571"/>
        <w:gridCol w:w="346"/>
        <w:gridCol w:w="211"/>
        <w:gridCol w:w="571"/>
        <w:gridCol w:w="109"/>
        <w:gridCol w:w="211"/>
        <w:gridCol w:w="571"/>
        <w:gridCol w:w="346"/>
        <w:gridCol w:w="211"/>
        <w:gridCol w:w="676"/>
      </w:tblGrid>
      <w:tr>
        <w:trPr/>
        <w:tc>
          <w:tcPr>
            <w:tcW w:w="27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1743710" cy="175260"/>
                      <wp:effectExtent l="0" t="0" r="0" b="0"/>
                      <wp:wrapNone/>
                      <wp:docPr id="265" name="Frame264"/>
                      <a:graphic xmlns:a="http://schemas.openxmlformats.org/drawingml/2006/main">
                        <a:graphicData uri="http://schemas.microsoft.com/office/word/2010/wordprocessingShape">
                          <wps:wsp>
                            <wps:cNvSpPr txBox="1"/>
                            <wps:spPr>
                              <a:xfrm>
                                <a:off x="0" y="0"/>
                                <a:ext cx="1743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9215" cy="175260"/>
                      <wp:effectExtent l="0" t="0" r="0" b="0"/>
                      <wp:wrapNone/>
                      <wp:docPr id="266" name="Frame26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133985" cy="175260"/>
                      <wp:effectExtent l="0" t="0" r="0" b="0"/>
                      <wp:wrapNone/>
                      <wp:docPr id="267" name="Frame2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362585" cy="175260"/>
                      <wp:effectExtent l="0" t="0" r="0" b="0"/>
                      <wp:wrapNone/>
                      <wp:docPr id="268" name="Frame26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219710" cy="175260"/>
                      <wp:effectExtent l="0" t="0" r="0" b="0"/>
                      <wp:wrapNone/>
                      <wp:docPr id="269" name="Frame2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133985" cy="175260"/>
                      <wp:effectExtent l="0" t="0" r="0" b="0"/>
                      <wp:wrapNone/>
                      <wp:docPr id="270" name="Frame2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362585" cy="175260"/>
                      <wp:effectExtent l="0" t="0" r="0" b="0"/>
                      <wp:wrapNone/>
                      <wp:docPr id="271" name="Frame27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9215" cy="175260"/>
                      <wp:effectExtent l="0" t="0" r="0" b="0"/>
                      <wp:wrapNone/>
                      <wp:docPr id="272" name="Frame27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133985" cy="175260"/>
                      <wp:effectExtent l="0" t="0" r="0" b="0"/>
                      <wp:wrapNone/>
                      <wp:docPr id="273" name="Frame2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362585" cy="175260"/>
                      <wp:effectExtent l="0" t="0" r="0" b="0"/>
                      <wp:wrapNone/>
                      <wp:docPr id="274" name="Frame27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219710" cy="175260"/>
                      <wp:effectExtent l="0" t="0" r="0" b="0"/>
                      <wp:wrapNone/>
                      <wp:docPr id="275" name="Frame2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133985" cy="175260"/>
                      <wp:effectExtent l="0" t="0" r="0" b="0"/>
                      <wp:wrapNone/>
                      <wp:docPr id="276" name="Frame2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429260" cy="175260"/>
                      <wp:effectExtent l="0" t="0" r="0" b="0"/>
                      <wp:wrapNone/>
                      <wp:docPr id="277" name="Frame27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1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09" w:type="dxa"/>
            <w:tcBorders/>
            <w:vAlign w:val="center"/>
          </w:tcPr>
          <w:p>
            <w:pPr>
              <w:pStyle w:val="TableContents"/>
              <w:bidi w:val="0"/>
              <w:spacing w:before="0" w:after="1"/>
              <w:ind w:left="0" w:right="0" w:hanging="0"/>
              <w:jc w:val="left"/>
              <w:rPr/>
            </w:pPr>
            <w:r>
              <w:rPr/>
              <w:t>​</w:t>
            </w:r>
          </w:p>
        </w:tc>
        <w:tc>
          <w:tcPr>
            <w:tcW w:w="201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27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1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vAlign w:val="center"/>
          </w:tcPr>
          <w:p>
            <w:pPr>
              <w:pStyle w:val="TableContents"/>
              <w:bidi w:val="0"/>
              <w:spacing w:before="0" w:after="1"/>
              <w:ind w:left="0" w:right="0" w:hanging="0"/>
              <w:jc w:val="left"/>
              <w:rPr/>
            </w:pPr>
            <w:r>
              <w:rPr/>
              <w:t>​</w:t>
            </w:r>
          </w:p>
        </w:tc>
        <w:tc>
          <w:tcPr>
            <w:tcW w:w="201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27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1"/>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7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Beginning balance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2,536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1,634</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2,625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1,366</w:t>
            </w:r>
          </w:p>
        </w:tc>
      </w:tr>
      <w:tr>
        <w:trPr/>
        <w:tc>
          <w:tcPr>
            <w:tcW w:w="27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credit loss expense</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741</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1,009</w:t>
            </w:r>
          </w:p>
        </w:tc>
      </w:tr>
      <w:tr>
        <w:trPr/>
        <w:tc>
          <w:tcPr>
            <w:tcW w:w="27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Ending balance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3,230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3,230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2,375</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sz w:val="20"/>
        </w:rPr>
      </w:pPr>
      <w:bookmarkStart w:id="1151" w:name="Tc_Ue8y3TWh90KSr8UeMxF9iQ_11_7"/>
      <w:bookmarkStart w:id="1152" w:name="Tc_C88urvittEetWmOKrA0lLg_11_4"/>
      <w:bookmarkStart w:id="1153" w:name="Tc_EQd3EO78Y0WkMIc6BPe1cg_11_1"/>
      <w:bookmarkStart w:id="1154" w:name="Tc_Satox0Yw_0CS7NA453fFAA_11_0"/>
      <w:bookmarkStart w:id="1155" w:name="Tc_RELvYp7gyUihteyEIhQumQ_9_0"/>
      <w:bookmarkStart w:id="1156" w:name="Tc_PAgxOWVQ_k6F16yYPFOcfg_8_0"/>
      <w:bookmarkStart w:id="1157" w:name="Tc_jHJ46IryrUGx_aIdJJjLsA_7_0"/>
      <w:bookmarkStart w:id="1158" w:name="Tc_rhW7Nqjf4E-097TI8PlZLQ_6_0"/>
      <w:bookmarkStart w:id="1159" w:name="Tc_BXzgXt0-9EqbkZpHlMSf0Q_5_0"/>
      <w:bookmarkStart w:id="1160" w:name="Tc_uH-DNMFb3kiYPPD9O6srUw_4_0"/>
      <w:bookmarkStart w:id="1161" w:name="Tc_PFXTMNE3M0etSyKiTHWivA_2_7"/>
      <w:bookmarkStart w:id="1162" w:name="Tc_tuyHCEWtTE2q6DKWGo82Zg_2_4"/>
      <w:bookmarkStart w:id="1163" w:name="Tc_whI4e9R1akafK1AYYEAdXw_2_1"/>
      <w:bookmarkStart w:id="1164" w:name="Tc_F3Nho2PjNkeG3yQs9rDvNg_2_0"/>
      <w:bookmarkStart w:id="1165" w:name="Tc_iLYcr35_Vka8FoyMhWahfQ_1_7"/>
      <w:bookmarkStart w:id="1166" w:name="Tc_O6gfbLDxHUO-G6xjt1Gx5g_1_4"/>
      <w:bookmarkStart w:id="1167" w:name="Tc_VJyzurRkuEWvuopldeP8hg_1_1"/>
      <w:bookmarkStart w:id="1168" w:name="_939f6416_04e7_469f_991c_5ab6063592e4"/>
      <w:bookmarkStart w:id="1169" w:name="Tc_s0LLkMiW9UufeU-PSklwjQ_11_7"/>
      <w:bookmarkStart w:id="1170" w:name="Tc_aTakATQzo0KdUd3MLxu80Q_11_4"/>
      <w:bookmarkStart w:id="1171" w:name="Tc_QhVnkcJYbUSxCMBR-owoQA_11_1"/>
      <w:bookmarkStart w:id="1172" w:name="Tc_ASsdO3vrmUyOmIQkwD6vUQ_11_0"/>
      <w:bookmarkStart w:id="1173" w:name="Tc_4-ABvKRio0KTEia-4bL2lw_9_0"/>
      <w:bookmarkStart w:id="1174" w:name="Tc_-FKkjDy300i7tqYO7ga8pA_8_0"/>
      <w:bookmarkStart w:id="1175" w:name="Tc_Mhw4wOYUTEqbqsqFEO42uA_7_0"/>
      <w:bookmarkStart w:id="1176" w:name="Tc_oCuyJNvSrkqpFUbg5jNkPg_6_0"/>
      <w:bookmarkStart w:id="1177" w:name="Tc_PMJmkmNji0mnPK9eeInu5w_5_0"/>
      <w:bookmarkStart w:id="1178" w:name="Tc_8dFMjmcKqkaice53q5TeJA_4_0"/>
      <w:bookmarkStart w:id="1179" w:name="Tc_qscIKjC-gEuclQd7WZEahw_2_7"/>
      <w:bookmarkStart w:id="1180" w:name="Tc_HRjwjLnUB0mLf-DsFkxvRA_2_4"/>
      <w:bookmarkStart w:id="1181" w:name="Tc_vbucTkFWkEWE8xjaGXxR8Q_2_1"/>
      <w:bookmarkStart w:id="1182" w:name="Tc_nHdwakGHH0uyl2l_e_i10Q_2_0"/>
      <w:bookmarkStart w:id="1183" w:name="Tc_UTXQtmn0M0-VfXS6MLLsQQ_1_7"/>
      <w:bookmarkStart w:id="1184" w:name="Tc_ggfA887DAk65sUC3k77m7Q_1_4"/>
      <w:bookmarkStart w:id="1185" w:name="Tc_8ugEsGOI7kyxmMFBzL8fNg_1_1"/>
      <w:bookmarkStart w:id="1186" w:name="_c80650b9_862a_415c_8fdc_78d82077bcd6"/>
      <w:bookmarkStart w:id="1187" w:name="Tc_CmGosURnoU-hDa3fcjPIXw_11_7"/>
      <w:bookmarkStart w:id="1188" w:name="Tc_KC-9j-kH60GrB4C2r87dkg_11_4"/>
      <w:bookmarkStart w:id="1189" w:name="Tc_AhBhCXgPoEqbaYb4CNKzQg_11_1"/>
      <w:bookmarkStart w:id="1190" w:name="Tc_Q1F3OZz_4UCWQHvBgWz4Xg_11_0"/>
      <w:bookmarkStart w:id="1191" w:name="Tc_DMj3dgaE5kO1rRVY9_xyWw_9_0"/>
      <w:bookmarkStart w:id="1192" w:name="Tc_U6lWKmk580Wrhtr5qWd2xg_8_0"/>
      <w:bookmarkStart w:id="1193" w:name="Tc_-H553YWkH0CEKYYAwYgCwA_7_0"/>
      <w:bookmarkStart w:id="1194" w:name="Tc_vELdVuS3nE-tIp5CTRLY-Q_6_0"/>
      <w:bookmarkStart w:id="1195" w:name="Tc_N3HyvpCUikGdav_R4zF0iQ_5_0"/>
      <w:bookmarkStart w:id="1196" w:name="Tc_aHTQj7kP4Eif6_x0E1C6fQ_4_0"/>
      <w:bookmarkStart w:id="1197" w:name="Tc_o2E140-BRUiiFFpFnhBi5g_2_7"/>
      <w:bookmarkStart w:id="1198" w:name="Tc_drZLtHWDkkazIbEEwkomnQ_2_4"/>
      <w:bookmarkStart w:id="1199" w:name="Tc_o_ZGsX8vSE2Ns9Vsj4xhQw_2_1"/>
      <w:bookmarkStart w:id="1200" w:name="Tc_vV8Djiv_UUqg0yI5MsY-7A_2_0"/>
      <w:bookmarkStart w:id="1201" w:name="Tc_kbL2vavLfkqmzjEagwvgjQ_1_7"/>
      <w:bookmarkStart w:id="1202" w:name="Tc_thZLeQnj1EqoJM6GJAM0rw_1_4"/>
      <w:bookmarkStart w:id="1203" w:name="Tc_GuxB7KSY8U2_L34a5J0UXQ_1_1"/>
      <w:bookmarkStart w:id="1204" w:name="_fc61f769_235e_4ac6_bcc0_1d07e6ccc1e3"/>
      <w:bookmarkStart w:id="1205" w:name="Tc_Dd02i31m_UyebAjvVDm53w_11_7"/>
      <w:bookmarkStart w:id="1206" w:name="Tc_j5DCUrFWTUupeF4LWaogbQ_11_4"/>
      <w:bookmarkStart w:id="1207" w:name="Tc_iHL0W13ofkqY0Uy-Ln0-yg_11_1"/>
      <w:bookmarkStart w:id="1208" w:name="Tc_g7AhQNpcXkiWAejix9vHdQ_11_0"/>
      <w:bookmarkStart w:id="1209" w:name="Tc_tBKfGfQbo06K6xZewRxvMw_9_0"/>
      <w:bookmarkStart w:id="1210" w:name="Tc_fOqXNYJankSdb29nLYiBYw_8_0"/>
      <w:bookmarkStart w:id="1211" w:name="Tc_b0kqQT4rKkiAqW8BLasNqw_7_0"/>
      <w:bookmarkStart w:id="1212" w:name="Tc_gpADGjs_AUS1lyKU8WRzLQ_6_0"/>
      <w:bookmarkStart w:id="1213" w:name="Tc_EftWDftodk2qq1muK6SHjg_5_0"/>
      <w:bookmarkStart w:id="1214" w:name="Tc_5iC1P6e0CEy-LYnSJeaWEQ_4_0"/>
      <w:bookmarkStart w:id="1215" w:name="Tc_zubt8rzhC0OXVfswnufonw_2_7"/>
      <w:bookmarkStart w:id="1216" w:name="Tc_FLWTLMpqPkmX-59RCkiRCA_2_4"/>
      <w:bookmarkStart w:id="1217" w:name="Tc_NS0OblaeJU-B1MUy3FvfLg_2_1"/>
      <w:bookmarkStart w:id="1218" w:name="Tc_zGuXD7Rd_ES_z42G2T4Jfg_2_0"/>
      <w:bookmarkStart w:id="1219" w:name="Tc_8Hort-LbPkqBf3vNoYNwEA_1_7"/>
      <w:bookmarkStart w:id="1220" w:name="Tc_6T48yqUAJEi2XS3uWkK79Q_1_4"/>
      <w:bookmarkStart w:id="1221" w:name="Tc_pkppF9U2fkCM60Xvs_f2CA_1_1"/>
      <w:bookmarkStart w:id="1222" w:name="_fe76959a_d4d9_451d_a17b_63e0be211686"/>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r>
        <w:rPr>
          <w:rFonts w:ascii="Times New Roman;Times;serif" w:hAnsi="Times New Roman;Times;serif"/>
          <w:b/>
          <w:sz w:val="20"/>
        </w:rPr>
        <w:t>15.</w:t>
      </w:r>
      <w:r>
        <w:rPr>
          <w:rFonts w:ascii="Times New Roman;Times;serif" w:hAnsi="Times New Roman;Times;serif"/>
          <w:sz w:val="20"/>
        </w:rPr>
        <w:t>   </w:t>
      </w:r>
      <w:r>
        <w:rPr>
          <w:rFonts w:ascii="Times New Roman;Times;serif" w:hAnsi="Times New Roman;Times;serif"/>
          <w:b/>
          <w:sz w:val="20"/>
        </w:rPr>
        <w:t xml:space="preserve">Accumulated Other Comprehensive Income (Loss). </w:t>
      </w:r>
      <w:r>
        <w:rPr>
          <w:rFonts w:ascii="Times New Roman;Times;serif" w:hAnsi="Times New Roman;Times;serif"/>
          <w:sz w:val="20"/>
        </w:rPr>
        <w:t>The changes in each component of accumulated other comprehensive income (loss) for the three and six-month periods ended June 30, 2026 and 2025 were as follows:</w:t>
      </w:r>
    </w:p>
    <w:p>
      <w:pPr>
        <w:pStyle w:val="TextBody"/>
        <w:bidi w:val="0"/>
        <w:spacing w:before="0" w:after="0"/>
        <w:ind w:left="0" w:right="0" w:hanging="0"/>
        <w:jc w:val="left"/>
        <w:rPr/>
      </w:pPr>
      <w:r>
        <w:rPr/>
        <w:t>​</w:t>
      </w:r>
    </w:p>
    <w:tbl>
      <w:tblPr>
        <w:tblW w:w="8645" w:type="dxa"/>
        <w:jc w:val="left"/>
        <w:tblInd w:w="0" w:type="dxa"/>
        <w:tblLayout w:type="fixed"/>
        <w:tblCellMar>
          <w:top w:w="0" w:type="dxa"/>
          <w:left w:w="0" w:type="dxa"/>
          <w:bottom w:w="0" w:type="dxa"/>
          <w:right w:w="0" w:type="dxa"/>
        </w:tblCellMar>
      </w:tblPr>
      <w:tblGrid>
        <w:gridCol w:w="3271"/>
        <w:gridCol w:w="337"/>
        <w:gridCol w:w="1103"/>
        <w:gridCol w:w="346"/>
        <w:gridCol w:w="575"/>
        <w:gridCol w:w="1720"/>
        <w:gridCol w:w="346"/>
        <w:gridCol w:w="211"/>
        <w:gridCol w:w="736"/>
      </w:tblGrid>
      <w:tr>
        <w:trPr/>
        <w:tc>
          <w:tcPr>
            <w:tcW w:w="3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2077085" cy="175260"/>
                      <wp:effectExtent l="0" t="0" r="0" b="0"/>
                      <wp:wrapNone/>
                      <wp:docPr id="278" name="Frame277"/>
                      <a:graphic xmlns:a="http://schemas.openxmlformats.org/drawingml/2006/main">
                        <a:graphicData uri="http://schemas.microsoft.com/office/word/2010/wordprocessingShape">
                          <wps:wsp>
                            <wps:cNvSpPr txBox="1"/>
                            <wps:spPr>
                              <a:xfrm>
                                <a:off x="0" y="0"/>
                                <a:ext cx="2077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13995" cy="175260"/>
                      <wp:effectExtent l="0" t="0" r="0" b="0"/>
                      <wp:wrapNone/>
                      <wp:docPr id="279" name="Frame278"/>
                      <a:graphic xmlns:a="http://schemas.openxmlformats.org/drawingml/2006/main">
                        <a:graphicData uri="http://schemas.microsoft.com/office/word/2010/wordprocessingShape">
                          <wps:wsp>
                            <wps:cNvSpPr txBox="1"/>
                            <wps:spPr>
                              <a:xfrm>
                                <a:off x="0" y="0"/>
                                <a:ext cx="2139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700405" cy="175260"/>
                      <wp:effectExtent l="0" t="0" r="0" b="0"/>
                      <wp:wrapNone/>
                      <wp:docPr id="280" name="Frame279"/>
                      <a:graphic xmlns:a="http://schemas.openxmlformats.org/drawingml/2006/main">
                        <a:graphicData uri="http://schemas.microsoft.com/office/word/2010/wordprocessingShape">
                          <wps:wsp>
                            <wps:cNvSpPr txBox="1"/>
                            <wps:spPr>
                              <a:xfrm>
                                <a:off x="0" y="0"/>
                                <a:ext cx="7004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219710" cy="175260"/>
                      <wp:effectExtent l="0" t="0" r="0" b="0"/>
                      <wp:wrapNone/>
                      <wp:docPr id="281" name="Frame2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365125" cy="175260"/>
                      <wp:effectExtent l="0" t="0" r="0" b="0"/>
                      <wp:wrapNone/>
                      <wp:docPr id="282" name="Frame281"/>
                      <a:graphic xmlns:a="http://schemas.openxmlformats.org/drawingml/2006/main">
                        <a:graphicData uri="http://schemas.microsoft.com/office/word/2010/wordprocessingShape">
                          <wps:wsp>
                            <wps:cNvSpPr txBox="1"/>
                            <wps:spPr>
                              <a:xfrm>
                                <a:off x="0" y="0"/>
                                <a:ext cx="3651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7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1092200" cy="175260"/>
                      <wp:effectExtent l="0" t="0" r="0" b="0"/>
                      <wp:wrapNone/>
                      <wp:docPr id="283" name="Frame282"/>
                      <a:graphic xmlns:a="http://schemas.openxmlformats.org/drawingml/2006/main">
                        <a:graphicData uri="http://schemas.microsoft.com/office/word/2010/wordprocessingShape">
                          <wps:wsp>
                            <wps:cNvSpPr txBox="1"/>
                            <wps:spPr>
                              <a:xfrm>
                                <a:off x="0" y="0"/>
                                <a:ext cx="10922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219710" cy="175260"/>
                      <wp:effectExtent l="0" t="0" r="0" b="0"/>
                      <wp:wrapNone/>
                      <wp:docPr id="284" name="Frame2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133985" cy="175260"/>
                      <wp:effectExtent l="0" t="0" r="0" b="0"/>
                      <wp:wrapNone/>
                      <wp:docPr id="285" name="Frame2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467360" cy="175260"/>
                      <wp:effectExtent l="0" t="0" r="0" b="0"/>
                      <wp:wrapNone/>
                      <wp:docPr id="286" name="Frame285"/>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271" w:type="dxa"/>
            <w:tcBorders/>
            <w:vAlign w:val="center"/>
          </w:tcPr>
          <w:p>
            <w:pPr>
              <w:pStyle w:val="TableContents"/>
              <w:bidi w:val="0"/>
              <w:spacing w:before="0" w:after="1"/>
              <w:ind w:left="0" w:right="0" w:hanging="0"/>
              <w:jc w:val="left"/>
              <w:rPr/>
            </w:pPr>
            <w:r>
              <w:rPr/>
              <w:t>​</w:t>
            </w:r>
          </w:p>
        </w:tc>
        <w:tc>
          <w:tcPr>
            <w:tcW w:w="14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Cash Flow Hedges</w:t>
            </w:r>
          </w:p>
        </w:tc>
        <w:tc>
          <w:tcPr>
            <w:tcW w:w="346" w:type="dxa"/>
            <w:tcBorders/>
            <w:vAlign w:val="center"/>
          </w:tcPr>
          <w:p>
            <w:pPr>
              <w:pStyle w:val="TableContents"/>
              <w:bidi w:val="0"/>
              <w:spacing w:before="0" w:after="1"/>
              <w:ind w:left="0" w:right="0" w:hanging="0"/>
              <w:jc w:val="left"/>
              <w:rPr/>
            </w:pPr>
            <w:r>
              <w:rPr/>
              <w:t>  ​ ​ ​</w:t>
            </w:r>
          </w:p>
        </w:tc>
        <w:tc>
          <w:tcPr>
            <w:tcW w:w="229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Foreign Currency Translation</w:t>
            </w:r>
          </w:p>
        </w:tc>
        <w:tc>
          <w:tcPr>
            <w:tcW w:w="346" w:type="dxa"/>
            <w:tcBorders/>
            <w:vAlign w:val="center"/>
          </w:tcPr>
          <w:p>
            <w:pPr>
              <w:pStyle w:val="TableContents"/>
              <w:bidi w:val="0"/>
              <w:spacing w:before="0" w:after="1"/>
              <w:ind w:left="0" w:right="0" w:hanging="0"/>
              <w:jc w:val="left"/>
              <w:rPr/>
            </w:pPr>
            <w:r>
              <w:rPr/>
              <w:t>  ​ ​ ​</w:t>
            </w:r>
          </w:p>
        </w:tc>
        <w:tc>
          <w:tcPr>
            <w:tcW w:w="9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as of April 1, 2026</w:t>
            </w:r>
          </w:p>
        </w:tc>
        <w:tc>
          <w:tcPr>
            <w:tcW w:w="33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0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1,375</w:t>
            </w:r>
          </w:p>
        </w:tc>
        <w:tc>
          <w:tcPr>
            <w:tcW w:w="346" w:type="dxa"/>
            <w:tcBorders/>
            <w:shd w:fill="CCEEFF" w:val="clear"/>
            <w:vAlign w:val="center"/>
          </w:tcPr>
          <w:p>
            <w:pPr>
              <w:pStyle w:val="TableContents"/>
              <w:bidi w:val="0"/>
              <w:spacing w:before="0" w:after="1"/>
              <w:ind w:left="0" w:right="0" w:hanging="0"/>
              <w:jc w:val="left"/>
              <w:rPr/>
            </w:pPr>
            <w:r>
              <w:rPr/>
              <w:t>​</w:t>
            </w:r>
          </w:p>
        </w:tc>
        <w:tc>
          <w:tcPr>
            <w:tcW w:w="57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72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(8,943)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(7,568)</w:t>
            </w:r>
          </w:p>
        </w:tc>
      </w:tr>
      <w:tr>
        <w:trPr/>
        <w:tc>
          <w:tcPr>
            <w:tcW w:w="3271" w:type="dxa"/>
            <w:tcBorders/>
            <w:vAlign w:val="center"/>
          </w:tcPr>
          <w:p>
            <w:pPr>
              <w:pStyle w:val="TableContents"/>
              <w:bidi w:val="0"/>
              <w:spacing w:before="0" w:after="1"/>
              <w:ind w:left="0" w:right="0" w:hanging="0"/>
              <w:jc w:val="left"/>
              <w:rPr/>
            </w:pPr>
            <w:r>
              <w:rPr/>
              <w:t>​</w:t>
            </w:r>
          </w:p>
        </w:tc>
        <w:tc>
          <w:tcPr>
            <w:tcW w:w="337" w:type="dxa"/>
            <w:tcBorders/>
            <w:vAlign w:val="center"/>
          </w:tcPr>
          <w:p>
            <w:pPr>
              <w:pStyle w:val="TableContents"/>
              <w:bidi w:val="0"/>
              <w:spacing w:before="0" w:after="1"/>
              <w:ind w:left="0" w:right="0" w:hanging="0"/>
              <w:jc w:val="left"/>
              <w:rPr/>
            </w:pPr>
            <w:r>
              <w:rPr/>
              <w:t>​</w:t>
            </w:r>
          </w:p>
        </w:tc>
        <w:tc>
          <w:tcPr>
            <w:tcW w:w="110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75" w:type="dxa"/>
            <w:tcBorders/>
            <w:vAlign w:val="center"/>
          </w:tcPr>
          <w:p>
            <w:pPr>
              <w:pStyle w:val="TableContents"/>
              <w:bidi w:val="0"/>
              <w:spacing w:before="0" w:after="1"/>
              <w:ind w:left="0" w:right="0" w:hanging="0"/>
              <w:jc w:val="left"/>
              <w:rPr/>
            </w:pPr>
            <w:r>
              <w:rPr/>
              <w:t>​</w:t>
            </w:r>
          </w:p>
        </w:tc>
        <w:tc>
          <w:tcPr>
            <w:tcW w:w="172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r>
      <w:tr>
        <w:trPr/>
        <w:tc>
          <w:tcPr>
            <w:tcW w:w="3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337" w:type="dxa"/>
            <w:tcBorders/>
            <w:shd w:fill="CCEEFF" w:val="clear"/>
            <w:vAlign w:val="center"/>
          </w:tcPr>
          <w:p>
            <w:pPr>
              <w:pStyle w:val="TableContents"/>
              <w:bidi w:val="0"/>
              <w:spacing w:before="0" w:after="1"/>
              <w:ind w:left="0" w:right="0" w:hanging="0"/>
              <w:jc w:val="left"/>
              <w:rPr/>
            </w:pPr>
            <w:r>
              <w:rPr/>
              <w:t> </w:t>
            </w:r>
          </w:p>
        </w:tc>
        <w:tc>
          <w:tcPr>
            <w:tcW w:w="110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732</w:t>
            </w:r>
          </w:p>
        </w:tc>
        <w:tc>
          <w:tcPr>
            <w:tcW w:w="346" w:type="dxa"/>
            <w:tcBorders/>
            <w:shd w:fill="CCEEFF" w:val="clear"/>
            <w:vAlign w:val="center"/>
          </w:tcPr>
          <w:p>
            <w:pPr>
              <w:pStyle w:val="TableContents"/>
              <w:bidi w:val="0"/>
              <w:spacing w:before="0" w:after="1"/>
              <w:ind w:left="0" w:right="0" w:hanging="0"/>
              <w:jc w:val="left"/>
              <w:rPr/>
            </w:pPr>
            <w:r>
              <w:rPr/>
              <w:t>​</w:t>
            </w:r>
          </w:p>
        </w:tc>
        <w:tc>
          <w:tcPr>
            <w:tcW w:w="575" w:type="dxa"/>
            <w:tcBorders/>
            <w:shd w:fill="CCEEFF" w:val="clear"/>
            <w:vAlign w:val="center"/>
          </w:tcPr>
          <w:p>
            <w:pPr>
              <w:pStyle w:val="TableContents"/>
              <w:bidi w:val="0"/>
              <w:spacing w:before="0" w:after="1"/>
              <w:ind w:left="0" w:right="0" w:hanging="0"/>
              <w:jc w:val="left"/>
              <w:rPr/>
            </w:pPr>
            <w:r>
              <w:rPr/>
              <w:t>​</w:t>
            </w:r>
          </w:p>
        </w:tc>
        <w:tc>
          <w:tcPr>
            <w:tcW w:w="172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187</w:t>
            </w:r>
          </w:p>
        </w:tc>
      </w:tr>
      <w:tr>
        <w:trPr/>
        <w:tc>
          <w:tcPr>
            <w:tcW w:w="32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taxes</w:t>
            </w:r>
          </w:p>
        </w:tc>
        <w:tc>
          <w:tcPr>
            <w:tcW w:w="337" w:type="dxa"/>
            <w:tcBorders/>
            <w:vAlign w:val="center"/>
          </w:tcPr>
          <w:p>
            <w:pPr>
              <w:pStyle w:val="TableContents"/>
              <w:bidi w:val="0"/>
              <w:spacing w:before="0" w:after="1"/>
              <w:ind w:left="0" w:right="0" w:hanging="0"/>
              <w:jc w:val="left"/>
              <w:rPr/>
            </w:pPr>
            <w:r>
              <w:rPr/>
              <w:t> </w:t>
            </w:r>
          </w:p>
        </w:tc>
        <w:tc>
          <w:tcPr>
            <w:tcW w:w="110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w:t>
            </w:r>
          </w:p>
        </w:tc>
        <w:tc>
          <w:tcPr>
            <w:tcW w:w="346" w:type="dxa"/>
            <w:tcBorders/>
            <w:vAlign w:val="center"/>
          </w:tcPr>
          <w:p>
            <w:pPr>
              <w:pStyle w:val="TableContents"/>
              <w:bidi w:val="0"/>
              <w:spacing w:before="0" w:after="1"/>
              <w:ind w:left="0" w:right="0" w:hanging="0"/>
              <w:jc w:val="left"/>
              <w:rPr/>
            </w:pPr>
            <w:r>
              <w:rPr/>
              <w:t>​</w:t>
            </w:r>
          </w:p>
        </w:tc>
        <w:tc>
          <w:tcPr>
            <w:tcW w:w="575" w:type="dxa"/>
            <w:tcBorders/>
            <w:vAlign w:val="center"/>
          </w:tcPr>
          <w:p>
            <w:pPr>
              <w:pStyle w:val="TableContents"/>
              <w:bidi w:val="0"/>
              <w:spacing w:before="0" w:after="1"/>
              <w:ind w:left="0" w:right="0" w:hanging="0"/>
              <w:jc w:val="left"/>
              <w:rPr/>
            </w:pPr>
            <w:r>
              <w:rPr/>
              <w:t>​</w:t>
            </w:r>
          </w:p>
        </w:tc>
        <w:tc>
          <w:tcPr>
            <w:tcW w:w="172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w:t>
            </w:r>
          </w:p>
        </w:tc>
      </w:tr>
      <w:tr>
        <w:trPr/>
        <w:tc>
          <w:tcPr>
            <w:tcW w:w="3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Reclassifications to: </w:t>
            </w:r>
          </w:p>
        </w:tc>
        <w:tc>
          <w:tcPr>
            <w:tcW w:w="337" w:type="dxa"/>
            <w:tcBorders/>
            <w:shd w:fill="CCEEFF" w:val="clear"/>
            <w:vAlign w:val="center"/>
          </w:tcPr>
          <w:p>
            <w:pPr>
              <w:pStyle w:val="TableContents"/>
              <w:bidi w:val="0"/>
              <w:spacing w:before="0" w:after="1"/>
              <w:ind w:left="0" w:right="0" w:hanging="0"/>
              <w:jc w:val="left"/>
              <w:rPr/>
            </w:pPr>
            <w:r>
              <w:rPr/>
              <w:t>​</w:t>
            </w:r>
          </w:p>
        </w:tc>
        <w:tc>
          <w:tcPr>
            <w:tcW w:w="110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75" w:type="dxa"/>
            <w:tcBorders/>
            <w:shd w:fill="CCEEFF" w:val="clear"/>
            <w:vAlign w:val="center"/>
          </w:tcPr>
          <w:p>
            <w:pPr>
              <w:pStyle w:val="TableContents"/>
              <w:bidi w:val="0"/>
              <w:spacing w:before="0" w:after="1"/>
              <w:ind w:left="0" w:right="0" w:hanging="0"/>
              <w:jc w:val="left"/>
              <w:rPr/>
            </w:pPr>
            <w:r>
              <w:rPr/>
              <w:t>​</w:t>
            </w:r>
          </w:p>
        </w:tc>
        <w:tc>
          <w:tcPr>
            <w:tcW w:w="1720"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left"/>
              <w:rPr/>
            </w:pPr>
            <w:r>
              <w:rPr/>
              <w:t>​</w:t>
            </w:r>
          </w:p>
        </w:tc>
      </w:tr>
      <w:tr>
        <w:trPr/>
        <w:tc>
          <w:tcPr>
            <w:tcW w:w="32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w:t>
            </w:r>
          </w:p>
        </w:tc>
        <w:tc>
          <w:tcPr>
            <w:tcW w:w="337" w:type="dxa"/>
            <w:tcBorders/>
            <w:vAlign w:val="center"/>
          </w:tcPr>
          <w:p>
            <w:pPr>
              <w:pStyle w:val="TableContents"/>
              <w:bidi w:val="0"/>
              <w:spacing w:before="0" w:after="1"/>
              <w:ind w:left="0" w:right="0" w:hanging="0"/>
              <w:jc w:val="left"/>
              <w:rPr/>
            </w:pPr>
            <w:r>
              <w:rPr/>
              <w:t>​</w:t>
            </w:r>
          </w:p>
        </w:tc>
        <w:tc>
          <w:tcPr>
            <w:tcW w:w="110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643</w:t>
            </w:r>
          </w:p>
        </w:tc>
        <w:tc>
          <w:tcPr>
            <w:tcW w:w="346" w:type="dxa"/>
            <w:tcBorders/>
            <w:vAlign w:val="center"/>
          </w:tcPr>
          <w:p>
            <w:pPr>
              <w:pStyle w:val="TableContents"/>
              <w:bidi w:val="0"/>
              <w:spacing w:before="0" w:after="1"/>
              <w:ind w:left="0" w:right="0" w:hanging="0"/>
              <w:jc w:val="left"/>
              <w:rPr/>
            </w:pPr>
            <w:r>
              <w:rPr/>
              <w:t>​</w:t>
            </w:r>
          </w:p>
        </w:tc>
        <w:tc>
          <w:tcPr>
            <w:tcW w:w="575" w:type="dxa"/>
            <w:tcBorders/>
            <w:vAlign w:val="center"/>
          </w:tcPr>
          <w:p>
            <w:pPr>
              <w:pStyle w:val="TableContents"/>
              <w:bidi w:val="0"/>
              <w:spacing w:before="0" w:after="1"/>
              <w:ind w:left="0" w:right="0" w:hanging="0"/>
              <w:jc w:val="left"/>
              <w:rPr/>
            </w:pPr>
            <w:r>
              <w:rPr/>
              <w:t>​</w:t>
            </w:r>
          </w:p>
        </w:tc>
        <w:tc>
          <w:tcPr>
            <w:tcW w:w="172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643</w:t>
            </w:r>
          </w:p>
        </w:tc>
      </w:tr>
      <w:tr>
        <w:trPr/>
        <w:tc>
          <w:tcPr>
            <w:tcW w:w="3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3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0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(1,040)</w:t>
            </w:r>
          </w:p>
        </w:tc>
        <w:tc>
          <w:tcPr>
            <w:tcW w:w="346" w:type="dxa"/>
            <w:tcBorders/>
            <w:shd w:fill="CCEEFF" w:val="clear"/>
            <w:vAlign w:val="center"/>
          </w:tcPr>
          <w:p>
            <w:pPr>
              <w:pStyle w:val="TableContents"/>
              <w:bidi w:val="0"/>
              <w:spacing w:before="0" w:after="1"/>
              <w:ind w:left="0" w:right="0" w:hanging="0"/>
              <w:jc w:val="left"/>
              <w:rPr/>
            </w:pPr>
            <w:r>
              <w:rPr/>
              <w:t>​</w:t>
            </w:r>
          </w:p>
        </w:tc>
        <w:tc>
          <w:tcPr>
            <w:tcW w:w="57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72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(1,040)</w:t>
            </w:r>
          </w:p>
        </w:tc>
      </w:tr>
      <w:tr>
        <w:trPr/>
        <w:tc>
          <w:tcPr>
            <w:tcW w:w="32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other comprehensive income (loss)</w:t>
            </w:r>
          </w:p>
        </w:tc>
        <w:tc>
          <w:tcPr>
            <w:tcW w:w="337" w:type="dxa"/>
            <w:tcBorders/>
            <w:vAlign w:val="center"/>
          </w:tcPr>
          <w:p>
            <w:pPr>
              <w:pStyle w:val="TableContents"/>
              <w:bidi w:val="0"/>
              <w:spacing w:before="0" w:after="1"/>
              <w:ind w:left="0" w:right="0" w:hanging="0"/>
              <w:jc w:val="left"/>
              <w:rPr/>
            </w:pPr>
            <w:r>
              <w:rPr/>
              <w:t>​</w:t>
            </w:r>
          </w:p>
        </w:tc>
        <w:tc>
          <w:tcPr>
            <w:tcW w:w="110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256</w:t>
            </w:r>
          </w:p>
        </w:tc>
        <w:tc>
          <w:tcPr>
            <w:tcW w:w="346" w:type="dxa"/>
            <w:tcBorders/>
            <w:vAlign w:val="center"/>
          </w:tcPr>
          <w:p>
            <w:pPr>
              <w:pStyle w:val="TableContents"/>
              <w:bidi w:val="0"/>
              <w:spacing w:before="0" w:after="1"/>
              <w:ind w:left="0" w:right="0" w:hanging="0"/>
              <w:jc w:val="left"/>
              <w:rPr/>
            </w:pPr>
            <w:r>
              <w:rPr/>
              <w:t>​</w:t>
            </w:r>
          </w:p>
        </w:tc>
        <w:tc>
          <w:tcPr>
            <w:tcW w:w="575" w:type="dxa"/>
            <w:tcBorders/>
            <w:vAlign w:val="center"/>
          </w:tcPr>
          <w:p>
            <w:pPr>
              <w:pStyle w:val="TableContents"/>
              <w:bidi w:val="0"/>
              <w:spacing w:before="0" w:after="1"/>
              <w:ind w:left="0" w:right="0" w:hanging="0"/>
              <w:jc w:val="left"/>
              <w:rPr/>
            </w:pPr>
            <w:r>
              <w:rPr/>
              <w:t>​</w:t>
            </w:r>
          </w:p>
        </w:tc>
        <w:tc>
          <w:tcPr>
            <w:tcW w:w="172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(348)</w:t>
            </w:r>
          </w:p>
        </w:tc>
      </w:tr>
      <w:tr>
        <w:trPr/>
        <w:tc>
          <w:tcPr>
            <w:tcW w:w="3271" w:type="dxa"/>
            <w:tcBorders/>
            <w:shd w:fill="CCEEFF" w:val="clear"/>
            <w:vAlign w:val="center"/>
          </w:tcPr>
          <w:p>
            <w:pPr>
              <w:pStyle w:val="TableContents"/>
              <w:bidi w:val="0"/>
              <w:spacing w:before="0" w:after="1"/>
              <w:ind w:left="0" w:right="0" w:hanging="0"/>
              <w:jc w:val="left"/>
              <w:rPr/>
            </w:pPr>
            <w:r>
              <w:rPr/>
              <w:t>​</w:t>
            </w:r>
          </w:p>
        </w:tc>
        <w:tc>
          <w:tcPr>
            <w:tcW w:w="33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0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7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72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32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as of June 30, 2026</w:t>
            </w:r>
          </w:p>
        </w:tc>
        <w:tc>
          <w:tcPr>
            <w:tcW w:w="337"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0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1,631</w:t>
            </w:r>
          </w:p>
        </w:tc>
        <w:tc>
          <w:tcPr>
            <w:tcW w:w="346" w:type="dxa"/>
            <w:tcBorders/>
            <w:vAlign w:val="center"/>
          </w:tcPr>
          <w:p>
            <w:pPr>
              <w:pStyle w:val="TableContents"/>
              <w:bidi w:val="0"/>
              <w:spacing w:before="0" w:after="1"/>
              <w:ind w:left="0" w:right="0" w:hanging="0"/>
              <w:jc w:val="left"/>
              <w:rPr/>
            </w:pPr>
            <w:r>
              <w:rPr/>
              <w:t>​</w:t>
            </w:r>
          </w:p>
        </w:tc>
        <w:tc>
          <w:tcPr>
            <w:tcW w:w="575"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72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(9,547)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(7,916)</w:t>
            </w:r>
          </w:p>
        </w:tc>
      </w:tr>
    </w:tbl>
    <w:p>
      <w:pPr>
        <w:pStyle w:val="TextBody"/>
        <w:bidi w:val="0"/>
        <w:spacing w:before="0" w:after="240"/>
        <w:ind w:left="0" w:right="0" w:hanging="0"/>
        <w:jc w:val="both"/>
        <w:rPr/>
      </w:pPr>
      <w:r>
        <w:rPr/>
        <w:t>​</w:t>
      </w:r>
    </w:p>
    <w:tbl>
      <w:tblPr>
        <w:tblW w:w="8345" w:type="dxa"/>
        <w:jc w:val="left"/>
        <w:tblInd w:w="0" w:type="dxa"/>
        <w:tblLayout w:type="fixed"/>
        <w:tblCellMar>
          <w:top w:w="0" w:type="dxa"/>
          <w:left w:w="0" w:type="dxa"/>
          <w:bottom w:w="0" w:type="dxa"/>
          <w:right w:w="0" w:type="dxa"/>
        </w:tblCellMar>
      </w:tblPr>
      <w:tblGrid>
        <w:gridCol w:w="2971"/>
        <w:gridCol w:w="337"/>
        <w:gridCol w:w="1103"/>
        <w:gridCol w:w="346"/>
        <w:gridCol w:w="575"/>
        <w:gridCol w:w="1720"/>
        <w:gridCol w:w="346"/>
        <w:gridCol w:w="211"/>
        <w:gridCol w:w="736"/>
      </w:tblGrid>
      <w:tr>
        <w:trPr/>
        <w:tc>
          <w:tcPr>
            <w:tcW w:w="29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1886585" cy="175260"/>
                      <wp:effectExtent l="0" t="0" r="0" b="0"/>
                      <wp:wrapNone/>
                      <wp:docPr id="287" name="Frame286"/>
                      <a:graphic xmlns:a="http://schemas.openxmlformats.org/drawingml/2006/main">
                        <a:graphicData uri="http://schemas.microsoft.com/office/word/2010/wordprocessingShape">
                          <wps:wsp>
                            <wps:cNvSpPr txBox="1"/>
                            <wps:spPr>
                              <a:xfrm>
                                <a:off x="0" y="0"/>
                                <a:ext cx="1886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213995" cy="175260"/>
                      <wp:effectExtent l="0" t="0" r="0" b="0"/>
                      <wp:wrapNone/>
                      <wp:docPr id="288" name="Frame287"/>
                      <a:graphic xmlns:a="http://schemas.openxmlformats.org/drawingml/2006/main">
                        <a:graphicData uri="http://schemas.microsoft.com/office/word/2010/wordprocessingShape">
                          <wps:wsp>
                            <wps:cNvSpPr txBox="1"/>
                            <wps:spPr>
                              <a:xfrm>
                                <a:off x="0" y="0"/>
                                <a:ext cx="213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700405" cy="175260"/>
                      <wp:effectExtent l="0" t="0" r="0" b="0"/>
                      <wp:wrapNone/>
                      <wp:docPr id="289" name="Frame288"/>
                      <a:graphic xmlns:a="http://schemas.openxmlformats.org/drawingml/2006/main">
                        <a:graphicData uri="http://schemas.microsoft.com/office/word/2010/wordprocessingShape">
                          <wps:wsp>
                            <wps:cNvSpPr txBox="1"/>
                            <wps:spPr>
                              <a:xfrm>
                                <a:off x="0" y="0"/>
                                <a:ext cx="700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219710" cy="175260"/>
                      <wp:effectExtent l="0" t="0" r="0" b="0"/>
                      <wp:wrapNone/>
                      <wp:docPr id="290" name="Frame2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365125" cy="175260"/>
                      <wp:effectExtent l="0" t="0" r="0" b="0"/>
                      <wp:wrapNone/>
                      <wp:docPr id="291" name="Frame290"/>
                      <a:graphic xmlns:a="http://schemas.openxmlformats.org/drawingml/2006/main">
                        <a:graphicData uri="http://schemas.microsoft.com/office/word/2010/wordprocessingShape">
                          <wps:wsp>
                            <wps:cNvSpPr txBox="1"/>
                            <wps:spPr>
                              <a:xfrm>
                                <a:off x="0" y="0"/>
                                <a:ext cx="365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1092200" cy="175260"/>
                      <wp:effectExtent l="0" t="0" r="0" b="0"/>
                      <wp:wrapNone/>
                      <wp:docPr id="292" name="Frame291"/>
                      <a:graphic xmlns:a="http://schemas.openxmlformats.org/drawingml/2006/main">
                        <a:graphicData uri="http://schemas.microsoft.com/office/word/2010/wordprocessingShape">
                          <wps:wsp>
                            <wps:cNvSpPr txBox="1"/>
                            <wps:spPr>
                              <a:xfrm>
                                <a:off x="0" y="0"/>
                                <a:ext cx="1092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219710" cy="175260"/>
                      <wp:effectExtent l="0" t="0" r="0" b="0"/>
                      <wp:wrapNone/>
                      <wp:docPr id="293" name="Frame2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133985" cy="175260"/>
                      <wp:effectExtent l="0" t="0" r="0" b="0"/>
                      <wp:wrapNone/>
                      <wp:docPr id="294" name="Frame2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467360" cy="175260"/>
                      <wp:effectExtent l="0" t="0" r="0" b="0"/>
                      <wp:wrapNone/>
                      <wp:docPr id="295" name="Frame294"/>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71" w:type="dxa"/>
            <w:tcBorders/>
            <w:vAlign w:val="center"/>
          </w:tcPr>
          <w:p>
            <w:pPr>
              <w:pStyle w:val="TableContents"/>
              <w:bidi w:val="0"/>
              <w:spacing w:before="0" w:after="0"/>
              <w:ind w:left="0" w:right="0" w:hanging="0"/>
              <w:jc w:val="left"/>
              <w:rPr/>
            </w:pPr>
            <w:r>
              <w:rPr/>
              <w:t>​</w:t>
            </w:r>
          </w:p>
        </w:tc>
        <w:tc>
          <w:tcPr>
            <w:tcW w:w="14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Cash Flow Hedges</w:t>
            </w:r>
          </w:p>
        </w:tc>
        <w:tc>
          <w:tcPr>
            <w:tcW w:w="346" w:type="dxa"/>
            <w:tcBorders/>
            <w:vAlign w:val="center"/>
          </w:tcPr>
          <w:p>
            <w:pPr>
              <w:pStyle w:val="TableContents"/>
              <w:bidi w:val="0"/>
              <w:spacing w:before="0" w:after="0"/>
              <w:ind w:left="0" w:right="0" w:hanging="0"/>
              <w:jc w:val="left"/>
              <w:rPr/>
            </w:pPr>
            <w:r>
              <w:rPr/>
              <w:t>  ​ ​ ​</w:t>
            </w:r>
          </w:p>
        </w:tc>
        <w:tc>
          <w:tcPr>
            <w:tcW w:w="22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Foreign Currency Translation</w:t>
            </w:r>
          </w:p>
        </w:tc>
        <w:tc>
          <w:tcPr>
            <w:tcW w:w="346" w:type="dxa"/>
            <w:tcBorders/>
            <w:vAlign w:val="center"/>
          </w:tcPr>
          <w:p>
            <w:pPr>
              <w:pStyle w:val="TableContents"/>
              <w:bidi w:val="0"/>
              <w:spacing w:before="0" w:after="0"/>
              <w:ind w:left="0" w:right="0" w:hanging="0"/>
              <w:jc w:val="left"/>
              <w:rPr/>
            </w:pPr>
            <w:r>
              <w:rPr/>
              <w:t>  ​ ​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as of January 1, 2026</w:t>
            </w:r>
          </w:p>
        </w:tc>
        <w:tc>
          <w:tcPr>
            <w:tcW w:w="3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1,788</w:t>
            </w:r>
          </w:p>
        </w:tc>
        <w:tc>
          <w:tcPr>
            <w:tcW w:w="346" w:type="dxa"/>
            <w:tcBorders/>
            <w:shd w:fill="CCEEFF" w:val="clear"/>
            <w:vAlign w:val="center"/>
          </w:tcPr>
          <w:p>
            <w:pPr>
              <w:pStyle w:val="TableContents"/>
              <w:bidi w:val="0"/>
              <w:spacing w:before="0" w:after="0"/>
              <w:ind w:left="0" w:right="0" w:hanging="0"/>
              <w:jc w:val="left"/>
              <w:rPr/>
            </w:pPr>
            <w:r>
              <w:rPr/>
              <w:t>​</w:t>
            </w:r>
          </w:p>
        </w:tc>
        <w:tc>
          <w:tcPr>
            <w:tcW w:w="5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7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(5,424)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(3,636)</w:t>
            </w:r>
          </w:p>
        </w:tc>
      </w:tr>
      <w:tr>
        <w:trPr/>
        <w:tc>
          <w:tcPr>
            <w:tcW w:w="2971" w:type="dxa"/>
            <w:tcBorders/>
            <w:vAlign w:val="center"/>
          </w:tcPr>
          <w:p>
            <w:pPr>
              <w:pStyle w:val="TableContents"/>
              <w:bidi w:val="0"/>
              <w:spacing w:before="0" w:after="0"/>
              <w:ind w:left="0" w:right="0" w:hanging="0"/>
              <w:jc w:val="left"/>
              <w:rPr/>
            </w:pPr>
            <w:r>
              <w:rPr/>
              <w:t>​</w:t>
            </w:r>
          </w:p>
        </w:tc>
        <w:tc>
          <w:tcPr>
            <w:tcW w:w="337" w:type="dxa"/>
            <w:tcBorders/>
            <w:vAlign w:val="center"/>
          </w:tcPr>
          <w:p>
            <w:pPr>
              <w:pStyle w:val="TableContents"/>
              <w:bidi w:val="0"/>
              <w:spacing w:before="0" w:after="0"/>
              <w:ind w:left="0" w:right="0" w:hanging="0"/>
              <w:jc w:val="left"/>
              <w:rPr/>
            </w:pPr>
            <w:r>
              <w:rPr/>
              <w:t>​</w:t>
            </w:r>
          </w:p>
        </w:tc>
        <w:tc>
          <w:tcPr>
            <w:tcW w:w="110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575" w:type="dxa"/>
            <w:tcBorders/>
            <w:vAlign w:val="center"/>
          </w:tcPr>
          <w:p>
            <w:pPr>
              <w:pStyle w:val="TableContents"/>
              <w:bidi w:val="0"/>
              <w:spacing w:before="0" w:after="0"/>
              <w:ind w:left="0" w:right="0" w:hanging="0"/>
              <w:jc w:val="left"/>
              <w:rPr/>
            </w:pPr>
            <w:r>
              <w:rPr/>
              <w:t>​</w:t>
            </w:r>
          </w:p>
        </w:tc>
        <w:tc>
          <w:tcPr>
            <w:tcW w:w="172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r>
      <w:tr>
        <w:trPr/>
        <w:tc>
          <w:tcPr>
            <w:tcW w:w="2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337" w:type="dxa"/>
            <w:tcBorders/>
            <w:shd w:fill="CCEEFF" w:val="clear"/>
            <w:vAlign w:val="center"/>
          </w:tcPr>
          <w:p>
            <w:pPr>
              <w:pStyle w:val="TableContents"/>
              <w:bidi w:val="0"/>
              <w:spacing w:before="0" w:after="0"/>
              <w:ind w:left="0" w:right="0" w:hanging="0"/>
              <w:jc w:val="left"/>
              <w:rPr/>
            </w:pPr>
            <w:r>
              <w:rPr/>
              <w:t> </w:t>
            </w:r>
          </w:p>
        </w:tc>
        <w:tc>
          <w:tcPr>
            <w:tcW w:w="11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590</w:t>
            </w:r>
          </w:p>
        </w:tc>
        <w:tc>
          <w:tcPr>
            <w:tcW w:w="346" w:type="dxa"/>
            <w:tcBorders/>
            <w:shd w:fill="CCEEFF" w:val="clear"/>
            <w:vAlign w:val="center"/>
          </w:tcPr>
          <w:p>
            <w:pPr>
              <w:pStyle w:val="TableContents"/>
              <w:bidi w:val="0"/>
              <w:spacing w:before="0" w:after="0"/>
              <w:ind w:left="0" w:right="0" w:hanging="0"/>
              <w:jc w:val="left"/>
              <w:rPr/>
            </w:pPr>
            <w:r>
              <w:rPr/>
              <w:t>​</w:t>
            </w:r>
          </w:p>
        </w:tc>
        <w:tc>
          <w:tcPr>
            <w:tcW w:w="575" w:type="dxa"/>
            <w:tcBorders/>
            <w:shd w:fill="CCEEFF" w:val="clear"/>
            <w:vAlign w:val="center"/>
          </w:tcPr>
          <w:p>
            <w:pPr>
              <w:pStyle w:val="TableContents"/>
              <w:bidi w:val="0"/>
              <w:spacing w:before="0" w:after="0"/>
              <w:ind w:left="0" w:right="0" w:hanging="0"/>
              <w:jc w:val="left"/>
              <w:rPr/>
            </w:pPr>
            <w:r>
              <w:rPr/>
              <w:t>​</w:t>
            </w:r>
          </w:p>
        </w:tc>
        <w:tc>
          <w:tcPr>
            <w:tcW w:w="17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(4,889)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(4,299)</w:t>
            </w:r>
          </w:p>
        </w:tc>
      </w:tr>
      <w:tr>
        <w:trPr/>
        <w:tc>
          <w:tcPr>
            <w:tcW w:w="2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w:t>
            </w:r>
          </w:p>
        </w:tc>
        <w:tc>
          <w:tcPr>
            <w:tcW w:w="337" w:type="dxa"/>
            <w:tcBorders/>
            <w:vAlign w:val="center"/>
          </w:tcPr>
          <w:p>
            <w:pPr>
              <w:pStyle w:val="TableContents"/>
              <w:bidi w:val="0"/>
              <w:spacing w:before="0" w:after="0"/>
              <w:ind w:left="0" w:right="0" w:hanging="0"/>
              <w:jc w:val="left"/>
              <w:rPr/>
            </w:pPr>
            <w:r>
              <w:rPr/>
              <w:t> </w:t>
            </w:r>
          </w:p>
        </w:tc>
        <w:tc>
          <w:tcPr>
            <w:tcW w:w="11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346" w:type="dxa"/>
            <w:tcBorders/>
            <w:vAlign w:val="center"/>
          </w:tcPr>
          <w:p>
            <w:pPr>
              <w:pStyle w:val="TableContents"/>
              <w:bidi w:val="0"/>
              <w:spacing w:before="0" w:after="0"/>
              <w:ind w:left="0" w:right="0" w:hanging="0"/>
              <w:jc w:val="left"/>
              <w:rPr/>
            </w:pPr>
            <w:r>
              <w:rPr/>
              <w:t>​</w:t>
            </w:r>
          </w:p>
        </w:tc>
        <w:tc>
          <w:tcPr>
            <w:tcW w:w="575" w:type="dxa"/>
            <w:tcBorders/>
            <w:vAlign w:val="center"/>
          </w:tcPr>
          <w:p>
            <w:pPr>
              <w:pStyle w:val="TableContents"/>
              <w:bidi w:val="0"/>
              <w:spacing w:before="0" w:after="0"/>
              <w:ind w:left="0" w:right="0" w:hanging="0"/>
              <w:jc w:val="left"/>
              <w:rPr/>
            </w:pPr>
            <w:r>
              <w:rPr/>
              <w:t>​</w:t>
            </w:r>
          </w:p>
        </w:tc>
        <w:tc>
          <w:tcPr>
            <w:tcW w:w="17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814</w:t>
            </w:r>
          </w:p>
        </w:tc>
      </w:tr>
      <w:tr>
        <w:trPr/>
        <w:tc>
          <w:tcPr>
            <w:tcW w:w="2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Reclassifications to: </w:t>
            </w:r>
          </w:p>
        </w:tc>
        <w:tc>
          <w:tcPr>
            <w:tcW w:w="337" w:type="dxa"/>
            <w:tcBorders/>
            <w:shd w:fill="CCEEFF" w:val="clear"/>
            <w:vAlign w:val="center"/>
          </w:tcPr>
          <w:p>
            <w:pPr>
              <w:pStyle w:val="TableContents"/>
              <w:bidi w:val="0"/>
              <w:spacing w:before="0" w:after="0"/>
              <w:ind w:left="0" w:right="0" w:hanging="0"/>
              <w:jc w:val="left"/>
              <w:rPr/>
            </w:pPr>
            <w:r>
              <w:rPr/>
              <w:t>​</w:t>
            </w:r>
          </w:p>
        </w:tc>
        <w:tc>
          <w:tcPr>
            <w:tcW w:w="110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75" w:type="dxa"/>
            <w:tcBorders/>
            <w:shd w:fill="CCEEFF" w:val="clear"/>
            <w:vAlign w:val="center"/>
          </w:tcPr>
          <w:p>
            <w:pPr>
              <w:pStyle w:val="TableContents"/>
              <w:bidi w:val="0"/>
              <w:spacing w:before="0" w:after="0"/>
              <w:ind w:left="0" w:right="0" w:hanging="0"/>
              <w:jc w:val="left"/>
              <w:rPr/>
            </w:pPr>
            <w:r>
              <w:rPr/>
              <w:t>​</w:t>
            </w:r>
          </w:p>
        </w:tc>
        <w:tc>
          <w:tcPr>
            <w:tcW w:w="172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left"/>
              <w:rPr/>
            </w:pPr>
            <w:r>
              <w:rPr/>
              <w:t>​</w:t>
            </w:r>
          </w:p>
        </w:tc>
      </w:tr>
      <w:tr>
        <w:trPr/>
        <w:tc>
          <w:tcPr>
            <w:tcW w:w="2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37" w:type="dxa"/>
            <w:tcBorders/>
            <w:vAlign w:val="center"/>
          </w:tcPr>
          <w:p>
            <w:pPr>
              <w:pStyle w:val="TableContents"/>
              <w:bidi w:val="0"/>
              <w:spacing w:before="0" w:after="0"/>
              <w:ind w:left="0" w:right="0" w:hanging="0"/>
              <w:jc w:val="left"/>
              <w:rPr/>
            </w:pPr>
            <w:r>
              <w:rPr/>
              <w:t>​</w:t>
            </w:r>
          </w:p>
        </w:tc>
        <w:tc>
          <w:tcPr>
            <w:tcW w:w="11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1,160</w:t>
            </w:r>
          </w:p>
        </w:tc>
        <w:tc>
          <w:tcPr>
            <w:tcW w:w="346" w:type="dxa"/>
            <w:tcBorders/>
            <w:vAlign w:val="center"/>
          </w:tcPr>
          <w:p>
            <w:pPr>
              <w:pStyle w:val="TableContents"/>
              <w:bidi w:val="0"/>
              <w:spacing w:before="0" w:after="0"/>
              <w:ind w:left="0" w:right="0" w:hanging="0"/>
              <w:jc w:val="left"/>
              <w:rPr/>
            </w:pPr>
            <w:r>
              <w:rPr/>
              <w:t>​</w:t>
            </w:r>
          </w:p>
        </w:tc>
        <w:tc>
          <w:tcPr>
            <w:tcW w:w="575" w:type="dxa"/>
            <w:tcBorders/>
            <w:vAlign w:val="center"/>
          </w:tcPr>
          <w:p>
            <w:pPr>
              <w:pStyle w:val="TableContents"/>
              <w:bidi w:val="0"/>
              <w:spacing w:before="0" w:after="0"/>
              <w:ind w:left="0" w:right="0" w:hanging="0"/>
              <w:jc w:val="left"/>
              <w:rPr/>
            </w:pPr>
            <w:r>
              <w:rPr/>
              <w:t>​</w:t>
            </w:r>
          </w:p>
        </w:tc>
        <w:tc>
          <w:tcPr>
            <w:tcW w:w="172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1,160</w:t>
            </w:r>
          </w:p>
        </w:tc>
      </w:tr>
      <w:tr>
        <w:trPr/>
        <w:tc>
          <w:tcPr>
            <w:tcW w:w="2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(1,955)</w:t>
            </w:r>
          </w:p>
        </w:tc>
        <w:tc>
          <w:tcPr>
            <w:tcW w:w="346" w:type="dxa"/>
            <w:tcBorders/>
            <w:shd w:fill="CCEEFF" w:val="clear"/>
            <w:vAlign w:val="center"/>
          </w:tcPr>
          <w:p>
            <w:pPr>
              <w:pStyle w:val="TableContents"/>
              <w:bidi w:val="0"/>
              <w:spacing w:before="0" w:after="0"/>
              <w:ind w:left="0" w:right="0" w:hanging="0"/>
              <w:jc w:val="left"/>
              <w:rPr/>
            </w:pPr>
            <w:r>
              <w:rPr/>
              <w:t>​</w:t>
            </w:r>
          </w:p>
        </w:tc>
        <w:tc>
          <w:tcPr>
            <w:tcW w:w="5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7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(1,955)</w:t>
            </w:r>
          </w:p>
        </w:tc>
      </w:tr>
      <w:tr>
        <w:trPr/>
        <w:tc>
          <w:tcPr>
            <w:tcW w:w="2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other comprehensive loss</w:t>
            </w:r>
          </w:p>
        </w:tc>
        <w:tc>
          <w:tcPr>
            <w:tcW w:w="337" w:type="dxa"/>
            <w:tcBorders/>
            <w:vAlign w:val="center"/>
          </w:tcPr>
          <w:p>
            <w:pPr>
              <w:pStyle w:val="TableContents"/>
              <w:bidi w:val="0"/>
              <w:spacing w:before="0" w:after="0"/>
              <w:ind w:left="0" w:right="0" w:hanging="0"/>
              <w:jc w:val="left"/>
              <w:rPr/>
            </w:pPr>
            <w:r>
              <w:rPr/>
              <w:t>​</w:t>
            </w:r>
          </w:p>
        </w:tc>
        <w:tc>
          <w:tcPr>
            <w:tcW w:w="11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w:t>
            </w:r>
          </w:p>
        </w:tc>
        <w:tc>
          <w:tcPr>
            <w:tcW w:w="346" w:type="dxa"/>
            <w:tcBorders/>
            <w:vAlign w:val="center"/>
          </w:tcPr>
          <w:p>
            <w:pPr>
              <w:pStyle w:val="TableContents"/>
              <w:bidi w:val="0"/>
              <w:spacing w:before="0" w:after="0"/>
              <w:ind w:left="0" w:right="0" w:hanging="0"/>
              <w:jc w:val="left"/>
              <w:rPr/>
            </w:pPr>
            <w:r>
              <w:rPr/>
              <w:t>​</w:t>
            </w:r>
          </w:p>
        </w:tc>
        <w:tc>
          <w:tcPr>
            <w:tcW w:w="575" w:type="dxa"/>
            <w:tcBorders/>
            <w:vAlign w:val="center"/>
          </w:tcPr>
          <w:p>
            <w:pPr>
              <w:pStyle w:val="TableContents"/>
              <w:bidi w:val="0"/>
              <w:spacing w:before="0" w:after="0"/>
              <w:ind w:left="0" w:right="0" w:hanging="0"/>
              <w:jc w:val="left"/>
              <w:rPr/>
            </w:pPr>
            <w:r>
              <w:rPr/>
              <w:t>​</w:t>
            </w:r>
          </w:p>
        </w:tc>
        <w:tc>
          <w:tcPr>
            <w:tcW w:w="17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(4,123)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(4,280)</w:t>
            </w:r>
          </w:p>
        </w:tc>
      </w:tr>
      <w:tr>
        <w:trPr/>
        <w:tc>
          <w:tcPr>
            <w:tcW w:w="2971" w:type="dxa"/>
            <w:tcBorders/>
            <w:shd w:fill="CCEEFF" w:val="clear"/>
            <w:vAlign w:val="center"/>
          </w:tcPr>
          <w:p>
            <w:pPr>
              <w:pStyle w:val="TableContents"/>
              <w:bidi w:val="0"/>
              <w:spacing w:before="0" w:after="0"/>
              <w:ind w:left="0" w:right="0" w:hanging="0"/>
              <w:jc w:val="left"/>
              <w:rPr/>
            </w:pPr>
            <w:r>
              <w:rPr/>
              <w:t>​</w:t>
            </w:r>
          </w:p>
        </w:tc>
        <w:tc>
          <w:tcPr>
            <w:tcW w:w="3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7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2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as of June 30, 2026</w:t>
            </w:r>
          </w:p>
        </w:tc>
        <w:tc>
          <w:tcPr>
            <w:tcW w:w="33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1,631</w:t>
            </w:r>
          </w:p>
        </w:tc>
        <w:tc>
          <w:tcPr>
            <w:tcW w:w="346" w:type="dxa"/>
            <w:tcBorders/>
            <w:vAlign w:val="center"/>
          </w:tcPr>
          <w:p>
            <w:pPr>
              <w:pStyle w:val="TableContents"/>
              <w:bidi w:val="0"/>
              <w:spacing w:before="0" w:after="0"/>
              <w:ind w:left="0" w:right="0" w:hanging="0"/>
              <w:jc w:val="left"/>
              <w:rPr/>
            </w:pPr>
            <w:r>
              <w:rPr/>
              <w:t>​</w:t>
            </w:r>
          </w:p>
        </w:tc>
        <w:tc>
          <w:tcPr>
            <w:tcW w:w="5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72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(9,547)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(7,916)</w:t>
            </w:r>
          </w:p>
        </w:tc>
      </w:tr>
    </w:tbl>
    <w:p>
      <w:pPr>
        <w:pStyle w:val="TextBody"/>
        <w:bidi w:val="0"/>
        <w:spacing w:before="0" w:after="0"/>
        <w:ind w:left="0" w:right="0" w:hanging="0"/>
        <w:jc w:val="left"/>
        <w:rPr/>
      </w:pPr>
      <w:r>
        <w:rPr/>
        <w:t>​</w:t>
      </w:r>
    </w:p>
    <w:tbl>
      <w:tblPr>
        <w:tblW w:w="8750" w:type="dxa"/>
        <w:jc w:val="left"/>
        <w:tblInd w:w="0" w:type="dxa"/>
        <w:tblLayout w:type="fixed"/>
        <w:tblCellMar>
          <w:top w:w="0" w:type="dxa"/>
          <w:left w:w="0" w:type="dxa"/>
          <w:bottom w:w="0" w:type="dxa"/>
          <w:right w:w="0" w:type="dxa"/>
        </w:tblCellMar>
      </w:tblPr>
      <w:tblGrid>
        <w:gridCol w:w="3271"/>
        <w:gridCol w:w="337"/>
        <w:gridCol w:w="1103"/>
        <w:gridCol w:w="346"/>
        <w:gridCol w:w="481"/>
        <w:gridCol w:w="1814"/>
        <w:gridCol w:w="346"/>
        <w:gridCol w:w="211"/>
        <w:gridCol w:w="841"/>
      </w:tblGrid>
      <w:tr>
        <w:trPr/>
        <w:tc>
          <w:tcPr>
            <w:tcW w:w="3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2077085" cy="175260"/>
                      <wp:effectExtent l="0" t="0" r="0" b="0"/>
                      <wp:wrapNone/>
                      <wp:docPr id="296" name="Frame295"/>
                      <a:graphic xmlns:a="http://schemas.openxmlformats.org/drawingml/2006/main">
                        <a:graphicData uri="http://schemas.microsoft.com/office/word/2010/wordprocessingShape">
                          <wps:wsp>
                            <wps:cNvSpPr txBox="1"/>
                            <wps:spPr>
                              <a:xfrm>
                                <a:off x="0" y="0"/>
                                <a:ext cx="2077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213995" cy="175260"/>
                      <wp:effectExtent l="0" t="0" r="0" b="0"/>
                      <wp:wrapNone/>
                      <wp:docPr id="297" name="Frame296"/>
                      <a:graphic xmlns:a="http://schemas.openxmlformats.org/drawingml/2006/main">
                        <a:graphicData uri="http://schemas.microsoft.com/office/word/2010/wordprocessingShape">
                          <wps:wsp>
                            <wps:cNvSpPr txBox="1"/>
                            <wps:spPr>
                              <a:xfrm>
                                <a:off x="0" y="0"/>
                                <a:ext cx="213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700405" cy="175260"/>
                      <wp:effectExtent l="0" t="0" r="0" b="0"/>
                      <wp:wrapNone/>
                      <wp:docPr id="298" name="Frame297"/>
                      <a:graphic xmlns:a="http://schemas.openxmlformats.org/drawingml/2006/main">
                        <a:graphicData uri="http://schemas.microsoft.com/office/word/2010/wordprocessingShape">
                          <wps:wsp>
                            <wps:cNvSpPr txBox="1"/>
                            <wps:spPr>
                              <a:xfrm>
                                <a:off x="0" y="0"/>
                                <a:ext cx="700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219710" cy="175260"/>
                      <wp:effectExtent l="0" t="0" r="0" b="0"/>
                      <wp:wrapNone/>
                      <wp:docPr id="299" name="Frame2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305435" cy="175260"/>
                      <wp:effectExtent l="0" t="0" r="0" b="0"/>
                      <wp:wrapNone/>
                      <wp:docPr id="300" name="Frame299"/>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1151890" cy="175260"/>
                      <wp:effectExtent l="0" t="0" r="0" b="0"/>
                      <wp:wrapNone/>
                      <wp:docPr id="301" name="Frame300"/>
                      <a:graphic xmlns:a="http://schemas.openxmlformats.org/drawingml/2006/main">
                        <a:graphicData uri="http://schemas.microsoft.com/office/word/2010/wordprocessingShape">
                          <wps:wsp>
                            <wps:cNvSpPr txBox="1"/>
                            <wps:spPr>
                              <a:xfrm>
                                <a:off x="0" y="0"/>
                                <a:ext cx="1151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219710" cy="175260"/>
                      <wp:effectExtent l="0" t="0" r="0" b="0"/>
                      <wp:wrapNone/>
                      <wp:docPr id="302" name="Frame3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133985" cy="175260"/>
                      <wp:effectExtent l="0" t="0" r="0" b="0"/>
                      <wp:wrapNone/>
                      <wp:docPr id="303" name="Frame3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534035" cy="175260"/>
                      <wp:effectExtent l="0" t="0" r="0" b="0"/>
                      <wp:wrapNone/>
                      <wp:docPr id="304" name="Frame303"/>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71" w:type="dxa"/>
            <w:tcBorders/>
            <w:vAlign w:val="center"/>
          </w:tcPr>
          <w:p>
            <w:pPr>
              <w:pStyle w:val="TableContents"/>
              <w:bidi w:val="0"/>
              <w:spacing w:before="0" w:after="0"/>
              <w:ind w:left="0" w:right="0" w:hanging="0"/>
              <w:jc w:val="left"/>
              <w:rPr/>
            </w:pPr>
            <w:r>
              <w:rPr/>
              <w:t>​</w:t>
            </w:r>
          </w:p>
        </w:tc>
        <w:tc>
          <w:tcPr>
            <w:tcW w:w="14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Cash Flow Hedges</w:t>
            </w:r>
          </w:p>
        </w:tc>
        <w:tc>
          <w:tcPr>
            <w:tcW w:w="346" w:type="dxa"/>
            <w:tcBorders/>
            <w:vAlign w:val="center"/>
          </w:tcPr>
          <w:p>
            <w:pPr>
              <w:pStyle w:val="TableContents"/>
              <w:bidi w:val="0"/>
              <w:spacing w:before="0" w:after="0"/>
              <w:ind w:left="0" w:right="0" w:hanging="0"/>
              <w:jc w:val="left"/>
              <w:rPr/>
            </w:pPr>
            <w:r>
              <w:rPr/>
              <w:t>  ​ ​ ​</w:t>
            </w:r>
          </w:p>
        </w:tc>
        <w:tc>
          <w:tcPr>
            <w:tcW w:w="22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Foreign Currency Translation</w:t>
            </w:r>
          </w:p>
        </w:tc>
        <w:tc>
          <w:tcPr>
            <w:tcW w:w="346" w:type="dxa"/>
            <w:tcBorders/>
            <w:vAlign w:val="center"/>
          </w:tcPr>
          <w:p>
            <w:pPr>
              <w:pStyle w:val="TableContents"/>
              <w:bidi w:val="0"/>
              <w:spacing w:before="0" w:after="0"/>
              <w:ind w:left="0" w:right="0" w:hanging="0"/>
              <w:jc w:val="left"/>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as of April 1, 2025</w:t>
            </w:r>
          </w:p>
        </w:tc>
        <w:tc>
          <w:tcPr>
            <w:tcW w:w="3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942</w:t>
            </w:r>
          </w:p>
        </w:tc>
        <w:tc>
          <w:tcPr>
            <w:tcW w:w="346"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8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(16,318)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(15,376)</w:t>
            </w:r>
          </w:p>
        </w:tc>
      </w:tr>
      <w:tr>
        <w:trPr/>
        <w:tc>
          <w:tcPr>
            <w:tcW w:w="3271" w:type="dxa"/>
            <w:tcBorders/>
            <w:vAlign w:val="center"/>
          </w:tcPr>
          <w:p>
            <w:pPr>
              <w:pStyle w:val="TableContents"/>
              <w:bidi w:val="0"/>
              <w:spacing w:before="0" w:after="0"/>
              <w:ind w:left="0" w:right="0" w:hanging="0"/>
              <w:jc w:val="left"/>
              <w:rPr/>
            </w:pPr>
            <w:r>
              <w:rPr/>
              <w:t>​</w:t>
            </w:r>
          </w:p>
        </w:tc>
        <w:tc>
          <w:tcPr>
            <w:tcW w:w="337" w:type="dxa"/>
            <w:tcBorders/>
            <w:vAlign w:val="center"/>
          </w:tcPr>
          <w:p>
            <w:pPr>
              <w:pStyle w:val="TableContents"/>
              <w:bidi w:val="0"/>
              <w:spacing w:before="0" w:after="0"/>
              <w:ind w:left="0" w:right="0" w:hanging="0"/>
              <w:jc w:val="left"/>
              <w:rPr/>
            </w:pPr>
            <w:r>
              <w:rPr/>
              <w:t>​</w:t>
            </w:r>
          </w:p>
        </w:tc>
        <w:tc>
          <w:tcPr>
            <w:tcW w:w="110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left"/>
              <w:rPr/>
            </w:pPr>
            <w:r>
              <w:rPr/>
              <w:t>​</w:t>
            </w:r>
          </w:p>
        </w:tc>
        <w:tc>
          <w:tcPr>
            <w:tcW w:w="181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3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(loss) income</w:t>
            </w:r>
          </w:p>
        </w:tc>
        <w:tc>
          <w:tcPr>
            <w:tcW w:w="337" w:type="dxa"/>
            <w:tcBorders/>
            <w:shd w:fill="CCEEFF" w:val="clear"/>
            <w:vAlign w:val="center"/>
          </w:tcPr>
          <w:p>
            <w:pPr>
              <w:pStyle w:val="TableContents"/>
              <w:bidi w:val="0"/>
              <w:spacing w:before="0" w:after="0"/>
              <w:ind w:left="0" w:right="0" w:hanging="0"/>
              <w:jc w:val="left"/>
              <w:rPr/>
            </w:pPr>
            <w:r>
              <w:rPr/>
              <w:t> </w:t>
            </w:r>
          </w:p>
        </w:tc>
        <w:tc>
          <w:tcPr>
            <w:tcW w:w="11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(1,396)</w:t>
            </w:r>
          </w:p>
        </w:tc>
        <w:tc>
          <w:tcPr>
            <w:tcW w:w="346"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left"/>
              <w:rPr/>
            </w:pPr>
            <w:r>
              <w:rPr/>
              <w:t>​</w:t>
            </w:r>
          </w:p>
        </w:tc>
        <w:tc>
          <w:tcPr>
            <w:tcW w:w="18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11,804</w:t>
            </w:r>
          </w:p>
        </w:tc>
      </w:tr>
      <w:tr>
        <w:trPr/>
        <w:tc>
          <w:tcPr>
            <w:tcW w:w="3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w:t>
            </w:r>
          </w:p>
        </w:tc>
        <w:tc>
          <w:tcPr>
            <w:tcW w:w="337" w:type="dxa"/>
            <w:tcBorders/>
            <w:vAlign w:val="center"/>
          </w:tcPr>
          <w:p>
            <w:pPr>
              <w:pStyle w:val="TableContents"/>
              <w:bidi w:val="0"/>
              <w:spacing w:before="0" w:after="0"/>
              <w:ind w:left="0" w:right="0" w:hanging="0"/>
              <w:jc w:val="left"/>
              <w:rPr/>
            </w:pPr>
            <w:r>
              <w:rPr/>
              <w:t> </w:t>
            </w:r>
          </w:p>
        </w:tc>
        <w:tc>
          <w:tcPr>
            <w:tcW w:w="11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393</w:t>
            </w:r>
          </w:p>
        </w:tc>
        <w:tc>
          <w:tcPr>
            <w:tcW w:w="34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left"/>
              <w:rPr/>
            </w:pPr>
            <w:r>
              <w:rPr/>
              <w:t>​</w:t>
            </w:r>
          </w:p>
        </w:tc>
        <w:tc>
          <w:tcPr>
            <w:tcW w:w="18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(1,223)</w:t>
            </w:r>
          </w:p>
        </w:tc>
      </w:tr>
      <w:tr>
        <w:trPr/>
        <w:tc>
          <w:tcPr>
            <w:tcW w:w="3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Reclassifications to: </w:t>
            </w:r>
          </w:p>
        </w:tc>
        <w:tc>
          <w:tcPr>
            <w:tcW w:w="337" w:type="dxa"/>
            <w:tcBorders/>
            <w:shd w:fill="CCEEFF" w:val="clear"/>
            <w:vAlign w:val="center"/>
          </w:tcPr>
          <w:p>
            <w:pPr>
              <w:pStyle w:val="TableContents"/>
              <w:bidi w:val="0"/>
              <w:spacing w:before="0" w:after="0"/>
              <w:ind w:left="0" w:right="0" w:hanging="0"/>
              <w:jc w:val="left"/>
              <w:rPr/>
            </w:pPr>
            <w:r>
              <w:rPr/>
              <w:t>​</w:t>
            </w:r>
          </w:p>
        </w:tc>
        <w:tc>
          <w:tcPr>
            <w:tcW w:w="110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left"/>
              <w:rPr/>
            </w:pPr>
            <w:r>
              <w:rPr/>
              <w:t>​</w:t>
            </w:r>
          </w:p>
        </w:tc>
        <w:tc>
          <w:tcPr>
            <w:tcW w:w="181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left"/>
              <w:rPr/>
            </w:pPr>
            <w:r>
              <w:rPr/>
              <w:t>​</w:t>
            </w:r>
          </w:p>
        </w:tc>
      </w:tr>
      <w:tr>
        <w:trPr/>
        <w:tc>
          <w:tcPr>
            <w:tcW w:w="3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37" w:type="dxa"/>
            <w:tcBorders/>
            <w:vAlign w:val="center"/>
          </w:tcPr>
          <w:p>
            <w:pPr>
              <w:pStyle w:val="TableContents"/>
              <w:bidi w:val="0"/>
              <w:spacing w:before="0" w:after="0"/>
              <w:ind w:left="0" w:right="0" w:hanging="0"/>
              <w:jc w:val="left"/>
              <w:rPr/>
            </w:pPr>
            <w:r>
              <w:rPr/>
              <w:t>​</w:t>
            </w:r>
          </w:p>
        </w:tc>
        <w:tc>
          <w:tcPr>
            <w:tcW w:w="11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(509)</w:t>
            </w:r>
          </w:p>
        </w:tc>
        <w:tc>
          <w:tcPr>
            <w:tcW w:w="34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left"/>
              <w:rPr/>
            </w:pPr>
            <w:r>
              <w:rPr/>
              <w:t>​</w:t>
            </w:r>
          </w:p>
        </w:tc>
        <w:tc>
          <w:tcPr>
            <w:tcW w:w="181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(509)</w:t>
            </w:r>
          </w:p>
        </w:tc>
      </w:tr>
      <w:tr>
        <w:trPr/>
        <w:tc>
          <w:tcPr>
            <w:tcW w:w="3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w:t>
            </w:r>
          </w:p>
        </w:tc>
        <w:tc>
          <w:tcPr>
            <w:tcW w:w="346" w:type="dxa"/>
            <w:tcBorders/>
            <w:shd w:fill="CCEEFF" w:val="clear"/>
            <w:vAlign w:val="center"/>
          </w:tcPr>
          <w:p>
            <w:pPr>
              <w:pStyle w:val="TableContents"/>
              <w:bidi w:val="0"/>
              <w:spacing w:before="0" w:after="0"/>
              <w:ind w:left="0" w:right="0" w:hanging="0"/>
              <w:jc w:val="left"/>
              <w:rPr/>
            </w:pPr>
            <w:r>
              <w:rPr/>
              <w:t>​</w:t>
            </w:r>
          </w:p>
        </w:tc>
        <w:tc>
          <w:tcPr>
            <w:tcW w:w="4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8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w:t>
            </w:r>
          </w:p>
        </w:tc>
      </w:tr>
      <w:tr>
        <w:trPr/>
        <w:tc>
          <w:tcPr>
            <w:tcW w:w="3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other comprehensive (loss) income</w:t>
            </w:r>
          </w:p>
        </w:tc>
        <w:tc>
          <w:tcPr>
            <w:tcW w:w="337" w:type="dxa"/>
            <w:tcBorders/>
            <w:vAlign w:val="center"/>
          </w:tcPr>
          <w:p>
            <w:pPr>
              <w:pStyle w:val="TableContents"/>
              <w:bidi w:val="0"/>
              <w:spacing w:before="0" w:after="0"/>
              <w:ind w:left="0" w:right="0" w:hanging="0"/>
              <w:jc w:val="left"/>
              <w:rPr/>
            </w:pPr>
            <w:r>
              <w:rPr/>
              <w:t>​</w:t>
            </w:r>
          </w:p>
        </w:tc>
        <w:tc>
          <w:tcPr>
            <w:tcW w:w="11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(1,270)</w:t>
            </w:r>
          </w:p>
        </w:tc>
        <w:tc>
          <w:tcPr>
            <w:tcW w:w="34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left"/>
              <w:rPr/>
            </w:pPr>
            <w:r>
              <w:rPr/>
              <w:t>​</w:t>
            </w:r>
          </w:p>
        </w:tc>
        <w:tc>
          <w:tcPr>
            <w:tcW w:w="18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11,584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10,314</w:t>
            </w:r>
          </w:p>
        </w:tc>
      </w:tr>
      <w:tr>
        <w:trPr/>
        <w:tc>
          <w:tcPr>
            <w:tcW w:w="3271" w:type="dxa"/>
            <w:tcBorders/>
            <w:shd w:fill="CCEEFF" w:val="clear"/>
            <w:vAlign w:val="center"/>
          </w:tcPr>
          <w:p>
            <w:pPr>
              <w:pStyle w:val="TableContents"/>
              <w:bidi w:val="0"/>
              <w:spacing w:before="0" w:after="0"/>
              <w:ind w:left="0" w:right="0" w:hanging="0"/>
              <w:jc w:val="left"/>
              <w:rPr/>
            </w:pPr>
            <w:r>
              <w:rPr/>
              <w:t>​</w:t>
            </w:r>
          </w:p>
        </w:tc>
        <w:tc>
          <w:tcPr>
            <w:tcW w:w="3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8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as of June 30, 2025</w:t>
            </w:r>
          </w:p>
        </w:tc>
        <w:tc>
          <w:tcPr>
            <w:tcW w:w="33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w:t>
            </w:r>
          </w:p>
        </w:tc>
        <w:tc>
          <w:tcPr>
            <w:tcW w:w="346" w:type="dxa"/>
            <w:tcBorders/>
            <w:vAlign w:val="center"/>
          </w:tcPr>
          <w:p>
            <w:pPr>
              <w:pStyle w:val="TableContents"/>
              <w:bidi w:val="0"/>
              <w:spacing w:before="0" w:after="0"/>
              <w:ind w:left="0" w:right="0" w:hanging="0"/>
              <w:jc w:val="left"/>
              <w:rPr/>
            </w:pPr>
            <w:r>
              <w:rPr/>
              <w:t>​</w:t>
            </w:r>
          </w:p>
        </w:tc>
        <w:tc>
          <w:tcPr>
            <w:tcW w:w="4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81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(4,734)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(5,062)</w:t>
            </w:r>
          </w:p>
        </w:tc>
      </w:tr>
    </w:tbl>
    <w:p>
      <w:pPr>
        <w:pStyle w:val="TextBody"/>
        <w:bidi w:val="0"/>
        <w:spacing w:before="0" w:after="0"/>
        <w:ind w:left="0" w:right="0" w:hanging="0"/>
        <w:jc w:val="left"/>
        <w:rPr/>
      </w:pPr>
      <w:r>
        <w:rPr/>
        <w:t>​</w:t>
      </w:r>
    </w:p>
    <w:tbl>
      <w:tblPr>
        <w:tblW w:w="8750" w:type="dxa"/>
        <w:jc w:val="left"/>
        <w:tblInd w:w="0" w:type="dxa"/>
        <w:tblLayout w:type="fixed"/>
        <w:tblCellMar>
          <w:top w:w="0" w:type="dxa"/>
          <w:left w:w="0" w:type="dxa"/>
          <w:bottom w:w="0" w:type="dxa"/>
          <w:right w:w="0" w:type="dxa"/>
        </w:tblCellMar>
      </w:tblPr>
      <w:tblGrid>
        <w:gridCol w:w="3271"/>
        <w:gridCol w:w="337"/>
        <w:gridCol w:w="1103"/>
        <w:gridCol w:w="346"/>
        <w:gridCol w:w="481"/>
        <w:gridCol w:w="1814"/>
        <w:gridCol w:w="346"/>
        <w:gridCol w:w="211"/>
        <w:gridCol w:w="841"/>
      </w:tblGrid>
      <w:tr>
        <w:trPr/>
        <w:tc>
          <w:tcPr>
            <w:tcW w:w="3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2077085" cy="175260"/>
                      <wp:effectExtent l="0" t="0" r="0" b="0"/>
                      <wp:wrapNone/>
                      <wp:docPr id="305" name="Frame304"/>
                      <a:graphic xmlns:a="http://schemas.openxmlformats.org/drawingml/2006/main">
                        <a:graphicData uri="http://schemas.microsoft.com/office/word/2010/wordprocessingShape">
                          <wps:wsp>
                            <wps:cNvSpPr txBox="1"/>
                            <wps:spPr>
                              <a:xfrm>
                                <a:off x="0" y="0"/>
                                <a:ext cx="2077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213995" cy="175260"/>
                      <wp:effectExtent l="0" t="0" r="0" b="0"/>
                      <wp:wrapNone/>
                      <wp:docPr id="306" name="Frame305"/>
                      <a:graphic xmlns:a="http://schemas.openxmlformats.org/drawingml/2006/main">
                        <a:graphicData uri="http://schemas.microsoft.com/office/word/2010/wordprocessingShape">
                          <wps:wsp>
                            <wps:cNvSpPr txBox="1"/>
                            <wps:spPr>
                              <a:xfrm>
                                <a:off x="0" y="0"/>
                                <a:ext cx="213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700405" cy="175260"/>
                      <wp:effectExtent l="0" t="0" r="0" b="0"/>
                      <wp:wrapNone/>
                      <wp:docPr id="307" name="Frame306"/>
                      <a:graphic xmlns:a="http://schemas.openxmlformats.org/drawingml/2006/main">
                        <a:graphicData uri="http://schemas.microsoft.com/office/word/2010/wordprocessingShape">
                          <wps:wsp>
                            <wps:cNvSpPr txBox="1"/>
                            <wps:spPr>
                              <a:xfrm>
                                <a:off x="0" y="0"/>
                                <a:ext cx="700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219710" cy="175260"/>
                      <wp:effectExtent l="0" t="0" r="0" b="0"/>
                      <wp:wrapNone/>
                      <wp:docPr id="308" name="Frame3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305435" cy="175260"/>
                      <wp:effectExtent l="0" t="0" r="0" b="0"/>
                      <wp:wrapNone/>
                      <wp:docPr id="309" name="Frame308"/>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1151890" cy="175260"/>
                      <wp:effectExtent l="0" t="0" r="0" b="0"/>
                      <wp:wrapNone/>
                      <wp:docPr id="310" name="Frame309"/>
                      <a:graphic xmlns:a="http://schemas.openxmlformats.org/drawingml/2006/main">
                        <a:graphicData uri="http://schemas.microsoft.com/office/word/2010/wordprocessingShape">
                          <wps:wsp>
                            <wps:cNvSpPr txBox="1"/>
                            <wps:spPr>
                              <a:xfrm>
                                <a:off x="0" y="0"/>
                                <a:ext cx="1151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219710" cy="175260"/>
                      <wp:effectExtent l="0" t="0" r="0" b="0"/>
                      <wp:wrapNone/>
                      <wp:docPr id="311" name="Frame3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133985" cy="175260"/>
                      <wp:effectExtent l="0" t="0" r="0" b="0"/>
                      <wp:wrapNone/>
                      <wp:docPr id="312" name="Frame3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534035" cy="175260"/>
                      <wp:effectExtent l="0" t="0" r="0" b="0"/>
                      <wp:wrapNone/>
                      <wp:docPr id="313" name="Frame312"/>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71" w:type="dxa"/>
            <w:tcBorders/>
            <w:vAlign w:val="center"/>
          </w:tcPr>
          <w:p>
            <w:pPr>
              <w:pStyle w:val="TableContents"/>
              <w:bidi w:val="0"/>
              <w:spacing w:before="0" w:after="0"/>
              <w:ind w:left="0" w:right="0" w:hanging="0"/>
              <w:jc w:val="left"/>
              <w:rPr/>
            </w:pPr>
            <w:r>
              <w:rPr/>
              <w:t>​</w:t>
            </w:r>
          </w:p>
        </w:tc>
        <w:tc>
          <w:tcPr>
            <w:tcW w:w="14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Cash Flow Hedges</w:t>
            </w:r>
          </w:p>
        </w:tc>
        <w:tc>
          <w:tcPr>
            <w:tcW w:w="346" w:type="dxa"/>
            <w:tcBorders/>
            <w:vAlign w:val="center"/>
          </w:tcPr>
          <w:p>
            <w:pPr>
              <w:pStyle w:val="TableContents"/>
              <w:bidi w:val="0"/>
              <w:spacing w:before="0" w:after="0"/>
              <w:ind w:left="0" w:right="0" w:hanging="0"/>
              <w:jc w:val="left"/>
              <w:rPr/>
            </w:pPr>
            <w:r>
              <w:rPr/>
              <w:t>  ​ ​ ​</w:t>
            </w:r>
          </w:p>
        </w:tc>
        <w:tc>
          <w:tcPr>
            <w:tcW w:w="22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Foreign Currency Translation</w:t>
            </w:r>
          </w:p>
        </w:tc>
        <w:tc>
          <w:tcPr>
            <w:tcW w:w="346" w:type="dxa"/>
            <w:tcBorders/>
            <w:vAlign w:val="center"/>
          </w:tcPr>
          <w:p>
            <w:pPr>
              <w:pStyle w:val="TableContents"/>
              <w:bidi w:val="0"/>
              <w:spacing w:before="0" w:after="0"/>
              <w:ind w:left="0" w:right="0" w:hanging="0"/>
              <w:jc w:val="left"/>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as of January 1, 2025</w:t>
            </w:r>
          </w:p>
        </w:tc>
        <w:tc>
          <w:tcPr>
            <w:tcW w:w="3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2,765</w:t>
            </w:r>
          </w:p>
        </w:tc>
        <w:tc>
          <w:tcPr>
            <w:tcW w:w="346"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8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(22,166)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(19,401)</w:t>
            </w:r>
          </w:p>
        </w:tc>
      </w:tr>
      <w:tr>
        <w:trPr/>
        <w:tc>
          <w:tcPr>
            <w:tcW w:w="3271" w:type="dxa"/>
            <w:tcBorders/>
            <w:vAlign w:val="center"/>
          </w:tcPr>
          <w:p>
            <w:pPr>
              <w:pStyle w:val="TableContents"/>
              <w:bidi w:val="0"/>
              <w:spacing w:before="0" w:after="0"/>
              <w:ind w:left="0" w:right="0" w:hanging="0"/>
              <w:jc w:val="left"/>
              <w:rPr/>
            </w:pPr>
            <w:r>
              <w:rPr/>
              <w:t>​</w:t>
            </w:r>
          </w:p>
        </w:tc>
        <w:tc>
          <w:tcPr>
            <w:tcW w:w="337" w:type="dxa"/>
            <w:tcBorders/>
            <w:vAlign w:val="center"/>
          </w:tcPr>
          <w:p>
            <w:pPr>
              <w:pStyle w:val="TableContents"/>
              <w:bidi w:val="0"/>
              <w:spacing w:before="0" w:after="0"/>
              <w:ind w:left="0" w:right="0" w:hanging="0"/>
              <w:jc w:val="left"/>
              <w:rPr/>
            </w:pPr>
            <w:r>
              <w:rPr/>
              <w:t>​</w:t>
            </w:r>
          </w:p>
        </w:tc>
        <w:tc>
          <w:tcPr>
            <w:tcW w:w="110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left"/>
              <w:rPr/>
            </w:pPr>
            <w:r>
              <w:rPr/>
              <w:t>​</w:t>
            </w:r>
          </w:p>
        </w:tc>
        <w:tc>
          <w:tcPr>
            <w:tcW w:w="181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3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(loss) income</w:t>
            </w:r>
          </w:p>
        </w:tc>
        <w:tc>
          <w:tcPr>
            <w:tcW w:w="337" w:type="dxa"/>
            <w:tcBorders/>
            <w:shd w:fill="CCEEFF" w:val="clear"/>
            <w:vAlign w:val="center"/>
          </w:tcPr>
          <w:p>
            <w:pPr>
              <w:pStyle w:val="TableContents"/>
              <w:bidi w:val="0"/>
              <w:spacing w:before="0" w:after="0"/>
              <w:ind w:left="0" w:right="0" w:hanging="0"/>
              <w:jc w:val="left"/>
              <w:rPr/>
            </w:pPr>
            <w:r>
              <w:rPr/>
              <w:t> </w:t>
            </w:r>
          </w:p>
        </w:tc>
        <w:tc>
          <w:tcPr>
            <w:tcW w:w="11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(3,293)</w:t>
            </w:r>
          </w:p>
        </w:tc>
        <w:tc>
          <w:tcPr>
            <w:tcW w:w="346"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left"/>
              <w:rPr/>
            </w:pPr>
            <w:r>
              <w:rPr/>
              <w:t>​</w:t>
            </w:r>
          </w:p>
        </w:tc>
        <w:tc>
          <w:tcPr>
            <w:tcW w:w="18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19,054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15,761</w:t>
            </w:r>
          </w:p>
        </w:tc>
      </w:tr>
      <w:tr>
        <w:trPr/>
        <w:tc>
          <w:tcPr>
            <w:tcW w:w="3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w:t>
            </w:r>
          </w:p>
        </w:tc>
        <w:tc>
          <w:tcPr>
            <w:tcW w:w="337" w:type="dxa"/>
            <w:tcBorders/>
            <w:vAlign w:val="center"/>
          </w:tcPr>
          <w:p>
            <w:pPr>
              <w:pStyle w:val="TableContents"/>
              <w:bidi w:val="0"/>
              <w:spacing w:before="0" w:after="0"/>
              <w:ind w:left="0" w:right="0" w:hanging="0"/>
              <w:jc w:val="left"/>
              <w:rPr/>
            </w:pPr>
            <w:r>
              <w:rPr/>
              <w:t> </w:t>
            </w:r>
          </w:p>
        </w:tc>
        <w:tc>
          <w:tcPr>
            <w:tcW w:w="11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956</w:t>
            </w:r>
          </w:p>
        </w:tc>
        <w:tc>
          <w:tcPr>
            <w:tcW w:w="34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left"/>
              <w:rPr/>
            </w:pPr>
            <w:r>
              <w:rPr/>
              <w:t>​</w:t>
            </w:r>
          </w:p>
        </w:tc>
        <w:tc>
          <w:tcPr>
            <w:tcW w:w="18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(666)</w:t>
            </w:r>
          </w:p>
        </w:tc>
      </w:tr>
      <w:tr>
        <w:trPr/>
        <w:tc>
          <w:tcPr>
            <w:tcW w:w="3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Reclassifications to: </w:t>
            </w:r>
          </w:p>
        </w:tc>
        <w:tc>
          <w:tcPr>
            <w:tcW w:w="337" w:type="dxa"/>
            <w:tcBorders/>
            <w:shd w:fill="CCEEFF" w:val="clear"/>
            <w:vAlign w:val="center"/>
          </w:tcPr>
          <w:p>
            <w:pPr>
              <w:pStyle w:val="TableContents"/>
              <w:bidi w:val="0"/>
              <w:spacing w:before="0" w:after="0"/>
              <w:ind w:left="0" w:right="0" w:hanging="0"/>
              <w:jc w:val="left"/>
              <w:rPr/>
            </w:pPr>
            <w:r>
              <w:rPr/>
              <w:t>​</w:t>
            </w:r>
          </w:p>
        </w:tc>
        <w:tc>
          <w:tcPr>
            <w:tcW w:w="110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left"/>
              <w:rPr/>
            </w:pPr>
            <w:r>
              <w:rPr/>
              <w:t>​</w:t>
            </w:r>
          </w:p>
        </w:tc>
        <w:tc>
          <w:tcPr>
            <w:tcW w:w="181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left"/>
              <w:rPr/>
            </w:pPr>
            <w:r>
              <w:rPr/>
              <w:t>​</w:t>
            </w:r>
          </w:p>
        </w:tc>
      </w:tr>
      <w:tr>
        <w:trPr/>
        <w:tc>
          <w:tcPr>
            <w:tcW w:w="3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37" w:type="dxa"/>
            <w:tcBorders/>
            <w:vAlign w:val="center"/>
          </w:tcPr>
          <w:p>
            <w:pPr>
              <w:pStyle w:val="TableContents"/>
              <w:bidi w:val="0"/>
              <w:spacing w:before="0" w:after="0"/>
              <w:ind w:left="0" w:right="0" w:hanging="0"/>
              <w:jc w:val="left"/>
              <w:rPr/>
            </w:pPr>
            <w:r>
              <w:rPr/>
              <w:t>​</w:t>
            </w:r>
          </w:p>
        </w:tc>
        <w:tc>
          <w:tcPr>
            <w:tcW w:w="11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(1,530)</w:t>
            </w:r>
          </w:p>
        </w:tc>
        <w:tc>
          <w:tcPr>
            <w:tcW w:w="34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left"/>
              <w:rPr/>
            </w:pPr>
            <w:r>
              <w:rPr/>
              <w:t>​</w:t>
            </w:r>
          </w:p>
        </w:tc>
        <w:tc>
          <w:tcPr>
            <w:tcW w:w="181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(1,530)</w:t>
            </w:r>
          </w:p>
        </w:tc>
      </w:tr>
      <w:tr>
        <w:trPr/>
        <w:tc>
          <w:tcPr>
            <w:tcW w:w="3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774</w:t>
            </w:r>
          </w:p>
        </w:tc>
        <w:tc>
          <w:tcPr>
            <w:tcW w:w="346" w:type="dxa"/>
            <w:tcBorders/>
            <w:shd w:fill="CCEEFF" w:val="clear"/>
            <w:vAlign w:val="center"/>
          </w:tcPr>
          <w:p>
            <w:pPr>
              <w:pStyle w:val="TableContents"/>
              <w:bidi w:val="0"/>
              <w:spacing w:before="0" w:after="0"/>
              <w:ind w:left="0" w:right="0" w:hanging="0"/>
              <w:jc w:val="left"/>
              <w:rPr/>
            </w:pPr>
            <w:r>
              <w:rPr/>
              <w:t>​</w:t>
            </w:r>
          </w:p>
        </w:tc>
        <w:tc>
          <w:tcPr>
            <w:tcW w:w="4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8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774</w:t>
            </w:r>
          </w:p>
        </w:tc>
      </w:tr>
      <w:tr>
        <w:trPr/>
        <w:tc>
          <w:tcPr>
            <w:tcW w:w="3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other comprehensive (loss) income</w:t>
            </w:r>
          </w:p>
        </w:tc>
        <w:tc>
          <w:tcPr>
            <w:tcW w:w="337" w:type="dxa"/>
            <w:tcBorders/>
            <w:vAlign w:val="center"/>
          </w:tcPr>
          <w:p>
            <w:pPr>
              <w:pStyle w:val="TableContents"/>
              <w:bidi w:val="0"/>
              <w:spacing w:before="0" w:after="0"/>
              <w:ind w:left="0" w:right="0" w:hanging="0"/>
              <w:jc w:val="left"/>
              <w:rPr/>
            </w:pPr>
            <w:r>
              <w:rPr/>
              <w:t>​</w:t>
            </w:r>
          </w:p>
        </w:tc>
        <w:tc>
          <w:tcPr>
            <w:tcW w:w="11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(3,093)</w:t>
            </w:r>
          </w:p>
        </w:tc>
        <w:tc>
          <w:tcPr>
            <w:tcW w:w="34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left"/>
              <w:rPr/>
            </w:pPr>
            <w:r>
              <w:rPr/>
              <w:t>​</w:t>
            </w:r>
          </w:p>
        </w:tc>
        <w:tc>
          <w:tcPr>
            <w:tcW w:w="18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17,432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14,339</w:t>
            </w:r>
          </w:p>
        </w:tc>
      </w:tr>
      <w:tr>
        <w:trPr/>
        <w:tc>
          <w:tcPr>
            <w:tcW w:w="3271" w:type="dxa"/>
            <w:tcBorders/>
            <w:shd w:fill="CCEEFF" w:val="clear"/>
            <w:vAlign w:val="center"/>
          </w:tcPr>
          <w:p>
            <w:pPr>
              <w:pStyle w:val="TableContents"/>
              <w:bidi w:val="0"/>
              <w:spacing w:before="0" w:after="0"/>
              <w:ind w:left="0" w:right="0" w:hanging="0"/>
              <w:jc w:val="left"/>
              <w:rPr/>
            </w:pPr>
            <w:r>
              <w:rPr/>
              <w:t>​</w:t>
            </w:r>
          </w:p>
        </w:tc>
        <w:tc>
          <w:tcPr>
            <w:tcW w:w="3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8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as of June 30, 2025</w:t>
            </w:r>
          </w:p>
        </w:tc>
        <w:tc>
          <w:tcPr>
            <w:tcW w:w="33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w:t>
            </w:r>
          </w:p>
        </w:tc>
        <w:tc>
          <w:tcPr>
            <w:tcW w:w="346" w:type="dxa"/>
            <w:tcBorders/>
            <w:vAlign w:val="center"/>
          </w:tcPr>
          <w:p>
            <w:pPr>
              <w:pStyle w:val="TableContents"/>
              <w:bidi w:val="0"/>
              <w:spacing w:before="0" w:after="0"/>
              <w:ind w:left="0" w:right="0" w:hanging="0"/>
              <w:jc w:val="left"/>
              <w:rPr/>
            </w:pPr>
            <w:r>
              <w:rPr/>
              <w:t>​</w:t>
            </w:r>
          </w:p>
        </w:tc>
        <w:tc>
          <w:tcPr>
            <w:tcW w:w="4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81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(4,734)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(5,062)</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bookmarkStart w:id="1223" w:name="MD_A"/>
      <w:bookmarkStart w:id="1224" w:name="_2e000180_c5e0_4f85_bb4d_12b54cc0a802"/>
      <w:bookmarkEnd w:id="1223"/>
      <w:bookmarkEnd w:id="1224"/>
      <w:r>
        <w:rPr>
          <w:rFonts w:ascii="Times New Roman;Times;serif" w:hAnsi="Times New Roman;Times;serif"/>
          <w:b/>
          <w:sz w:val="20"/>
        </w:rPr>
        <w:t>ITEM 2. MANAGEMENT’S DISCUSSION AND ANALYSIS OF FINANCIAL CONDITION AND RESULTS OF OPERATIONS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following discussion and analysis of our financial condition and results of operations should be read in conjunction with the consolidated financial statements and related condensed notes thereto, which are included in Part I of this report. Our future financial condition and results of operations, as well as any forward-looking statements, are subject to inherent risks and uncertainties that may adversely impact our operations and financial results. These risks and uncertainties are discussed in Part I, Item 1A “Risk Factors” in the 2025 Annual Report on Form 10-K and in Part II, Item 1A “Risk Factors” in this report and in our Quarterly Report on Form 10-Q for the quarter ended March 31, 2026.</w:t>
      </w:r>
    </w:p>
    <w:p>
      <w:pPr>
        <w:pStyle w:val="TextBody"/>
        <w:bidi w:val="0"/>
        <w:spacing w:before="0" w:after="200"/>
        <w:ind w:left="0" w:right="0" w:hanging="0"/>
        <w:jc w:val="left"/>
        <w:rPr>
          <w:rFonts w:ascii="Times New Roman;Times;serif" w:hAnsi="Times New Roman;Times;serif"/>
          <w:b/>
          <w:sz w:val="20"/>
        </w:rPr>
      </w:pPr>
      <w:bookmarkStart w:id="1225" w:name="_9446a74f_8a43_40aa_963f_3189af203077"/>
      <w:bookmarkEnd w:id="1225"/>
      <w:r>
        <w:rPr>
          <w:rFonts w:ascii="Times New Roman;Times;serif" w:hAnsi="Times New Roman;Times;serif"/>
          <w:b/>
          <w:sz w:val="20"/>
        </w:rPr>
        <w:t>OVERVIEW</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We are a leading manufacturer and marketer of proprietary medical devices used in interventional, diagnostic and therapeutic procedures, particularly in cardiology, radiology, oncology, critical care and endoscopy. Our business consists of two product categories: foundational and therapeutic. Within each of these product categories, we sell a variety of products organized as product platforms. Our foundational product category includes product platforms such as access devices, procedural solutions, OEM products, and vascular intervention. Our therapeutic product category includes product platforms such as cardiac therapies, oncology, renal therapies, vascular intervention, OEM products and endoscopy.</w:t>
      </w:r>
    </w:p>
    <w:p>
      <w:pPr>
        <w:pStyle w:val="TextBody"/>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For the three-month period ended June 30, 2026, we reported sales of $418.8 million, an increase of $36.4 million or 10% compared to sales for the three-month period ended June 30, 2025 of $382.5 million. For the six-month period ended June 30, 2026, we reported sales of $800.7 million, an increase of $62.9 million or 9% compared to sales for the six-month period ended June 30, 2025 of $737.8 million. Foreign currency fluctuations (net of hedging) increased our net sales by $3.0 million and $10.9 million for the three and six-month periods ended June 30, 2026, respectively, assuming applicable foreign exchange rates in effect during the comparable prior-year periods.</w:t>
      </w:r>
    </w:p>
    <w:p>
      <w:pPr>
        <w:pStyle w:val="TextBody"/>
        <w:shd w:fill="FFFFFF" w:val="clear"/>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Gross profit as a percentage of sales increased to 51.4% for the three-month period ended June 30, 2026 compared to 48.2% for the three-month period ended June 30, 2025. Gross profit as a percentage of sales increased to 50.0% for the six-month period ended June 30, 2026 compared to 48.3% for the six-month period ended June 30, 2025.</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Net income for the three-month period ended June 30, 2026 was $38.8 million, or $0.65 per share, compared to net income of $32.6 million, or $0.54 per share, for the three-month period ended June 30, 2025. Net income for the six-month period ended June 30, 2026 was $79.8 million, or $1.33 per share, compared to net income of $62.7 million, or $1.03 per share, for the six-month period ended June 30,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 and Trends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In addition to the trends identified in the 2025 Annual Report on Form 10-K under the heading “Management’s Discussion and Analysis of Financial Condition and Results of Operations - Overview,” our business in 2026 has been impacted, and we believe will continue to be impacted, by the following recent developments and trends: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 results during the three-month period ended June 30, 2026 were driven primarily by demand in both our domestic and international regions.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 2026, we completed the acquisition of View Point, which included the OneMark® Detection Imaging System and OneMark Tissue Markers used in the diagnosis and localization of breast and soft tissue tumors.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As of June 30, 2026, we had cash, cash equivalents, and restricted cash of $450.9 million and net available borrowing capacity under our Amended </w:t>
            </w:r>
            <w:r>
              <w:rPr>
                <w:rFonts w:ascii="Times New Roman;Times;serif" w:hAnsi="Times New Roman;Times;serif"/>
                <w:b w:val="false"/>
                <w:i w:val="false"/>
                <w:caps w:val="false"/>
                <w:smallCaps w:val="false"/>
                <w:sz w:val="20"/>
                <w:shd w:fill="FFFFFF" w:val="clear"/>
              </w:rPr>
              <w:t>Fourth A&amp;R Credit Agreement</w:t>
            </w:r>
            <w:r>
              <w:rPr>
                <w:caps w:val="false"/>
                <w:smallCaps w:val="false"/>
              </w:rPr>
              <w:t xml:space="preserve"> </w:t>
            </w:r>
            <w:r>
              <w:rPr>
                <w:rFonts w:ascii="Times New Roman;Times;serif" w:hAnsi="Times New Roman;Times;serif"/>
                <w:b w:val="false"/>
                <w:i w:val="false"/>
                <w:caps w:val="false"/>
                <w:smallCaps w:val="false"/>
                <w:sz w:val="20"/>
              </w:rPr>
              <w:t>of $697 million.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20, 2026, the U.S. Supreme Court ruled that tariffs imposed under the International Emergency Economic Powers Act ("IEEPA") were not authorized by the statute. The Company is the importer of record for certain raw materials and products that were previously subject to such tariffs under IEEPA. During the second quarter of 2026, we received approximately $6.9 million in refunds related to previously paid IEEPA tariffs recognized within cost of sales. Significant uncertainty remains regarding how and when any remaining amounts may be recovered, including the potential recovery for certain tariffs paid relating to raw materials and products for which the Company is not the importer of record. The Company continues to monitor ongoing legal proceedings related to the scope of this refund process, which could affect the amount of any future recoveries.</w:t>
            </w:r>
          </w:p>
        </w:tc>
      </w:tr>
    </w:tbl>
    <w:p>
      <w:pPr>
        <w:pStyle w:val="TextBody"/>
        <w:bidi w:val="0"/>
        <w:spacing w:before="0" w:after="120"/>
        <w:ind w:left="0" w:right="0" w:hanging="0"/>
        <w:jc w:val="both"/>
        <w:rPr/>
      </w:pPr>
      <w:r>
        <w:rPr/>
        <w:t>​</w:t>
      </w:r>
    </w:p>
    <w:p>
      <w:pPr>
        <w:pStyle w:val="TextBody"/>
        <w:bidi w:val="0"/>
        <w:spacing w:before="0" w:after="20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following table sets forth certain operational data as a percentage of sales for the periods indicated:</w:t>
      </w:r>
    </w:p>
    <w:tbl>
      <w:tblPr>
        <w:tblW w:w="8300" w:type="dxa"/>
        <w:jc w:val="left"/>
        <w:tblInd w:w="0" w:type="dxa"/>
        <w:tblLayout w:type="fixed"/>
        <w:tblCellMar>
          <w:top w:w="0" w:type="dxa"/>
          <w:left w:w="0" w:type="dxa"/>
          <w:bottom w:w="0" w:type="dxa"/>
          <w:right w:w="0" w:type="dxa"/>
        </w:tblCellMar>
      </w:tblPr>
      <w:tblGrid>
        <w:gridCol w:w="3736"/>
        <w:gridCol w:w="346"/>
        <w:gridCol w:w="600"/>
        <w:gridCol w:w="450"/>
        <w:gridCol w:w="600"/>
        <w:gridCol w:w="361"/>
        <w:gridCol w:w="346"/>
        <w:gridCol w:w="529"/>
        <w:gridCol w:w="397"/>
        <w:gridCol w:w="529"/>
        <w:gridCol w:w="406"/>
      </w:tblGrid>
      <w:tr>
        <w:trPr/>
        <w:tc>
          <w:tcPr>
            <w:tcW w:w="3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2372360" cy="175260"/>
                      <wp:effectExtent l="0" t="0" r="0" b="0"/>
                      <wp:wrapNone/>
                      <wp:docPr id="314" name="Frame313"/>
                      <a:graphic xmlns:a="http://schemas.openxmlformats.org/drawingml/2006/main">
                        <a:graphicData uri="http://schemas.microsoft.com/office/word/2010/wordprocessingShape">
                          <wps:wsp>
                            <wps:cNvSpPr txBox="1"/>
                            <wps:spPr>
                              <a:xfrm>
                                <a:off x="0" y="0"/>
                                <a:ext cx="2372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219710" cy="175260"/>
                      <wp:effectExtent l="0" t="0" r="0" b="0"/>
                      <wp:wrapNone/>
                      <wp:docPr id="315" name="Frame3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381000" cy="175260"/>
                      <wp:effectExtent l="0" t="0" r="0" b="0"/>
                      <wp:wrapNone/>
                      <wp:docPr id="316" name="Frame315"/>
                      <a:graphic xmlns:a="http://schemas.openxmlformats.org/drawingml/2006/main">
                        <a:graphicData uri="http://schemas.microsoft.com/office/word/2010/wordprocessingShape">
                          <wps:wsp>
                            <wps:cNvSpPr txBox="1"/>
                            <wps:spPr>
                              <a:xfrm>
                                <a:off x="0" y="0"/>
                                <a:ext cx="3810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285750" cy="175260"/>
                      <wp:effectExtent l="0" t="0" r="0" b="0"/>
                      <wp:wrapNone/>
                      <wp:docPr id="317" name="Frame316"/>
                      <a:graphic xmlns:a="http://schemas.openxmlformats.org/drawingml/2006/main">
                        <a:graphicData uri="http://schemas.microsoft.com/office/word/2010/wordprocessingShape">
                          <wps:wsp>
                            <wps:cNvSpPr txBox="1"/>
                            <wps:spPr>
                              <a:xfrm>
                                <a:off x="0" y="0"/>
                                <a:ext cx="2857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381000" cy="175260"/>
                      <wp:effectExtent l="0" t="0" r="0" b="0"/>
                      <wp:wrapNone/>
                      <wp:docPr id="318" name="Frame317"/>
                      <a:graphic xmlns:a="http://schemas.openxmlformats.org/drawingml/2006/main">
                        <a:graphicData uri="http://schemas.microsoft.com/office/word/2010/wordprocessingShape">
                          <wps:wsp>
                            <wps:cNvSpPr txBox="1"/>
                            <wps:spPr>
                              <a:xfrm>
                                <a:off x="0" y="0"/>
                                <a:ext cx="3810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229235" cy="175260"/>
                      <wp:effectExtent l="0" t="0" r="0" b="0"/>
                      <wp:wrapNone/>
                      <wp:docPr id="319" name="Frame318"/>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219710" cy="175260"/>
                      <wp:effectExtent l="0" t="0" r="0" b="0"/>
                      <wp:wrapNone/>
                      <wp:docPr id="320" name="Frame3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335915" cy="175260"/>
                      <wp:effectExtent l="0" t="0" r="0" b="0"/>
                      <wp:wrapNone/>
                      <wp:docPr id="321" name="Frame320"/>
                      <a:graphic xmlns:a="http://schemas.openxmlformats.org/drawingml/2006/main">
                        <a:graphicData uri="http://schemas.microsoft.com/office/word/2010/wordprocessingShape">
                          <wps:wsp>
                            <wps:cNvSpPr txBox="1"/>
                            <wps:spPr>
                              <a:xfrm>
                                <a:off x="0" y="0"/>
                                <a:ext cx="3359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252095" cy="175260"/>
                      <wp:effectExtent l="0" t="0" r="0" b="0"/>
                      <wp:wrapNone/>
                      <wp:docPr id="322" name="Frame321"/>
                      <a:graphic xmlns:a="http://schemas.openxmlformats.org/drawingml/2006/main">
                        <a:graphicData uri="http://schemas.microsoft.com/office/word/2010/wordprocessingShape">
                          <wps:wsp>
                            <wps:cNvSpPr txBox="1"/>
                            <wps:spPr>
                              <a:xfrm>
                                <a:off x="0" y="0"/>
                                <a:ext cx="2520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335915" cy="175260"/>
                      <wp:effectExtent l="0" t="0" r="0" b="0"/>
                      <wp:wrapNone/>
                      <wp:docPr id="323" name="Frame322"/>
                      <a:graphic xmlns:a="http://schemas.openxmlformats.org/drawingml/2006/main">
                        <a:graphicData uri="http://schemas.microsoft.com/office/word/2010/wordprocessingShape">
                          <wps:wsp>
                            <wps:cNvSpPr txBox="1"/>
                            <wps:spPr>
                              <a:xfrm>
                                <a:off x="0" y="0"/>
                                <a:ext cx="3359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257810" cy="175260"/>
                      <wp:effectExtent l="0" t="0" r="0" b="0"/>
                      <wp:wrapNone/>
                      <wp:docPr id="324" name="Frame323"/>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7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650"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455"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406" w:type="dxa"/>
            <w:tcBorders/>
            <w:vAlign w:val="center"/>
          </w:tcPr>
          <w:p>
            <w:pPr>
              <w:pStyle w:val="TableContents"/>
              <w:bidi w:val="0"/>
              <w:spacing w:before="0" w:after="1"/>
              <w:ind w:left="0" w:right="0" w:hanging="0"/>
              <w:jc w:val="left"/>
              <w:rPr/>
            </w:pPr>
            <w:r>
              <w:rPr/>
              <w:t>​</w:t>
            </w:r>
          </w:p>
        </w:tc>
      </w:tr>
      <w:tr>
        <w:trPr/>
        <w:tc>
          <w:tcPr>
            <w:tcW w:w="37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650"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455"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406" w:type="dxa"/>
            <w:tcBorders/>
            <w:vAlign w:val="center"/>
          </w:tcPr>
          <w:p>
            <w:pPr>
              <w:pStyle w:val="TableContents"/>
              <w:bidi w:val="0"/>
              <w:spacing w:before="0" w:after="1"/>
              <w:ind w:left="0" w:right="0" w:hanging="0"/>
              <w:jc w:val="left"/>
              <w:rPr/>
            </w:pPr>
            <w:r>
              <w:rPr/>
              <w:t>​</w:t>
            </w:r>
          </w:p>
        </w:tc>
      </w:tr>
      <w:tr>
        <w:trPr/>
        <w:tc>
          <w:tcPr>
            <w:tcW w:w="37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600"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50" w:type="dxa"/>
            <w:tcBorders/>
            <w:vAlign w:val="center"/>
          </w:tcPr>
          <w:p>
            <w:pPr>
              <w:pStyle w:val="TableContents"/>
              <w:bidi w:val="0"/>
              <w:spacing w:before="0" w:after="1"/>
              <w:ind w:left="0" w:right="0" w:hanging="0"/>
              <w:jc w:val="left"/>
              <w:rPr/>
            </w:pPr>
            <w:r>
              <w:rPr/>
              <w:t>  ​ ​ ​</w:t>
            </w:r>
          </w:p>
        </w:tc>
        <w:tc>
          <w:tcPr>
            <w:tcW w:w="600"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1" w:type="dxa"/>
            <w:tcBorders/>
            <w:vAlign w:val="center"/>
          </w:tcPr>
          <w:p>
            <w:pPr>
              <w:pStyle w:val="TableContents"/>
              <w:bidi w:val="0"/>
              <w:spacing w:before="0" w:after="1"/>
              <w:ind w:left="0" w:right="0" w:hanging="0"/>
              <w:jc w:val="left"/>
              <w:rPr/>
            </w:pPr>
            <w:r>
              <w:rPr/>
              <w:t>  ​ ​ ​</w:t>
            </w:r>
          </w:p>
        </w:tc>
        <w:tc>
          <w:tcPr>
            <w:tcW w:w="346" w:type="dxa"/>
            <w:tcBorders/>
            <w:vAlign w:val="center"/>
          </w:tcPr>
          <w:p>
            <w:pPr>
              <w:pStyle w:val="TableContents"/>
              <w:bidi w:val="0"/>
              <w:spacing w:before="0" w:after="1"/>
              <w:ind w:left="0" w:right="0" w:hanging="0"/>
              <w:jc w:val="left"/>
              <w:rPr/>
            </w:pPr>
            <w:r>
              <w:rPr/>
              <w:t>  ​ ​ ​</w:t>
            </w:r>
          </w:p>
        </w:tc>
        <w:tc>
          <w:tcPr>
            <w:tcW w:w="529"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97" w:type="dxa"/>
            <w:tcBorders/>
            <w:vAlign w:val="center"/>
          </w:tcPr>
          <w:p>
            <w:pPr>
              <w:pStyle w:val="TableContents"/>
              <w:bidi w:val="0"/>
              <w:spacing w:before="0" w:after="1"/>
              <w:ind w:left="0" w:right="0" w:hanging="0"/>
              <w:jc w:val="left"/>
              <w:rPr/>
            </w:pPr>
            <w:r>
              <w:rPr/>
              <w:t>  ​ ​ ​</w:t>
            </w:r>
          </w:p>
        </w:tc>
        <w:tc>
          <w:tcPr>
            <w:tcW w:w="529"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06" w:type="dxa"/>
            <w:tcBorders/>
            <w:vAlign w:val="center"/>
          </w:tcPr>
          <w:p>
            <w:pPr>
              <w:pStyle w:val="TableContents"/>
              <w:bidi w:val="0"/>
              <w:spacing w:before="0" w:after="1"/>
              <w:ind w:left="0" w:right="0" w:hanging="0"/>
              <w:jc w:val="left"/>
              <w:rPr/>
            </w:pPr>
            <w:r>
              <w:rPr/>
              <w:t>  ​ ​ ​</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shd w:fill="CCEEFF" w:val="clear"/>
            <w:vAlign w:val="center"/>
          </w:tcPr>
          <w:p>
            <w:pPr>
              <w:pStyle w:val="TableContents"/>
              <w:bidi w:val="0"/>
              <w:spacing w:before="0" w:after="1"/>
              <w:ind w:left="0" w:right="0" w:hanging="0"/>
              <w:jc w:val="left"/>
              <w:rPr/>
            </w:pPr>
            <w:r>
              <w:rPr/>
              <w:t> </w:t>
            </w:r>
          </w:p>
        </w:tc>
        <w:tc>
          <w:tcPr>
            <w:tcW w:w="6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45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6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52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9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52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4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vAlign w:val="center"/>
          </w:tcPr>
          <w:p>
            <w:pPr>
              <w:pStyle w:val="TableContents"/>
              <w:bidi w:val="0"/>
              <w:spacing w:before="0" w:after="1"/>
              <w:ind w:left="0" w:right="0" w:hanging="0"/>
              <w:jc w:val="left"/>
              <w:rPr/>
            </w:pPr>
            <w:r>
              <w:rPr/>
              <w:t> </w:t>
            </w:r>
          </w:p>
        </w:tc>
        <w:tc>
          <w:tcPr>
            <w:tcW w:w="60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51.4</w:t>
            </w:r>
          </w:p>
        </w:tc>
        <w:tc>
          <w:tcPr>
            <w:tcW w:w="450" w:type="dxa"/>
            <w:tcBorders/>
            <w:vAlign w:val="center"/>
          </w:tcPr>
          <w:p>
            <w:pPr>
              <w:pStyle w:val="TableContents"/>
              <w:bidi w:val="0"/>
              <w:spacing w:before="0" w:after="1"/>
              <w:ind w:left="0" w:right="0" w:hanging="0"/>
              <w:jc w:val="left"/>
              <w:rPr/>
            </w:pPr>
            <w:r>
              <w:rPr/>
              <w:t> </w:t>
            </w:r>
          </w:p>
        </w:tc>
        <w:tc>
          <w:tcPr>
            <w:tcW w:w="60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48.2</w:t>
            </w:r>
          </w:p>
        </w:tc>
        <w:tc>
          <w:tcPr>
            <w:tcW w:w="361" w:type="dxa"/>
            <w:tcBorders/>
            <w:vAlign w:val="center"/>
          </w:tcPr>
          <w:p>
            <w:pPr>
              <w:pStyle w:val="TableContents"/>
              <w:bidi w:val="0"/>
              <w:spacing w:before="0" w:after="1"/>
              <w:ind w:left="0" w:right="0" w:hanging="0"/>
              <w:jc w:val="left"/>
              <w:rPr/>
            </w:pPr>
            <w:r>
              <w:rPr/>
              <w:t> </w:t>
            </w:r>
          </w:p>
        </w:tc>
        <w:tc>
          <w:tcPr>
            <w:tcW w:w="346" w:type="dxa"/>
            <w:tcBorders/>
            <w:vAlign w:val="center"/>
          </w:tcPr>
          <w:p>
            <w:pPr>
              <w:pStyle w:val="TableContents"/>
              <w:bidi w:val="0"/>
              <w:spacing w:before="0" w:after="1"/>
              <w:ind w:left="0" w:right="0" w:hanging="0"/>
              <w:jc w:val="left"/>
              <w:rPr/>
            </w:pPr>
            <w:r>
              <w:rPr/>
              <w:t> </w:t>
            </w:r>
          </w:p>
        </w:tc>
        <w:tc>
          <w:tcPr>
            <w:tcW w:w="52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w:t>
            </w:r>
          </w:p>
        </w:tc>
        <w:tc>
          <w:tcPr>
            <w:tcW w:w="397" w:type="dxa"/>
            <w:tcBorders/>
            <w:vAlign w:val="center"/>
          </w:tcPr>
          <w:p>
            <w:pPr>
              <w:pStyle w:val="TableContents"/>
              <w:bidi w:val="0"/>
              <w:spacing w:before="0" w:after="1"/>
              <w:ind w:left="0" w:right="0" w:hanging="0"/>
              <w:jc w:val="left"/>
              <w:rPr/>
            </w:pPr>
            <w:r>
              <w:rPr/>
              <w:t>​</w:t>
            </w:r>
          </w:p>
        </w:tc>
        <w:tc>
          <w:tcPr>
            <w:tcW w:w="52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48.3</w:t>
            </w:r>
          </w:p>
        </w:tc>
        <w:tc>
          <w:tcPr>
            <w:tcW w:w="406" w:type="dxa"/>
            <w:tcBorders/>
            <w:vAlign w:val="center"/>
          </w:tcPr>
          <w:p>
            <w:pPr>
              <w:pStyle w:val="TableContents"/>
              <w:bidi w:val="0"/>
              <w:spacing w:before="0" w:after="1"/>
              <w:ind w:left="0" w:right="0" w:hanging="0"/>
              <w:jc w:val="left"/>
              <w:rPr/>
            </w:pPr>
            <w:r>
              <w:rPr/>
              <w:t> </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46" w:type="dxa"/>
            <w:tcBorders/>
            <w:shd w:fill="CCEEFF" w:val="clear"/>
            <w:vAlign w:val="center"/>
          </w:tcPr>
          <w:p>
            <w:pPr>
              <w:pStyle w:val="TableContents"/>
              <w:bidi w:val="0"/>
              <w:spacing w:before="0" w:after="1"/>
              <w:ind w:left="0" w:right="0" w:hanging="0"/>
              <w:jc w:val="left"/>
              <w:rPr/>
            </w:pPr>
            <w:r>
              <w:rPr/>
              <w:t> </w:t>
            </w:r>
          </w:p>
        </w:tc>
        <w:tc>
          <w:tcPr>
            <w:tcW w:w="6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30.9</w:t>
            </w:r>
          </w:p>
        </w:tc>
        <w:tc>
          <w:tcPr>
            <w:tcW w:w="450" w:type="dxa"/>
            <w:tcBorders/>
            <w:shd w:fill="CCEEFF" w:val="clear"/>
            <w:vAlign w:val="center"/>
          </w:tcPr>
          <w:p>
            <w:pPr>
              <w:pStyle w:val="TableContents"/>
              <w:bidi w:val="0"/>
              <w:spacing w:before="0" w:after="1"/>
              <w:ind w:left="0" w:right="0" w:hanging="0"/>
              <w:jc w:val="left"/>
              <w:rPr/>
            </w:pPr>
            <w:r>
              <w:rPr/>
              <w:t> </w:t>
            </w:r>
          </w:p>
        </w:tc>
        <w:tc>
          <w:tcPr>
            <w:tcW w:w="6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29.6</w:t>
            </w:r>
          </w:p>
        </w:tc>
        <w:tc>
          <w:tcPr>
            <w:tcW w:w="361" w:type="dxa"/>
            <w:tcBorders/>
            <w:shd w:fill="CCEEFF" w:val="clear"/>
            <w:vAlign w:val="center"/>
          </w:tcPr>
          <w:p>
            <w:pPr>
              <w:pStyle w:val="TableContents"/>
              <w:bidi w:val="0"/>
              <w:spacing w:before="0" w:after="1"/>
              <w:ind w:left="0" w:right="0" w:hanging="0"/>
              <w:jc w:val="lef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52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30.9</w:t>
            </w:r>
          </w:p>
        </w:tc>
        <w:tc>
          <w:tcPr>
            <w:tcW w:w="397" w:type="dxa"/>
            <w:tcBorders/>
            <w:shd w:fill="CCEEFF" w:val="clear"/>
            <w:vAlign w:val="center"/>
          </w:tcPr>
          <w:p>
            <w:pPr>
              <w:pStyle w:val="TableContents"/>
              <w:bidi w:val="0"/>
              <w:spacing w:before="0" w:after="1"/>
              <w:ind w:left="0" w:right="0" w:hanging="0"/>
              <w:jc w:val="left"/>
              <w:rPr/>
            </w:pPr>
            <w:r>
              <w:rPr/>
              <w:t>​</w:t>
            </w:r>
          </w:p>
        </w:tc>
        <w:tc>
          <w:tcPr>
            <w:tcW w:w="52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29.9</w:t>
            </w:r>
          </w:p>
        </w:tc>
        <w:tc>
          <w:tcPr>
            <w:tcW w:w="406" w:type="dxa"/>
            <w:tcBorders/>
            <w:shd w:fill="CCEEFF" w:val="clear"/>
            <w:vAlign w:val="center"/>
          </w:tcPr>
          <w:p>
            <w:pPr>
              <w:pStyle w:val="TableContents"/>
              <w:bidi w:val="0"/>
              <w:spacing w:before="0" w:after="1"/>
              <w:ind w:left="0" w:right="0" w:hanging="0"/>
              <w:jc w:val="left"/>
              <w:rPr/>
            </w:pPr>
            <w:r>
              <w:rPr/>
              <w:t> </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 expenses</w:t>
            </w:r>
          </w:p>
        </w:tc>
        <w:tc>
          <w:tcPr>
            <w:tcW w:w="346" w:type="dxa"/>
            <w:tcBorders/>
            <w:vAlign w:val="center"/>
          </w:tcPr>
          <w:p>
            <w:pPr>
              <w:pStyle w:val="TableContents"/>
              <w:bidi w:val="0"/>
              <w:spacing w:before="0" w:after="1"/>
              <w:ind w:left="0" w:right="0" w:hanging="0"/>
              <w:jc w:val="left"/>
              <w:rPr/>
            </w:pPr>
            <w:r>
              <w:rPr/>
              <w:t> </w:t>
            </w:r>
          </w:p>
        </w:tc>
        <w:tc>
          <w:tcPr>
            <w:tcW w:w="60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w:t>
            </w:r>
          </w:p>
        </w:tc>
        <w:tc>
          <w:tcPr>
            <w:tcW w:w="450" w:type="dxa"/>
            <w:tcBorders/>
            <w:vAlign w:val="center"/>
          </w:tcPr>
          <w:p>
            <w:pPr>
              <w:pStyle w:val="TableContents"/>
              <w:bidi w:val="0"/>
              <w:spacing w:before="0" w:after="1"/>
              <w:ind w:left="0" w:right="0" w:hanging="0"/>
              <w:jc w:val="left"/>
              <w:rPr/>
            </w:pPr>
            <w:r>
              <w:rPr/>
              <w:t> </w:t>
            </w:r>
          </w:p>
        </w:tc>
        <w:tc>
          <w:tcPr>
            <w:tcW w:w="60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w:t>
            </w:r>
          </w:p>
        </w:tc>
        <w:tc>
          <w:tcPr>
            <w:tcW w:w="361" w:type="dxa"/>
            <w:tcBorders/>
            <w:vAlign w:val="center"/>
          </w:tcPr>
          <w:p>
            <w:pPr>
              <w:pStyle w:val="TableContents"/>
              <w:bidi w:val="0"/>
              <w:spacing w:before="0" w:after="1"/>
              <w:ind w:left="0" w:right="0" w:hanging="0"/>
              <w:jc w:val="left"/>
              <w:rPr/>
            </w:pPr>
            <w:r>
              <w:rPr/>
              <w:t> </w:t>
            </w:r>
          </w:p>
        </w:tc>
        <w:tc>
          <w:tcPr>
            <w:tcW w:w="346" w:type="dxa"/>
            <w:tcBorders/>
            <w:vAlign w:val="center"/>
          </w:tcPr>
          <w:p>
            <w:pPr>
              <w:pStyle w:val="TableContents"/>
              <w:bidi w:val="0"/>
              <w:spacing w:before="0" w:after="1"/>
              <w:ind w:left="0" w:right="0" w:hanging="0"/>
              <w:jc w:val="left"/>
              <w:rPr/>
            </w:pPr>
            <w:r>
              <w:rPr/>
              <w:t> </w:t>
            </w:r>
          </w:p>
        </w:tc>
        <w:tc>
          <w:tcPr>
            <w:tcW w:w="52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w:t>
            </w:r>
          </w:p>
        </w:tc>
        <w:tc>
          <w:tcPr>
            <w:tcW w:w="397" w:type="dxa"/>
            <w:tcBorders/>
            <w:vAlign w:val="center"/>
          </w:tcPr>
          <w:p>
            <w:pPr>
              <w:pStyle w:val="TableContents"/>
              <w:bidi w:val="0"/>
              <w:spacing w:before="0" w:after="1"/>
              <w:ind w:left="0" w:right="0" w:hanging="0"/>
              <w:jc w:val="left"/>
              <w:rPr/>
            </w:pPr>
            <w:r>
              <w:rPr/>
              <w:t>​</w:t>
            </w:r>
          </w:p>
        </w:tc>
        <w:tc>
          <w:tcPr>
            <w:tcW w:w="52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w:t>
            </w:r>
          </w:p>
        </w:tc>
        <w:tc>
          <w:tcPr>
            <w:tcW w:w="406" w:type="dxa"/>
            <w:tcBorders/>
            <w:vAlign w:val="center"/>
          </w:tcPr>
          <w:p>
            <w:pPr>
              <w:pStyle w:val="TableContents"/>
              <w:bidi w:val="0"/>
              <w:spacing w:before="0" w:after="1"/>
              <w:ind w:left="0" w:right="0" w:hanging="0"/>
              <w:jc w:val="left"/>
              <w:rPr/>
            </w:pPr>
            <w:r>
              <w:rPr/>
              <w:t> </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Contingent consideration (benefit) expense</w:t>
            </w:r>
          </w:p>
        </w:tc>
        <w:tc>
          <w:tcPr>
            <w:tcW w:w="346" w:type="dxa"/>
            <w:tcBorders/>
            <w:shd w:fill="CCEEFF" w:val="clear"/>
            <w:vAlign w:val="center"/>
          </w:tcPr>
          <w:p>
            <w:pPr>
              <w:pStyle w:val="TableContents"/>
              <w:bidi w:val="0"/>
              <w:spacing w:before="0" w:after="1"/>
              <w:ind w:left="0" w:right="0" w:hanging="0"/>
              <w:jc w:val="left"/>
              <w:rPr/>
            </w:pPr>
            <w:r>
              <w:rPr/>
              <w:t> </w:t>
            </w:r>
          </w:p>
        </w:tc>
        <w:tc>
          <w:tcPr>
            <w:tcW w:w="6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w:t>
            </w:r>
          </w:p>
        </w:tc>
        <w:tc>
          <w:tcPr>
            <w:tcW w:w="450" w:type="dxa"/>
            <w:tcBorders/>
            <w:shd w:fill="CCEEFF" w:val="clear"/>
            <w:vAlign w:val="center"/>
          </w:tcPr>
          <w:p>
            <w:pPr>
              <w:pStyle w:val="TableContents"/>
              <w:bidi w:val="0"/>
              <w:spacing w:before="0" w:after="1"/>
              <w:ind w:left="0" w:right="0" w:hanging="0"/>
              <w:jc w:val="left"/>
              <w:rPr/>
            </w:pPr>
            <w:r>
              <w:rPr/>
              <w:t> </w:t>
            </w:r>
          </w:p>
        </w:tc>
        <w:tc>
          <w:tcPr>
            <w:tcW w:w="6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w:t>
            </w:r>
          </w:p>
        </w:tc>
        <w:tc>
          <w:tcPr>
            <w:tcW w:w="361" w:type="dxa"/>
            <w:tcBorders/>
            <w:shd w:fill="CCEEFF" w:val="clear"/>
            <w:vAlign w:val="center"/>
          </w:tcPr>
          <w:p>
            <w:pPr>
              <w:pStyle w:val="TableContents"/>
              <w:bidi w:val="0"/>
              <w:spacing w:before="0" w:after="1"/>
              <w:ind w:left="0" w:right="0" w:hanging="0"/>
              <w:jc w:val="lef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52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w:t>
            </w:r>
          </w:p>
        </w:tc>
        <w:tc>
          <w:tcPr>
            <w:tcW w:w="397" w:type="dxa"/>
            <w:tcBorders/>
            <w:shd w:fill="CCEEFF" w:val="clear"/>
            <w:vAlign w:val="center"/>
          </w:tcPr>
          <w:p>
            <w:pPr>
              <w:pStyle w:val="TableContents"/>
              <w:bidi w:val="0"/>
              <w:spacing w:before="0" w:after="1"/>
              <w:ind w:left="0" w:right="0" w:hanging="0"/>
              <w:jc w:val="left"/>
              <w:rPr/>
            </w:pPr>
            <w:r>
              <w:rPr/>
              <w:t>​</w:t>
            </w:r>
          </w:p>
        </w:tc>
        <w:tc>
          <w:tcPr>
            <w:tcW w:w="52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w:t>
            </w:r>
          </w:p>
        </w:tc>
        <w:tc>
          <w:tcPr>
            <w:tcW w:w="406" w:type="dxa"/>
            <w:tcBorders/>
            <w:shd w:fill="CCEEFF" w:val="clear"/>
            <w:vAlign w:val="center"/>
          </w:tcPr>
          <w:p>
            <w:pPr>
              <w:pStyle w:val="TableContents"/>
              <w:bidi w:val="0"/>
              <w:spacing w:before="0" w:after="1"/>
              <w:ind w:left="0" w:right="0" w:hanging="0"/>
              <w:jc w:val="left"/>
              <w:rPr/>
            </w:pPr>
            <w:r>
              <w:rPr/>
              <w:t> </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from operations</w:t>
            </w:r>
          </w:p>
        </w:tc>
        <w:tc>
          <w:tcPr>
            <w:tcW w:w="346" w:type="dxa"/>
            <w:tcBorders/>
            <w:vAlign w:val="center"/>
          </w:tcPr>
          <w:p>
            <w:pPr>
              <w:pStyle w:val="TableContents"/>
              <w:bidi w:val="0"/>
              <w:spacing w:before="0" w:after="1"/>
              <w:ind w:left="0" w:right="0" w:hanging="0"/>
              <w:jc w:val="left"/>
              <w:rPr/>
            </w:pPr>
            <w:r>
              <w:rPr/>
              <w:t> </w:t>
            </w:r>
          </w:p>
        </w:tc>
        <w:tc>
          <w:tcPr>
            <w:tcW w:w="60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w:t>
            </w:r>
          </w:p>
        </w:tc>
        <w:tc>
          <w:tcPr>
            <w:tcW w:w="450" w:type="dxa"/>
            <w:tcBorders/>
            <w:vAlign w:val="center"/>
          </w:tcPr>
          <w:p>
            <w:pPr>
              <w:pStyle w:val="TableContents"/>
              <w:bidi w:val="0"/>
              <w:spacing w:before="0" w:after="1"/>
              <w:ind w:left="0" w:right="0" w:hanging="0"/>
              <w:jc w:val="left"/>
              <w:rPr/>
            </w:pPr>
            <w:r>
              <w:rPr/>
              <w:t> </w:t>
            </w:r>
          </w:p>
        </w:tc>
        <w:tc>
          <w:tcPr>
            <w:tcW w:w="60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w:t>
            </w:r>
          </w:p>
        </w:tc>
        <w:tc>
          <w:tcPr>
            <w:tcW w:w="361" w:type="dxa"/>
            <w:tcBorders/>
            <w:vAlign w:val="center"/>
          </w:tcPr>
          <w:p>
            <w:pPr>
              <w:pStyle w:val="TableContents"/>
              <w:bidi w:val="0"/>
              <w:spacing w:before="0" w:after="1"/>
              <w:ind w:left="0" w:right="0" w:hanging="0"/>
              <w:jc w:val="left"/>
              <w:rPr/>
            </w:pPr>
            <w:r>
              <w:rPr/>
              <w:t> </w:t>
            </w:r>
          </w:p>
        </w:tc>
        <w:tc>
          <w:tcPr>
            <w:tcW w:w="346" w:type="dxa"/>
            <w:tcBorders/>
            <w:vAlign w:val="center"/>
          </w:tcPr>
          <w:p>
            <w:pPr>
              <w:pStyle w:val="TableContents"/>
              <w:bidi w:val="0"/>
              <w:spacing w:before="0" w:after="1"/>
              <w:ind w:left="0" w:right="0" w:hanging="0"/>
              <w:jc w:val="left"/>
              <w:rPr/>
            </w:pPr>
            <w:r>
              <w:rPr/>
              <w:t> </w:t>
            </w:r>
          </w:p>
        </w:tc>
        <w:tc>
          <w:tcPr>
            <w:tcW w:w="52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w:t>
            </w:r>
          </w:p>
        </w:tc>
        <w:tc>
          <w:tcPr>
            <w:tcW w:w="397" w:type="dxa"/>
            <w:tcBorders/>
            <w:vAlign w:val="center"/>
          </w:tcPr>
          <w:p>
            <w:pPr>
              <w:pStyle w:val="TableContents"/>
              <w:bidi w:val="0"/>
              <w:spacing w:before="0" w:after="1"/>
              <w:ind w:left="0" w:right="0" w:hanging="0"/>
              <w:jc w:val="left"/>
              <w:rPr/>
            </w:pPr>
            <w:r>
              <w:rPr/>
              <w:t>​</w:t>
            </w:r>
          </w:p>
        </w:tc>
        <w:tc>
          <w:tcPr>
            <w:tcW w:w="52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w:t>
            </w:r>
          </w:p>
        </w:tc>
        <w:tc>
          <w:tcPr>
            <w:tcW w:w="406" w:type="dxa"/>
            <w:tcBorders/>
            <w:vAlign w:val="center"/>
          </w:tcPr>
          <w:p>
            <w:pPr>
              <w:pStyle w:val="TableContents"/>
              <w:bidi w:val="0"/>
              <w:spacing w:before="0" w:after="1"/>
              <w:ind w:left="0" w:right="0" w:hanging="0"/>
              <w:jc w:val="left"/>
              <w:rPr/>
            </w:pPr>
            <w:r>
              <w:rPr/>
              <w:t> </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 (expense) — net</w:t>
            </w:r>
          </w:p>
        </w:tc>
        <w:tc>
          <w:tcPr>
            <w:tcW w:w="346" w:type="dxa"/>
            <w:tcBorders/>
            <w:shd w:fill="CCEEFF" w:val="clear"/>
            <w:vAlign w:val="center"/>
          </w:tcPr>
          <w:p>
            <w:pPr>
              <w:pStyle w:val="TableContents"/>
              <w:bidi w:val="0"/>
              <w:spacing w:before="0" w:after="1"/>
              <w:ind w:left="0" w:right="0" w:hanging="0"/>
              <w:jc w:val="left"/>
              <w:rPr/>
            </w:pPr>
            <w:r>
              <w:rPr/>
              <w:t> </w:t>
            </w:r>
          </w:p>
        </w:tc>
        <w:tc>
          <w:tcPr>
            <w:tcW w:w="6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450" w:type="dxa"/>
            <w:tcBorders/>
            <w:shd w:fill="CCEEFF" w:val="clear"/>
            <w:vAlign w:val="center"/>
          </w:tcPr>
          <w:p>
            <w:pPr>
              <w:pStyle w:val="TableContents"/>
              <w:bidi w:val="0"/>
              <w:spacing w:before="0" w:after="1"/>
              <w:ind w:left="0" w:right="0" w:hanging="0"/>
              <w:jc w:val="left"/>
              <w:rPr/>
            </w:pPr>
            <w:r>
              <w:rPr/>
              <w:t> </w:t>
            </w:r>
          </w:p>
        </w:tc>
        <w:tc>
          <w:tcPr>
            <w:tcW w:w="6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(0.9)</w:t>
            </w:r>
          </w:p>
        </w:tc>
        <w:tc>
          <w:tcPr>
            <w:tcW w:w="361" w:type="dxa"/>
            <w:tcBorders/>
            <w:shd w:fill="CCEEFF" w:val="clear"/>
            <w:vAlign w:val="center"/>
          </w:tcPr>
          <w:p>
            <w:pPr>
              <w:pStyle w:val="TableContents"/>
              <w:bidi w:val="0"/>
              <w:spacing w:before="0" w:after="1"/>
              <w:ind w:left="0" w:right="0" w:hanging="0"/>
              <w:jc w:val="lef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52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w:t>
            </w:r>
          </w:p>
        </w:tc>
        <w:tc>
          <w:tcPr>
            <w:tcW w:w="397" w:type="dxa"/>
            <w:tcBorders/>
            <w:shd w:fill="CCEEFF" w:val="clear"/>
            <w:vAlign w:val="center"/>
          </w:tcPr>
          <w:p>
            <w:pPr>
              <w:pStyle w:val="TableContents"/>
              <w:bidi w:val="0"/>
              <w:spacing w:before="0" w:after="1"/>
              <w:ind w:left="0" w:right="0" w:hanging="0"/>
              <w:jc w:val="left"/>
              <w:rPr/>
            </w:pPr>
            <w:r>
              <w:rPr/>
              <w:t>​</w:t>
            </w:r>
          </w:p>
        </w:tc>
        <w:tc>
          <w:tcPr>
            <w:tcW w:w="52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(0.9)</w:t>
            </w:r>
          </w:p>
        </w:tc>
        <w:tc>
          <w:tcPr>
            <w:tcW w:w="406" w:type="dxa"/>
            <w:tcBorders/>
            <w:shd w:fill="CCEEFF" w:val="clear"/>
            <w:vAlign w:val="center"/>
          </w:tcPr>
          <w:p>
            <w:pPr>
              <w:pStyle w:val="TableContents"/>
              <w:bidi w:val="0"/>
              <w:spacing w:before="0" w:after="1"/>
              <w:ind w:left="0" w:right="0" w:hanging="0"/>
              <w:jc w:val="left"/>
              <w:rPr/>
            </w:pPr>
            <w:r>
              <w:rPr/>
              <w:t> </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before income taxes</w:t>
            </w:r>
          </w:p>
        </w:tc>
        <w:tc>
          <w:tcPr>
            <w:tcW w:w="346" w:type="dxa"/>
            <w:tcBorders/>
            <w:vAlign w:val="center"/>
          </w:tcPr>
          <w:p>
            <w:pPr>
              <w:pStyle w:val="TableContents"/>
              <w:bidi w:val="0"/>
              <w:spacing w:before="0" w:after="1"/>
              <w:ind w:left="0" w:right="0" w:hanging="0"/>
              <w:jc w:val="left"/>
              <w:rPr/>
            </w:pPr>
            <w:r>
              <w:rPr/>
              <w:t> </w:t>
            </w:r>
          </w:p>
        </w:tc>
        <w:tc>
          <w:tcPr>
            <w:tcW w:w="60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w:t>
            </w:r>
          </w:p>
        </w:tc>
        <w:tc>
          <w:tcPr>
            <w:tcW w:w="450" w:type="dxa"/>
            <w:tcBorders/>
            <w:vAlign w:val="center"/>
          </w:tcPr>
          <w:p>
            <w:pPr>
              <w:pStyle w:val="TableContents"/>
              <w:bidi w:val="0"/>
              <w:spacing w:before="0" w:after="1"/>
              <w:ind w:left="0" w:right="0" w:hanging="0"/>
              <w:jc w:val="left"/>
              <w:rPr/>
            </w:pPr>
            <w:r>
              <w:rPr/>
              <w:t> </w:t>
            </w:r>
          </w:p>
        </w:tc>
        <w:tc>
          <w:tcPr>
            <w:tcW w:w="60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w:t>
            </w:r>
          </w:p>
        </w:tc>
        <w:tc>
          <w:tcPr>
            <w:tcW w:w="361" w:type="dxa"/>
            <w:tcBorders/>
            <w:vAlign w:val="center"/>
          </w:tcPr>
          <w:p>
            <w:pPr>
              <w:pStyle w:val="TableContents"/>
              <w:bidi w:val="0"/>
              <w:spacing w:before="0" w:after="1"/>
              <w:ind w:left="0" w:right="0" w:hanging="0"/>
              <w:jc w:val="left"/>
              <w:rPr/>
            </w:pPr>
            <w:r>
              <w:rPr/>
              <w:t> </w:t>
            </w:r>
          </w:p>
        </w:tc>
        <w:tc>
          <w:tcPr>
            <w:tcW w:w="346" w:type="dxa"/>
            <w:tcBorders/>
            <w:vAlign w:val="center"/>
          </w:tcPr>
          <w:p>
            <w:pPr>
              <w:pStyle w:val="TableContents"/>
              <w:bidi w:val="0"/>
              <w:spacing w:before="0" w:after="1"/>
              <w:ind w:left="0" w:right="0" w:hanging="0"/>
              <w:jc w:val="left"/>
              <w:rPr/>
            </w:pPr>
            <w:r>
              <w:rPr/>
              <w:t> </w:t>
            </w:r>
          </w:p>
        </w:tc>
        <w:tc>
          <w:tcPr>
            <w:tcW w:w="52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w:t>
            </w:r>
          </w:p>
        </w:tc>
        <w:tc>
          <w:tcPr>
            <w:tcW w:w="397" w:type="dxa"/>
            <w:tcBorders/>
            <w:vAlign w:val="center"/>
          </w:tcPr>
          <w:p>
            <w:pPr>
              <w:pStyle w:val="TableContents"/>
              <w:bidi w:val="0"/>
              <w:spacing w:before="0" w:after="1"/>
              <w:ind w:left="0" w:right="0" w:hanging="0"/>
              <w:jc w:val="left"/>
              <w:rPr/>
            </w:pPr>
            <w:r>
              <w:rPr/>
              <w:t>​</w:t>
            </w:r>
          </w:p>
        </w:tc>
        <w:tc>
          <w:tcPr>
            <w:tcW w:w="52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w:t>
            </w:r>
          </w:p>
        </w:tc>
        <w:tc>
          <w:tcPr>
            <w:tcW w:w="406" w:type="dxa"/>
            <w:tcBorders/>
            <w:vAlign w:val="center"/>
          </w:tcPr>
          <w:p>
            <w:pPr>
              <w:pStyle w:val="TableContents"/>
              <w:bidi w:val="0"/>
              <w:spacing w:before="0" w:after="1"/>
              <w:ind w:left="0" w:right="0" w:hanging="0"/>
              <w:jc w:val="left"/>
              <w:rPr/>
            </w:pPr>
            <w:r>
              <w:rPr/>
              <w:t> </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shd w:fill="CCEEFF" w:val="clear"/>
            <w:vAlign w:val="center"/>
          </w:tcPr>
          <w:p>
            <w:pPr>
              <w:pStyle w:val="TableContents"/>
              <w:bidi w:val="0"/>
              <w:spacing w:before="0" w:after="1"/>
              <w:ind w:left="0" w:right="0" w:hanging="0"/>
              <w:jc w:val="left"/>
              <w:rPr/>
            </w:pPr>
            <w:r>
              <w:rPr/>
              <w:t> </w:t>
            </w:r>
          </w:p>
        </w:tc>
        <w:tc>
          <w:tcPr>
            <w:tcW w:w="6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w:t>
            </w:r>
          </w:p>
        </w:tc>
        <w:tc>
          <w:tcPr>
            <w:tcW w:w="450" w:type="dxa"/>
            <w:tcBorders/>
            <w:shd w:fill="CCEEFF" w:val="clear"/>
            <w:vAlign w:val="center"/>
          </w:tcPr>
          <w:p>
            <w:pPr>
              <w:pStyle w:val="TableContents"/>
              <w:bidi w:val="0"/>
              <w:spacing w:before="0" w:after="1"/>
              <w:ind w:left="0" w:right="0" w:hanging="0"/>
              <w:jc w:val="left"/>
              <w:rPr/>
            </w:pPr>
            <w:r>
              <w:rPr/>
              <w:t> </w:t>
            </w:r>
          </w:p>
        </w:tc>
        <w:tc>
          <w:tcPr>
            <w:tcW w:w="6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w:t>
            </w:r>
          </w:p>
        </w:tc>
        <w:tc>
          <w:tcPr>
            <w:tcW w:w="361" w:type="dxa"/>
            <w:tcBorders/>
            <w:shd w:fill="CCEEFF" w:val="clear"/>
            <w:vAlign w:val="center"/>
          </w:tcPr>
          <w:p>
            <w:pPr>
              <w:pStyle w:val="TableContents"/>
              <w:bidi w:val="0"/>
              <w:spacing w:before="0" w:after="1"/>
              <w:ind w:left="0" w:right="0" w:hanging="0"/>
              <w:jc w:val="lef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52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97" w:type="dxa"/>
            <w:tcBorders/>
            <w:shd w:fill="CCEEFF" w:val="clear"/>
            <w:vAlign w:val="center"/>
          </w:tcPr>
          <w:p>
            <w:pPr>
              <w:pStyle w:val="TableContents"/>
              <w:bidi w:val="0"/>
              <w:spacing w:before="0" w:after="1"/>
              <w:ind w:left="0" w:right="0" w:hanging="0"/>
              <w:jc w:val="left"/>
              <w:rPr/>
            </w:pPr>
            <w:r>
              <w:rPr/>
              <w:t>​</w:t>
            </w:r>
          </w:p>
        </w:tc>
        <w:tc>
          <w:tcPr>
            <w:tcW w:w="52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w:t>
            </w:r>
          </w:p>
        </w:tc>
        <w:tc>
          <w:tcPr>
            <w:tcW w:w="406" w:type="dxa"/>
            <w:tcBorders/>
            <w:shd w:fill="CCEEFF" w:val="clear"/>
            <w:vAlign w:val="center"/>
          </w:tcPr>
          <w:p>
            <w:pPr>
              <w:pStyle w:val="TableContents"/>
              <w:bidi w:val="0"/>
              <w:spacing w:before="0" w:after="1"/>
              <w:ind w:left="0" w:right="0" w:hanging="0"/>
              <w:jc w:val="left"/>
              <w:rPr/>
            </w:pPr>
            <w:r>
              <w:rPr/>
              <w:t>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Sales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Sales for the three-month period ended June 30, 2026 increased by 9.5%, or $36.4 million, compared to the corresponding period in 2025. Sales for the six-month period ended June 30, 2026 increased by 8.5%, or $62.9 million, compared to the corresponding period in 2025. Listed below are the sales by product category and platform for the three and six-month periods ended June 30, 2026 and 2025 (in thousands, other than percentage changes):</w:t>
      </w:r>
    </w:p>
    <w:tbl>
      <w:tblPr>
        <w:tblW w:w="9760" w:type="dxa"/>
        <w:jc w:val="left"/>
        <w:tblInd w:w="0" w:type="dxa"/>
        <w:tblLayout w:type="fixed"/>
        <w:tblCellMar>
          <w:top w:w="0" w:type="dxa"/>
          <w:left w:w="0" w:type="dxa"/>
          <w:bottom w:w="0" w:type="dxa"/>
          <w:right w:w="0" w:type="dxa"/>
        </w:tblCellMar>
      </w:tblPr>
      <w:tblGrid>
        <w:gridCol w:w="1621"/>
        <w:gridCol w:w="346"/>
        <w:gridCol w:w="871"/>
        <w:gridCol w:w="361"/>
        <w:gridCol w:w="109"/>
        <w:gridCol w:w="211"/>
        <w:gridCol w:w="781"/>
        <w:gridCol w:w="346"/>
        <w:gridCol w:w="211"/>
        <w:gridCol w:w="781"/>
        <w:gridCol w:w="346"/>
        <w:gridCol w:w="871"/>
        <w:gridCol w:w="361"/>
        <w:gridCol w:w="109"/>
        <w:gridCol w:w="211"/>
        <w:gridCol w:w="781"/>
        <w:gridCol w:w="346"/>
        <w:gridCol w:w="211"/>
        <w:gridCol w:w="886"/>
      </w:tblGrid>
      <w:tr>
        <w:trPr/>
        <w:tc>
          <w:tcPr>
            <w:tcW w:w="16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1029335" cy="175260"/>
                      <wp:effectExtent l="0" t="0" r="0" b="0"/>
                      <wp:wrapNone/>
                      <wp:docPr id="325" name="Frame324"/>
                      <a:graphic xmlns:a="http://schemas.openxmlformats.org/drawingml/2006/main">
                        <a:graphicData uri="http://schemas.microsoft.com/office/word/2010/wordprocessingShape">
                          <wps:wsp>
                            <wps:cNvSpPr txBox="1"/>
                            <wps:spPr>
                              <a:xfrm>
                                <a:off x="0" y="0"/>
                                <a:ext cx="1029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219710" cy="175260"/>
                      <wp:effectExtent l="0" t="0" r="0" b="0"/>
                      <wp:wrapNone/>
                      <wp:docPr id="326" name="Frame3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553085" cy="175260"/>
                      <wp:effectExtent l="0" t="0" r="0" b="0"/>
                      <wp:wrapNone/>
                      <wp:docPr id="327" name="Frame326"/>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229235" cy="175260"/>
                      <wp:effectExtent l="0" t="0" r="0" b="0"/>
                      <wp:wrapNone/>
                      <wp:docPr id="328" name="Frame327"/>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69215" cy="175260"/>
                      <wp:effectExtent l="0" t="0" r="0" b="0"/>
                      <wp:wrapNone/>
                      <wp:docPr id="329" name="Frame32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133985" cy="175260"/>
                      <wp:effectExtent l="0" t="0" r="0" b="0"/>
                      <wp:wrapNone/>
                      <wp:docPr id="330" name="Frame3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495935" cy="175260"/>
                      <wp:effectExtent l="0" t="0" r="0" b="0"/>
                      <wp:wrapNone/>
                      <wp:docPr id="331" name="Frame33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219710" cy="175260"/>
                      <wp:effectExtent l="0" t="0" r="0" b="0"/>
                      <wp:wrapNone/>
                      <wp:docPr id="332" name="Frame3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133985" cy="175260"/>
                      <wp:effectExtent l="0" t="0" r="0" b="0"/>
                      <wp:wrapNone/>
                      <wp:docPr id="333" name="Frame3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495935" cy="175260"/>
                      <wp:effectExtent l="0" t="0" r="0" b="0"/>
                      <wp:wrapNone/>
                      <wp:docPr id="334" name="Frame33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219710" cy="175260"/>
                      <wp:effectExtent l="0" t="0" r="0" b="0"/>
                      <wp:wrapNone/>
                      <wp:docPr id="335" name="Frame3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553085" cy="175260"/>
                      <wp:effectExtent l="0" t="0" r="0" b="0"/>
                      <wp:wrapNone/>
                      <wp:docPr id="336" name="Frame335"/>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229235" cy="175260"/>
                      <wp:effectExtent l="0" t="0" r="0" b="0"/>
                      <wp:wrapNone/>
                      <wp:docPr id="337" name="Frame336"/>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69215" cy="175260"/>
                      <wp:effectExtent l="0" t="0" r="0" b="0"/>
                      <wp:wrapNone/>
                      <wp:docPr id="338" name="Frame33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133985" cy="175260"/>
                      <wp:effectExtent l="0" t="0" r="0" b="0"/>
                      <wp:wrapNone/>
                      <wp:docPr id="339" name="Frame3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495935" cy="175260"/>
                      <wp:effectExtent l="0" t="0" r="0" b="0"/>
                      <wp:wrapNone/>
                      <wp:docPr id="340" name="Frame33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219710" cy="175260"/>
                      <wp:effectExtent l="0" t="0" r="0" b="0"/>
                      <wp:wrapNone/>
                      <wp:docPr id="341" name="Frame3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133985" cy="175260"/>
                      <wp:effectExtent l="0" t="0" r="0" b="0"/>
                      <wp:wrapNone/>
                      <wp:docPr id="342" name="Frame3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562610" cy="175260"/>
                      <wp:effectExtent l="0" t="0" r="0" b="0"/>
                      <wp:wrapNone/>
                      <wp:docPr id="343" name="Frame342"/>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6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871" w:type="dxa"/>
            <w:tcBorders/>
            <w:vAlign w:val="center"/>
          </w:tcPr>
          <w:p>
            <w:pPr>
              <w:pStyle w:val="TableContents"/>
              <w:bidi w:val="0"/>
              <w:spacing w:before="0" w:after="1"/>
              <w:ind w:left="0" w:right="0" w:hanging="0"/>
              <w:jc w:val="center"/>
              <w:rPr/>
            </w:pPr>
            <w:r>
              <w:rPr/>
              <w:t>​</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33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center"/>
              <w:rPr/>
            </w:pPr>
            <w:r>
              <w:rPr/>
              <w:t>​</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43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16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871" w:type="dxa"/>
            <w:tcBorders/>
            <w:vAlign w:val="center"/>
          </w:tcPr>
          <w:p>
            <w:pPr>
              <w:pStyle w:val="TableContents"/>
              <w:bidi w:val="0"/>
              <w:spacing w:before="0" w:after="1"/>
              <w:ind w:left="0" w:right="0" w:hanging="0"/>
              <w:jc w:val="center"/>
              <w:rPr/>
            </w:pPr>
            <w:r>
              <w:rPr/>
              <w:t>​</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33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center"/>
              <w:rPr/>
            </w:pPr>
            <w:r>
              <w:rPr/>
              <w:t>​</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43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16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61" w:type="dxa"/>
            <w:tcBorders/>
            <w:vAlign w:val="center"/>
          </w:tcPr>
          <w:p>
            <w:pPr>
              <w:pStyle w:val="TableContents"/>
              <w:bidi w:val="0"/>
              <w:spacing w:before="0" w:after="1"/>
              <w:ind w:left="0" w:right="0" w:hanging="0"/>
              <w:jc w:val="left"/>
              <w:rPr/>
            </w:pPr>
            <w:r>
              <w:rPr/>
              <w:t>  ​ ​ ​</w:t>
            </w:r>
          </w:p>
        </w:tc>
        <w:tc>
          <w:tcPr>
            <w:tcW w:w="109"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61" w:type="dxa"/>
            <w:tcBorders/>
            <w:vAlign w:val="center"/>
          </w:tcPr>
          <w:p>
            <w:pPr>
              <w:pStyle w:val="TableContents"/>
              <w:bidi w:val="0"/>
              <w:spacing w:before="0" w:after="1"/>
              <w:ind w:left="0" w:right="0" w:hanging="0"/>
              <w:jc w:val="left"/>
              <w:rPr/>
            </w:pPr>
            <w:r>
              <w:rPr/>
              <w:t>  ​ ​ ​</w:t>
            </w:r>
          </w:p>
        </w:tc>
        <w:tc>
          <w:tcPr>
            <w:tcW w:w="109"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0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621"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Foundational</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pPr>
            <w:r>
              <w:rPr/>
              <w:t>​</w:t>
            </w:r>
          </w:p>
        </w:tc>
      </w:tr>
      <w:tr>
        <w:trPr/>
        <w:tc>
          <w:tcPr>
            <w:tcW w:w="162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Access</w:t>
            </w:r>
          </w:p>
        </w:tc>
        <w:tc>
          <w:tcPr>
            <w:tcW w:w="3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161,786</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152,122</w:t>
            </w:r>
          </w:p>
        </w:tc>
        <w:tc>
          <w:tcPr>
            <w:tcW w:w="3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312,910</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286,520</w:t>
            </w:r>
          </w:p>
        </w:tc>
      </w:tr>
      <w:tr>
        <w:trPr/>
        <w:tc>
          <w:tcPr>
            <w:tcW w:w="162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OEM</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48,338</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43,218</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87,878</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86,641</w:t>
            </w:r>
          </w:p>
        </w:tc>
      </w:tr>
      <w:tr>
        <w:trPr/>
        <w:tc>
          <w:tcPr>
            <w:tcW w:w="162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Procedural Solutions</w:t>
            </w:r>
          </w:p>
        </w:tc>
        <w:tc>
          <w:tcPr>
            <w:tcW w:w="3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27,949</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31,741</w:t>
            </w:r>
          </w:p>
        </w:tc>
        <w:tc>
          <w:tcPr>
            <w:tcW w:w="3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54,437</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60,310</w:t>
            </w:r>
          </w:p>
        </w:tc>
      </w:tr>
      <w:tr>
        <w:trPr/>
        <w:tc>
          <w:tcPr>
            <w:tcW w:w="162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Vascular Intervention</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19.2</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41,652</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34,955</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80,690</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67,804</w:t>
            </w:r>
          </w:p>
        </w:tc>
      </w:tr>
      <w:tr>
        <w:trPr/>
        <w:tc>
          <w:tcPr>
            <w:tcW w:w="162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w:t>
            </w:r>
          </w:p>
        </w:tc>
        <w:tc>
          <w:tcPr>
            <w:tcW w:w="346" w:type="dxa"/>
            <w:tcBorders/>
            <w:vAlign w:val="center"/>
          </w:tcPr>
          <w:p>
            <w:pPr>
              <w:pStyle w:val="TableContents"/>
              <w:bidi w:val="0"/>
              <w:spacing w:before="0" w:after="1"/>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257.2</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1,236</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346</w:t>
            </w:r>
          </w:p>
        </w:tc>
        <w:tc>
          <w:tcPr>
            <w:tcW w:w="346" w:type="dxa"/>
            <w:tcBorders/>
            <w:vAlign w:val="center"/>
          </w:tcPr>
          <w:p>
            <w:pPr>
              <w:pStyle w:val="TableContents"/>
              <w:bidi w:val="0"/>
              <w:spacing w:before="0" w:after="1"/>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(64.7)</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525</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1,489</w:t>
            </w:r>
          </w:p>
        </w:tc>
      </w:tr>
      <w:tr>
        <w:trPr/>
        <w:tc>
          <w:tcPr>
            <w:tcW w:w="1621"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Foundational</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280,961</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262,382</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536,440</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502,764</w:t>
            </w:r>
          </w:p>
        </w:tc>
      </w:tr>
      <w:tr>
        <w:trPr/>
        <w:tc>
          <w:tcPr>
            <w:tcW w:w="16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pPr>
            <w:r>
              <w:rPr/>
              <w:t>​</w:t>
            </w:r>
          </w:p>
        </w:tc>
      </w:tr>
      <w:tr>
        <w:trPr/>
        <w:tc>
          <w:tcPr>
            <w:tcW w:w="1621"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Therapeutic</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pPr>
            <w:r>
              <w:rPr/>
              <w:t>​</w:t>
            </w:r>
          </w:p>
        </w:tc>
      </w:tr>
      <w:tr>
        <w:trPr/>
        <w:tc>
          <w:tcPr>
            <w:tcW w:w="162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Cardiac Therapies</w:t>
            </w:r>
          </w:p>
        </w:tc>
        <w:tc>
          <w:tcPr>
            <w:tcW w:w="3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24.3</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28,510</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22,930</w:t>
            </w:r>
          </w:p>
        </w:tc>
        <w:tc>
          <w:tcPr>
            <w:tcW w:w="3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28.6</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55,914</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43,489</w:t>
            </w:r>
          </w:p>
        </w:tc>
      </w:tr>
      <w:tr>
        <w:trPr/>
        <w:tc>
          <w:tcPr>
            <w:tcW w:w="162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Endoscopy</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28.5</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23,647</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18,400</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29.7</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45,339</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34,951</w:t>
            </w:r>
          </w:p>
        </w:tc>
      </w:tr>
      <w:tr>
        <w:trPr/>
        <w:tc>
          <w:tcPr>
            <w:tcW w:w="162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OEM</w:t>
            </w:r>
          </w:p>
        </w:tc>
        <w:tc>
          <w:tcPr>
            <w:tcW w:w="3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31.5</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12,797</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9,735</w:t>
            </w:r>
          </w:p>
        </w:tc>
        <w:tc>
          <w:tcPr>
            <w:tcW w:w="3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20,276</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20,877</w:t>
            </w:r>
          </w:p>
        </w:tc>
      </w:tr>
      <w:tr>
        <w:trPr/>
        <w:tc>
          <w:tcPr>
            <w:tcW w:w="162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Oncology</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25,774</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23,943</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49,282</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45,994</w:t>
            </w:r>
          </w:p>
        </w:tc>
      </w:tr>
      <w:tr>
        <w:trPr/>
        <w:tc>
          <w:tcPr>
            <w:tcW w:w="162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Renal Therapies</w:t>
            </w:r>
          </w:p>
        </w:tc>
        <w:tc>
          <w:tcPr>
            <w:tcW w:w="3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(0.8)</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12,713</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12,817</w:t>
            </w:r>
          </w:p>
        </w:tc>
        <w:tc>
          <w:tcPr>
            <w:tcW w:w="3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24,225</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26,206</w:t>
            </w:r>
          </w:p>
        </w:tc>
      </w:tr>
      <w:tr>
        <w:trPr/>
        <w:tc>
          <w:tcPr>
            <w:tcW w:w="162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Vascular Intervention</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34,441</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32,255</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69,244</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63,532</w:t>
            </w:r>
          </w:p>
        </w:tc>
      </w:tr>
      <w:tr>
        <w:trPr/>
        <w:tc>
          <w:tcPr>
            <w:tcW w:w="1621"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Therapeutic</w:t>
            </w:r>
          </w:p>
        </w:tc>
        <w:tc>
          <w:tcPr>
            <w:tcW w:w="3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137,882</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120,080</w:t>
            </w:r>
          </w:p>
        </w:tc>
        <w:tc>
          <w:tcPr>
            <w:tcW w:w="3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264,280</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235,049</w:t>
            </w:r>
          </w:p>
        </w:tc>
      </w:tr>
      <w:tr>
        <w:trPr/>
        <w:tc>
          <w:tcPr>
            <w:tcW w:w="162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1621"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w:t>
            </w:r>
          </w:p>
        </w:tc>
        <w:tc>
          <w:tcPr>
            <w:tcW w:w="346" w:type="dxa"/>
            <w:tcBorders/>
            <w:vAlign w:val="center"/>
          </w:tcPr>
          <w:p>
            <w:pPr>
              <w:pStyle w:val="TableContents"/>
              <w:bidi w:val="0"/>
              <w:spacing w:before="0" w:after="1"/>
              <w:ind w:left="0" w:right="0" w:hanging="0"/>
              <w:jc w:val="left"/>
              <w:rPr/>
            </w:pPr>
            <w:r>
              <w:rPr/>
              <w:t> </w:t>
            </w:r>
          </w:p>
        </w:tc>
        <w:tc>
          <w:tcPr>
            <w:tcW w:w="8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418,843</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382,462</w:t>
            </w:r>
          </w:p>
        </w:tc>
        <w:tc>
          <w:tcPr>
            <w:tcW w:w="346" w:type="dxa"/>
            <w:tcBorders/>
            <w:vAlign w:val="center"/>
          </w:tcPr>
          <w:p>
            <w:pPr>
              <w:pStyle w:val="TableContents"/>
              <w:bidi w:val="0"/>
              <w:spacing w:before="0" w:after="1"/>
              <w:ind w:left="0" w:right="0" w:hanging="0"/>
              <w:jc w:val="left"/>
              <w:rPr/>
            </w:pPr>
            <w:r>
              <w:rPr/>
              <w:t>​</w:t>
            </w:r>
          </w:p>
        </w:tc>
        <w:tc>
          <w:tcPr>
            <w:tcW w:w="8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800,720</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737,813</w:t>
            </w:r>
          </w:p>
        </w:tc>
      </w:tr>
    </w:tbl>
    <w:p>
      <w:pPr>
        <w:pStyle w:val="TextBody"/>
        <w:bidi w:val="0"/>
        <w:spacing w:before="200" w:after="120"/>
        <w:ind w:left="0" w:right="0" w:hanging="0"/>
        <w:jc w:val="both"/>
        <w:rPr>
          <w:rFonts w:ascii="Times New Roman;Times;serif" w:hAnsi="Times New Roman;Times;serif"/>
          <w:sz w:val="20"/>
        </w:rPr>
      </w:pPr>
      <w:r>
        <w:rPr>
          <w:rFonts w:ascii="Times New Roman;Times;serif" w:hAnsi="Times New Roman;Times;serif"/>
          <w:i/>
          <w:sz w:val="20"/>
        </w:rPr>
        <w:t>Foundational Sales.</w:t>
      </w:r>
      <w:r>
        <w:rPr>
          <w:rFonts w:ascii="Times New Roman;Times;serif" w:hAnsi="Times New Roman;Times;serif"/>
          <w:sz w:val="20"/>
        </w:rPr>
        <w:t xml:space="preserve"> Our foundational sales for the three-month period ended June 30, 2026 were $281.0 million, up 7.1% when compared to the corresponding period of 2025 of $262.4 million. Sales for the three-month period ended June 30, 2026 were favorably affected by increased sales within the following platforms:</w:t>
      </w:r>
    </w:p>
    <w:tbl>
      <w:tblPr>
        <w:tblW w:w="10205" w:type="dxa"/>
        <w:jc w:val="left"/>
        <w:tblInd w:w="0" w:type="dxa"/>
        <w:tblLayout w:type="fixed"/>
        <w:tblCellMar>
          <w:top w:w="28" w:type="dxa"/>
          <w:left w:w="28" w:type="dxa"/>
          <w:bottom w:w="28" w:type="dxa"/>
          <w:right w:w="28" w:type="dxa"/>
        </w:tblCellMar>
      </w:tblPr>
      <w:tblGrid>
        <w:gridCol w:w="124"/>
        <w:gridCol w:w="276"/>
        <w:gridCol w:w="9805"/>
      </w:tblGrid>
      <w:tr>
        <w:trPr/>
        <w:tc>
          <w:tcPr>
            <w:tcW w:w="124" w:type="dxa"/>
            <w:tcBorders/>
            <w:vAlign w:val="center"/>
          </w:tcPr>
          <w:p>
            <w:pPr>
              <w:pStyle w:val="TableContents"/>
              <w:bidi w:val="0"/>
              <w:spacing w:before="0" w:after="283"/>
              <w:jc w:val="left"/>
              <w:rPr>
                <w:sz w:val="4"/>
                <w:szCs w:val="4"/>
              </w:rPr>
            </w:pPr>
            <w:r>
              <w:rPr>
                <w:sz w:val="4"/>
                <w:szCs w:val="4"/>
              </w:rPr>
            </w:r>
          </w:p>
        </w:tc>
        <w:tc>
          <w:tcPr>
            <w:tcW w:w="2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80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Access, which increased by $9.7 million, or 6.4%, from the corresponding period of 2025. This increase was driven primarily by hemostasis products acquired in the Biolife Merger, as well as increased sales of our angiography and access products, partially offset by decreased sales in our drainage and intervention products.</w:t>
            </w:r>
          </w:p>
        </w:tc>
      </w:tr>
    </w:tbl>
    <w:tbl>
      <w:tblPr>
        <w:tblW w:w="10205" w:type="dxa"/>
        <w:jc w:val="left"/>
        <w:tblInd w:w="0" w:type="dxa"/>
        <w:tblLayout w:type="fixed"/>
        <w:tblCellMar>
          <w:top w:w="28" w:type="dxa"/>
          <w:left w:w="28" w:type="dxa"/>
          <w:bottom w:w="28" w:type="dxa"/>
          <w:right w:w="28" w:type="dxa"/>
        </w:tblCellMar>
      </w:tblPr>
      <w:tblGrid>
        <w:gridCol w:w="124"/>
        <w:gridCol w:w="291"/>
        <w:gridCol w:w="9790"/>
      </w:tblGrid>
      <w:tr>
        <w:trPr/>
        <w:tc>
          <w:tcPr>
            <w:tcW w:w="124" w:type="dxa"/>
            <w:tcBorders/>
            <w:vAlign w:val="center"/>
          </w:tcPr>
          <w:p>
            <w:pPr>
              <w:pStyle w:val="TableContents"/>
              <w:bidi w:val="0"/>
              <w:spacing w:before="0" w:after="283"/>
              <w:jc w:val="left"/>
              <w:rPr>
                <w:sz w:val="4"/>
                <w:szCs w:val="4"/>
              </w:rPr>
            </w:pPr>
            <w:r>
              <w:rPr>
                <w:sz w:val="4"/>
                <w:szCs w:val="4"/>
              </w:rPr>
            </w:r>
          </w:p>
        </w:tc>
        <w:tc>
          <w:tcPr>
            <w:tcW w:w="2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79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OEM, which increased by $5.1 million, or 11.8%, from the corresponding period of 2025. This increase was driven primarily by increased sales of our access, sensors and angiography products, partially offset by decreased sales in our kits and cardiac rhythm management/electrophysiology (“CRM/EP”) products.</w:t>
            </w:r>
          </w:p>
        </w:tc>
      </w:tr>
    </w:tbl>
    <w:tbl>
      <w:tblPr>
        <w:tblW w:w="10205" w:type="dxa"/>
        <w:jc w:val="left"/>
        <w:tblInd w:w="0" w:type="dxa"/>
        <w:tblLayout w:type="fixed"/>
        <w:tblCellMar>
          <w:top w:w="28" w:type="dxa"/>
          <w:left w:w="28" w:type="dxa"/>
          <w:bottom w:w="28" w:type="dxa"/>
          <w:right w:w="28" w:type="dxa"/>
        </w:tblCellMar>
      </w:tblPr>
      <w:tblGrid>
        <w:gridCol w:w="124"/>
        <w:gridCol w:w="290"/>
        <w:gridCol w:w="9791"/>
      </w:tblGrid>
      <w:tr>
        <w:trPr/>
        <w:tc>
          <w:tcPr>
            <w:tcW w:w="124" w:type="dxa"/>
            <w:tcBorders/>
            <w:vAlign w:val="center"/>
          </w:tcPr>
          <w:p>
            <w:pPr>
              <w:pStyle w:val="TableContents"/>
              <w:bidi w:val="0"/>
              <w:spacing w:before="0" w:after="283"/>
              <w:jc w:val="left"/>
              <w:rPr>
                <w:sz w:val="4"/>
                <w:szCs w:val="4"/>
              </w:rPr>
            </w:pPr>
            <w:r>
              <w:rPr>
                <w:sz w:val="4"/>
                <w:szCs w:val="4"/>
              </w:rPr>
            </w:r>
          </w:p>
        </w:tc>
        <w:tc>
          <w:tcPr>
            <w:tcW w:w="29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7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Vascular Intervention, which increased by $6.7 million, or 19.2%, from the corresponding period of 2025. This increase was driven primarily by increased sales of our drainage and biopsy products.</w:t>
            </w:r>
          </w:p>
        </w:tc>
      </w:tr>
    </w:tbl>
    <w:p>
      <w:pPr>
        <w:pStyle w:val="TextBody"/>
        <w:bidi w:val="0"/>
        <w:spacing w:before="200" w:after="120"/>
        <w:ind w:left="0" w:right="0" w:hanging="0"/>
        <w:jc w:val="both"/>
        <w:rPr>
          <w:rFonts w:ascii="Times New Roman;Times;serif" w:hAnsi="Times New Roman;Times;serif"/>
          <w:sz w:val="20"/>
        </w:rPr>
      </w:pPr>
      <w:r>
        <w:rPr>
          <w:rFonts w:ascii="Times New Roman;Times;serif" w:hAnsi="Times New Roman;Times;serif"/>
          <w:sz w:val="20"/>
        </w:rPr>
        <w:t xml:space="preserve">The foregoing increase in sales for the three-month period ended June 30, 2026 was partially offset by decreased sales within our Procedural Solutions platform, which decreased by $3.8 million, or 11.9%, from the corresponding period of 2025. This decrease was driven primarily by </w:t>
      </w:r>
      <w:r>
        <w:rPr>
          <w:rFonts w:ascii="Times New Roman;Times;serif" w:hAnsi="Times New Roman;Times;serif"/>
          <w:sz w:val="20"/>
          <w:shd w:fill="FFFFFF" w:val="clear"/>
        </w:rPr>
        <w:t>the sale of the DualCap® product line to Health Line</w:t>
      </w:r>
      <w:r>
        <w:rPr>
          <w:rFonts w:ascii="Times New Roman;Times;serif" w:hAnsi="Times New Roman;Times;serif"/>
          <w:sz w:val="20"/>
        </w:rPr>
        <w:t>, partially offset by increased sales of our trays.</w:t>
      </w:r>
    </w:p>
    <w:p>
      <w:pPr>
        <w:pStyle w:val="TextBody"/>
        <w:bidi w:val="0"/>
        <w:spacing w:before="200" w:after="120"/>
        <w:ind w:left="0" w:right="0" w:hanging="0"/>
        <w:jc w:val="both"/>
        <w:rPr>
          <w:rFonts w:ascii="Times New Roman;Times;serif" w:hAnsi="Times New Roman;Times;serif"/>
          <w:sz w:val="20"/>
        </w:rPr>
      </w:pPr>
      <w:r>
        <w:rPr>
          <w:rFonts w:ascii="Times New Roman;Times;serif" w:hAnsi="Times New Roman;Times;serif"/>
          <w:sz w:val="20"/>
        </w:rPr>
        <w:t>Our foundational sales for the six-month period ended June 30, 2026 were $536.4 million, up 6.7% when compared to the corresponding period of 2025 of $502.8 million. Sales for the six-month period ended June 30, 2026 were favorably affected by increased sales within the following platforms:</w:t>
      </w:r>
    </w:p>
    <w:tbl>
      <w:tblPr>
        <w:tblW w:w="10205" w:type="dxa"/>
        <w:jc w:val="left"/>
        <w:tblInd w:w="0" w:type="dxa"/>
        <w:tblLayout w:type="fixed"/>
        <w:tblCellMar>
          <w:top w:w="28" w:type="dxa"/>
          <w:left w:w="28" w:type="dxa"/>
          <w:bottom w:w="28" w:type="dxa"/>
          <w:right w:w="28" w:type="dxa"/>
        </w:tblCellMar>
      </w:tblPr>
      <w:tblGrid>
        <w:gridCol w:w="124"/>
        <w:gridCol w:w="277"/>
        <w:gridCol w:w="9804"/>
      </w:tblGrid>
      <w:tr>
        <w:trPr/>
        <w:tc>
          <w:tcPr>
            <w:tcW w:w="124" w:type="dxa"/>
            <w:tcBorders/>
            <w:vAlign w:val="center"/>
          </w:tcPr>
          <w:p>
            <w:pPr>
              <w:pStyle w:val="TableContents"/>
              <w:bidi w:val="0"/>
              <w:spacing w:before="0" w:after="283"/>
              <w:jc w:val="left"/>
              <w:rPr>
                <w:sz w:val="4"/>
                <w:szCs w:val="4"/>
              </w:rPr>
            </w:pPr>
            <w:r>
              <w:rPr>
                <w:sz w:val="4"/>
                <w:szCs w:val="4"/>
              </w:rPr>
            </w:r>
          </w:p>
        </w:tc>
        <w:tc>
          <w:tcPr>
            <w:tcW w:w="277"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80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Access, which increased by $26.4 million, or 9.2%, from the corresponding period of 2025. This increase was driven primarily by hemostasis products acquired in the Biolife Merger, as well as increased sales of our angiography and access products, partially offset by decreased sales in our drainage products.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94"/>
        <w:gridCol w:w="9787"/>
      </w:tblGrid>
      <w:tr>
        <w:trPr/>
        <w:tc>
          <w:tcPr>
            <w:tcW w:w="124" w:type="dxa"/>
            <w:tcBorders/>
            <w:vAlign w:val="center"/>
          </w:tcPr>
          <w:p>
            <w:pPr>
              <w:pStyle w:val="TableContents"/>
              <w:bidi w:val="0"/>
              <w:spacing w:before="0" w:after="283"/>
              <w:jc w:val="left"/>
              <w:rPr>
                <w:sz w:val="4"/>
                <w:szCs w:val="4"/>
              </w:rPr>
            </w:pPr>
            <w:r>
              <w:rPr>
                <w:sz w:val="4"/>
                <w:szCs w:val="4"/>
              </w:rPr>
            </w:r>
          </w:p>
        </w:tc>
        <w:tc>
          <w:tcPr>
            <w:tcW w:w="29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787"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OEM, which increased by $1.2 million, or 1.4%, from the corresponding period of 2025. This increase was driven primarily by increased sales of our sensors, fluid management and access products, partially offset by decreased sales in our kits, intervention and CRM/EP products.</w:t>
            </w:r>
          </w:p>
        </w:tc>
      </w:tr>
    </w:tbl>
    <w:tbl>
      <w:tblPr>
        <w:tblW w:w="10205" w:type="dxa"/>
        <w:jc w:val="left"/>
        <w:tblInd w:w="0" w:type="dxa"/>
        <w:tblLayout w:type="fixed"/>
        <w:tblCellMar>
          <w:top w:w="28" w:type="dxa"/>
          <w:left w:w="28" w:type="dxa"/>
          <w:bottom w:w="28" w:type="dxa"/>
          <w:right w:w="28" w:type="dxa"/>
        </w:tblCellMar>
      </w:tblPr>
      <w:tblGrid>
        <w:gridCol w:w="124"/>
        <w:gridCol w:w="290"/>
        <w:gridCol w:w="9791"/>
      </w:tblGrid>
      <w:tr>
        <w:trPr/>
        <w:tc>
          <w:tcPr>
            <w:tcW w:w="124" w:type="dxa"/>
            <w:tcBorders/>
            <w:vAlign w:val="center"/>
          </w:tcPr>
          <w:p>
            <w:pPr>
              <w:pStyle w:val="TableContents"/>
              <w:bidi w:val="0"/>
              <w:spacing w:before="0" w:after="283"/>
              <w:jc w:val="left"/>
              <w:rPr>
                <w:sz w:val="4"/>
                <w:szCs w:val="4"/>
              </w:rPr>
            </w:pPr>
            <w:r>
              <w:rPr>
                <w:sz w:val="4"/>
                <w:szCs w:val="4"/>
              </w:rPr>
            </w:r>
          </w:p>
        </w:tc>
        <w:tc>
          <w:tcPr>
            <w:tcW w:w="29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7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Vascular Intervention, which increased by $12.9 million, or 19.0%, from the corresponding period of 2025. This increase was driven primarily by increased sales of our drainage and biopsy products.</w:t>
            </w:r>
          </w:p>
        </w:tc>
      </w:tr>
    </w:tbl>
    <w:p>
      <w:pPr>
        <w:pStyle w:val="TextBody"/>
        <w:bidi w:val="0"/>
        <w:spacing w:before="200" w:after="120"/>
        <w:ind w:left="0" w:right="0" w:hanging="0"/>
        <w:jc w:val="both"/>
        <w:rPr>
          <w:rFonts w:ascii="Times New Roman;Times;serif" w:hAnsi="Times New Roman;Times;serif"/>
          <w:sz w:val="20"/>
        </w:rPr>
      </w:pPr>
      <w:r>
        <w:rPr>
          <w:rFonts w:ascii="Times New Roman;Times;serif" w:hAnsi="Times New Roman;Times;serif"/>
          <w:sz w:val="20"/>
        </w:rPr>
        <w:t xml:space="preserve">The foregoing increase in sales for the six-month period ended June 30, 2026 was partially offset by decreased sales within our Procedural Solutions platform, which decreased by $5.9 million, or 9.7%, from the corresponding period of 2025. This decrease was driven primarily by </w:t>
      </w:r>
      <w:r>
        <w:rPr>
          <w:rFonts w:ascii="Times New Roman;Times;serif" w:hAnsi="Times New Roman;Times;serif"/>
          <w:sz w:val="20"/>
          <w:shd w:fill="FFFFFF" w:val="clear"/>
        </w:rPr>
        <w:t>the sale of the DualCap® product line to Health Line</w:t>
      </w:r>
      <w:r>
        <w:rPr>
          <w:rFonts w:ascii="Times New Roman;Times;serif" w:hAnsi="Times New Roman;Times;serif"/>
          <w:sz w:val="20"/>
        </w:rPr>
        <w:t>, partially offset by increased sales of our trays.</w:t>
      </w:r>
    </w:p>
    <w:p>
      <w:pPr>
        <w:pStyle w:val="TextBody"/>
        <w:bidi w:val="0"/>
        <w:spacing w:before="200" w:after="120"/>
        <w:ind w:left="0" w:right="0" w:hanging="0"/>
        <w:jc w:val="both"/>
        <w:rPr>
          <w:rFonts w:ascii="Times New Roman;Times;serif" w:hAnsi="Times New Roman;Times;serif"/>
          <w:sz w:val="20"/>
        </w:rPr>
      </w:pPr>
      <w:r>
        <w:rPr>
          <w:rFonts w:ascii="Times New Roman;Times;serif" w:hAnsi="Times New Roman;Times;serif"/>
          <w:i/>
          <w:sz w:val="20"/>
        </w:rPr>
        <w:t>Therapeutic Sales</w:t>
      </w:r>
      <w:r>
        <w:rPr>
          <w:rFonts w:ascii="Times New Roman;Times;serif" w:hAnsi="Times New Roman;Times;serif"/>
          <w:sz w:val="20"/>
        </w:rPr>
        <w:t>. Our therapeutic sales for the three-month period ended June 30, 2026 were $137.9 million, up 14.8% when compared to sales in the corresponding period of 2025 of $120.1 million. Sales for the three-month period ended June 30, 2026 were favorably affected by increased sales within the following platforms:</w:t>
      </w:r>
    </w:p>
    <w:tbl>
      <w:tblPr>
        <w:tblW w:w="10205" w:type="dxa"/>
        <w:jc w:val="left"/>
        <w:tblInd w:w="0" w:type="dxa"/>
        <w:tblLayout w:type="fixed"/>
        <w:tblCellMar>
          <w:top w:w="28" w:type="dxa"/>
          <w:left w:w="28" w:type="dxa"/>
          <w:bottom w:w="28" w:type="dxa"/>
          <w:right w:w="28" w:type="dxa"/>
        </w:tblCellMar>
      </w:tblPr>
      <w:tblGrid>
        <w:gridCol w:w="124"/>
        <w:gridCol w:w="283"/>
        <w:gridCol w:w="9798"/>
      </w:tblGrid>
      <w:tr>
        <w:trPr/>
        <w:tc>
          <w:tcPr>
            <w:tcW w:w="124" w:type="dxa"/>
            <w:tcBorders/>
            <w:vAlign w:val="center"/>
          </w:tcPr>
          <w:p>
            <w:pPr>
              <w:pStyle w:val="TableContents"/>
              <w:bidi w:val="0"/>
              <w:spacing w:before="0" w:after="283"/>
              <w:jc w:val="left"/>
              <w:rPr>
                <w:sz w:val="4"/>
                <w:szCs w:val="4"/>
              </w:rPr>
            </w:pPr>
            <w:r>
              <w:rPr>
                <w:sz w:val="4"/>
                <w:szCs w:val="4"/>
              </w:rPr>
            </w:r>
          </w:p>
        </w:tc>
        <w:tc>
          <w:tcPr>
            <w:tcW w:w="283"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798"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Cardiac Therapies, which increased by $5.6 million, or 24.3%, from the corresponding period of 2025. This increase was driven primarily by increased sales of our lead management products, Prelude SNAP and  SoloPace temporary pacing system.</w:t>
            </w:r>
          </w:p>
        </w:tc>
      </w:tr>
    </w:tbl>
    <w:tbl>
      <w:tblPr>
        <w:tblW w:w="10205" w:type="dxa"/>
        <w:jc w:val="left"/>
        <w:tblInd w:w="0" w:type="dxa"/>
        <w:tblLayout w:type="fixed"/>
        <w:tblCellMar>
          <w:top w:w="28" w:type="dxa"/>
          <w:left w:w="28" w:type="dxa"/>
          <w:bottom w:w="28" w:type="dxa"/>
          <w:right w:w="28" w:type="dxa"/>
        </w:tblCellMar>
      </w:tblPr>
      <w:tblGrid>
        <w:gridCol w:w="124"/>
        <w:gridCol w:w="297"/>
        <w:gridCol w:w="9784"/>
      </w:tblGrid>
      <w:tr>
        <w:trPr/>
        <w:tc>
          <w:tcPr>
            <w:tcW w:w="124" w:type="dxa"/>
            <w:tcBorders/>
            <w:vAlign w:val="center"/>
          </w:tcPr>
          <w:p>
            <w:pPr>
              <w:pStyle w:val="TableContents"/>
              <w:bidi w:val="0"/>
              <w:spacing w:before="0" w:after="283"/>
              <w:jc w:val="left"/>
              <w:rPr>
                <w:sz w:val="4"/>
                <w:szCs w:val="4"/>
              </w:rPr>
            </w:pPr>
            <w:r>
              <w:rPr>
                <w:sz w:val="4"/>
                <w:szCs w:val="4"/>
              </w:rPr>
            </w:r>
          </w:p>
        </w:tc>
        <w:tc>
          <w:tcPr>
            <w:tcW w:w="297"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784"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Endoscopy, which increased by $5.2 million, or 28.5%, from the corresponding period of 2025. This increase was driven primarily by sales </w:t>
            </w:r>
            <w:r>
              <w:rPr>
                <w:rFonts w:ascii="Times New Roman;Times;serif" w:hAnsi="Times New Roman;Times;serif"/>
                <w:b w:val="false"/>
                <w:i w:val="false"/>
                <w:caps w:val="false"/>
                <w:smallCaps w:val="false"/>
                <w:sz w:val="20"/>
                <w:shd w:fill="FFFFFF" w:val="clear"/>
              </w:rPr>
              <w:t>attributable to the acquisition of the C2 Cryoballoon from Pentax and increased sales of the EsophyX® Z+ device</w:t>
            </w:r>
            <w:r>
              <w:rPr>
                <w:rFonts w:ascii="Times New Roman;Times;serif" w:hAnsi="Times New Roman;Times;serif"/>
                <w:b w:val="false"/>
                <w:i w:val="false"/>
                <w:caps w:val="false"/>
                <w:smallCaps w:val="false"/>
                <w:sz w:val="20"/>
              </w:rPr>
              <w:t>.</w:t>
            </w:r>
          </w:p>
        </w:tc>
      </w:tr>
    </w:tbl>
    <w:tbl>
      <w:tblPr>
        <w:tblW w:w="10205" w:type="dxa"/>
        <w:jc w:val="left"/>
        <w:tblInd w:w="0" w:type="dxa"/>
        <w:tblLayout w:type="fixed"/>
        <w:tblCellMar>
          <w:top w:w="28" w:type="dxa"/>
          <w:left w:w="28" w:type="dxa"/>
          <w:bottom w:w="28" w:type="dxa"/>
          <w:right w:w="28" w:type="dxa"/>
        </w:tblCellMar>
      </w:tblPr>
      <w:tblGrid>
        <w:gridCol w:w="124"/>
        <w:gridCol w:w="285"/>
        <w:gridCol w:w="9796"/>
      </w:tblGrid>
      <w:tr>
        <w:trPr/>
        <w:tc>
          <w:tcPr>
            <w:tcW w:w="124" w:type="dxa"/>
            <w:tcBorders/>
            <w:vAlign w:val="center"/>
          </w:tcPr>
          <w:p>
            <w:pPr>
              <w:pStyle w:val="TableContents"/>
              <w:bidi w:val="0"/>
              <w:spacing w:before="0" w:after="283"/>
              <w:jc w:val="left"/>
              <w:rPr>
                <w:sz w:val="4"/>
                <w:szCs w:val="4"/>
              </w:rPr>
            </w:pPr>
            <w:r>
              <w:rPr>
                <w:sz w:val="4"/>
                <w:szCs w:val="4"/>
              </w:rPr>
            </w:r>
          </w:p>
        </w:tc>
        <w:tc>
          <w:tcPr>
            <w:tcW w:w="28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7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OEM, which increased by $3.1 million, or 31.5%, from the corresponding period of 2025. This increase was driven primarily by increased sales of our ablation products, partially offset by decrease sales in our CRM/EP products.</w:t>
            </w:r>
          </w:p>
        </w:tc>
      </w:tr>
    </w:tbl>
    <w:tbl>
      <w:tblPr>
        <w:tblW w:w="10205" w:type="dxa"/>
        <w:jc w:val="left"/>
        <w:tblInd w:w="0" w:type="dxa"/>
        <w:tblLayout w:type="fixed"/>
        <w:tblCellMar>
          <w:top w:w="28" w:type="dxa"/>
          <w:left w:w="28" w:type="dxa"/>
          <w:bottom w:w="28" w:type="dxa"/>
          <w:right w:w="28" w:type="dxa"/>
        </w:tblCellMar>
      </w:tblPr>
      <w:tblGrid>
        <w:gridCol w:w="124"/>
        <w:gridCol w:w="306"/>
        <w:gridCol w:w="9775"/>
      </w:tblGrid>
      <w:tr>
        <w:trPr/>
        <w:tc>
          <w:tcPr>
            <w:tcW w:w="124" w:type="dxa"/>
            <w:tcBorders/>
            <w:vAlign w:val="center"/>
          </w:tcPr>
          <w:p>
            <w:pPr>
              <w:pStyle w:val="TableContents"/>
              <w:bidi w:val="0"/>
              <w:spacing w:before="0" w:after="283"/>
              <w:jc w:val="left"/>
              <w:rPr>
                <w:sz w:val="4"/>
                <w:szCs w:val="4"/>
              </w:rPr>
            </w:pPr>
            <w:r>
              <w:rPr>
                <w:sz w:val="4"/>
                <w:szCs w:val="4"/>
              </w:rPr>
            </w:r>
          </w:p>
        </w:tc>
        <w:tc>
          <w:tcPr>
            <w:tcW w:w="3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77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Oncology, which increased by $1.8 million, or 7.6%, from the corresponding period of 2025. This increase was driven primarily by increased sales of our SCOUT radar localization products.</w:t>
            </w:r>
          </w:p>
        </w:tc>
      </w:tr>
    </w:tbl>
    <w:tbl>
      <w:tblPr>
        <w:tblW w:w="10205" w:type="dxa"/>
        <w:jc w:val="left"/>
        <w:tblInd w:w="0" w:type="dxa"/>
        <w:tblLayout w:type="fixed"/>
        <w:tblCellMar>
          <w:top w:w="28" w:type="dxa"/>
          <w:left w:w="28" w:type="dxa"/>
          <w:bottom w:w="28" w:type="dxa"/>
          <w:right w:w="28" w:type="dxa"/>
        </w:tblCellMar>
      </w:tblPr>
      <w:tblGrid>
        <w:gridCol w:w="124"/>
        <w:gridCol w:w="287"/>
        <w:gridCol w:w="9794"/>
      </w:tblGrid>
      <w:tr>
        <w:trPr/>
        <w:tc>
          <w:tcPr>
            <w:tcW w:w="124" w:type="dxa"/>
            <w:tcBorders/>
            <w:vAlign w:val="center"/>
          </w:tcPr>
          <w:p>
            <w:pPr>
              <w:pStyle w:val="TableContents"/>
              <w:bidi w:val="0"/>
              <w:spacing w:before="0" w:after="283"/>
              <w:jc w:val="left"/>
              <w:rPr>
                <w:sz w:val="4"/>
                <w:szCs w:val="4"/>
              </w:rPr>
            </w:pPr>
            <w:r>
              <w:rPr>
                <w:sz w:val="4"/>
                <w:szCs w:val="4"/>
              </w:rPr>
            </w:r>
          </w:p>
        </w:tc>
        <w:tc>
          <w:tcPr>
            <w:tcW w:w="287"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979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Vascular Intervention, which increased by $2.2 million, or 6.8%, from the corresponding period of 2025. This increase was driven primarily by increased sales of our delivery systems and embolotherapy products.</w:t>
            </w:r>
          </w:p>
        </w:tc>
      </w:tr>
    </w:tbl>
    <w:p>
      <w:pPr>
        <w:pStyle w:val="TextBody"/>
        <w:bidi w:val="0"/>
        <w:spacing w:before="200" w:after="120"/>
        <w:ind w:left="0" w:right="0" w:hanging="0"/>
        <w:jc w:val="both"/>
        <w:rPr>
          <w:rFonts w:ascii="Times New Roman;Times;serif" w:hAnsi="Times New Roman;Times;serif"/>
          <w:sz w:val="20"/>
        </w:rPr>
      </w:pPr>
      <w:r>
        <w:rPr>
          <w:rFonts w:ascii="Times New Roman;Times;serif" w:hAnsi="Times New Roman;Times;serif"/>
          <w:sz w:val="20"/>
        </w:rPr>
        <w:t>The foregoing increase in sales for the three-month period ended June 30, 2026 was partially offset by decreased sales within our renal therapies platform, which decreased by $0.1 million, or 0.8%, from the corresponding period of 2025. This decrease was driven primarily by decreased sales of our access products.</w:t>
      </w:r>
    </w:p>
    <w:p>
      <w:pPr>
        <w:pStyle w:val="TextBody"/>
        <w:bidi w:val="0"/>
        <w:spacing w:before="200" w:after="120"/>
        <w:ind w:left="0" w:right="0" w:hanging="0"/>
        <w:jc w:val="both"/>
        <w:rPr>
          <w:rFonts w:ascii="Times New Roman;Times;serif" w:hAnsi="Times New Roman;Times;serif"/>
          <w:sz w:val="20"/>
        </w:rPr>
      </w:pPr>
      <w:r>
        <w:rPr>
          <w:rFonts w:ascii="Times New Roman;Times;serif" w:hAnsi="Times New Roman;Times;serif"/>
          <w:sz w:val="20"/>
        </w:rPr>
        <w:t>Our therapeutic sales for the six-month period ended June 30, 2026 were $264.3 million, up 12.4% when compared to sales in the corresponding period of 2025 of $235.0 million. Sales for the six-month period ended June 30, 2026 were favorably affected by increased sales within the following platforms:</w:t>
      </w:r>
    </w:p>
    <w:tbl>
      <w:tblPr>
        <w:tblW w:w="10205" w:type="dxa"/>
        <w:jc w:val="left"/>
        <w:tblInd w:w="0" w:type="dxa"/>
        <w:tblLayout w:type="fixed"/>
        <w:tblCellMar>
          <w:top w:w="28" w:type="dxa"/>
          <w:left w:w="28" w:type="dxa"/>
          <w:bottom w:w="28" w:type="dxa"/>
          <w:right w:w="28" w:type="dxa"/>
        </w:tblCellMar>
      </w:tblPr>
      <w:tblGrid>
        <w:gridCol w:w="124"/>
        <w:gridCol w:w="283"/>
        <w:gridCol w:w="9798"/>
      </w:tblGrid>
      <w:tr>
        <w:trPr/>
        <w:tc>
          <w:tcPr>
            <w:tcW w:w="124" w:type="dxa"/>
            <w:tcBorders/>
            <w:vAlign w:val="center"/>
          </w:tcPr>
          <w:p>
            <w:pPr>
              <w:pStyle w:val="TableContents"/>
              <w:bidi w:val="0"/>
              <w:spacing w:before="0" w:after="283"/>
              <w:jc w:val="left"/>
              <w:rPr>
                <w:sz w:val="4"/>
                <w:szCs w:val="4"/>
              </w:rPr>
            </w:pPr>
            <w:r>
              <w:rPr>
                <w:sz w:val="4"/>
                <w:szCs w:val="4"/>
              </w:rPr>
            </w:r>
          </w:p>
        </w:tc>
        <w:tc>
          <w:tcPr>
            <w:tcW w:w="283"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798"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Cardiac Therapies, which increased by $12.4 million, or 28.6%, from the corresponding period of 2025. This increase was driven primarily by increased sales of our lead management products, Prelude SNAP and  SoloPace temporary pacing system.</w:t>
            </w:r>
          </w:p>
        </w:tc>
      </w:tr>
    </w:tbl>
    <w:tbl>
      <w:tblPr>
        <w:tblW w:w="10205" w:type="dxa"/>
        <w:jc w:val="left"/>
        <w:tblInd w:w="0" w:type="dxa"/>
        <w:tblLayout w:type="fixed"/>
        <w:tblCellMar>
          <w:top w:w="28" w:type="dxa"/>
          <w:left w:w="28" w:type="dxa"/>
          <w:bottom w:w="28" w:type="dxa"/>
          <w:right w:w="28" w:type="dxa"/>
        </w:tblCellMar>
      </w:tblPr>
      <w:tblGrid>
        <w:gridCol w:w="124"/>
        <w:gridCol w:w="297"/>
        <w:gridCol w:w="9784"/>
      </w:tblGrid>
      <w:tr>
        <w:trPr/>
        <w:tc>
          <w:tcPr>
            <w:tcW w:w="124" w:type="dxa"/>
            <w:tcBorders/>
            <w:vAlign w:val="center"/>
          </w:tcPr>
          <w:p>
            <w:pPr>
              <w:pStyle w:val="TableContents"/>
              <w:bidi w:val="0"/>
              <w:spacing w:before="0" w:after="283"/>
              <w:jc w:val="left"/>
              <w:rPr>
                <w:sz w:val="4"/>
                <w:szCs w:val="4"/>
              </w:rPr>
            </w:pPr>
            <w:r>
              <w:rPr>
                <w:sz w:val="4"/>
                <w:szCs w:val="4"/>
              </w:rPr>
            </w:r>
          </w:p>
        </w:tc>
        <w:tc>
          <w:tcPr>
            <w:tcW w:w="297"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78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Endoscopy, which increased by $10.4 million, or 29.7%, from the corresponding period of 2025. This increase was driven primarily by sales attributable to the acquisition of the C2 Cryoballoon from Pentax and increased sales of the EsophyX® Z+ device.</w:t>
            </w:r>
          </w:p>
        </w:tc>
      </w:tr>
    </w:tbl>
    <w:tbl>
      <w:tblPr>
        <w:tblW w:w="10205" w:type="dxa"/>
        <w:jc w:val="left"/>
        <w:tblInd w:w="0" w:type="dxa"/>
        <w:tblLayout w:type="fixed"/>
        <w:tblCellMar>
          <w:top w:w="28" w:type="dxa"/>
          <w:left w:w="28" w:type="dxa"/>
          <w:bottom w:w="28" w:type="dxa"/>
          <w:right w:w="28" w:type="dxa"/>
        </w:tblCellMar>
      </w:tblPr>
      <w:tblGrid>
        <w:gridCol w:w="124"/>
        <w:gridCol w:w="291"/>
        <w:gridCol w:w="9790"/>
      </w:tblGrid>
      <w:tr>
        <w:trPr/>
        <w:tc>
          <w:tcPr>
            <w:tcW w:w="124" w:type="dxa"/>
            <w:tcBorders/>
            <w:vAlign w:val="center"/>
          </w:tcPr>
          <w:p>
            <w:pPr>
              <w:pStyle w:val="TableContents"/>
              <w:bidi w:val="0"/>
              <w:spacing w:before="0" w:after="283"/>
              <w:jc w:val="left"/>
              <w:rPr>
                <w:sz w:val="4"/>
                <w:szCs w:val="4"/>
              </w:rPr>
            </w:pPr>
            <w:r>
              <w:rPr>
                <w:sz w:val="4"/>
                <w:szCs w:val="4"/>
              </w:rPr>
            </w:r>
          </w:p>
        </w:tc>
        <w:tc>
          <w:tcPr>
            <w:tcW w:w="2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79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Oncology, which increased by $3.3 million, or 7.1%, from the corresponding period of 2025. This increase was driven primarily by increased sales of our SCOUT radar localization products.</w:t>
            </w:r>
          </w:p>
        </w:tc>
      </w:tr>
    </w:tbl>
    <w:tbl>
      <w:tblPr>
        <w:tblW w:w="10205" w:type="dxa"/>
        <w:jc w:val="left"/>
        <w:tblInd w:w="0" w:type="dxa"/>
        <w:tblLayout w:type="fixed"/>
        <w:tblCellMar>
          <w:top w:w="28" w:type="dxa"/>
          <w:left w:w="28" w:type="dxa"/>
          <w:bottom w:w="28" w:type="dxa"/>
          <w:right w:w="28" w:type="dxa"/>
        </w:tblCellMar>
      </w:tblPr>
      <w:tblGrid>
        <w:gridCol w:w="124"/>
        <w:gridCol w:w="302"/>
        <w:gridCol w:w="9779"/>
      </w:tblGrid>
      <w:tr>
        <w:trPr/>
        <w:tc>
          <w:tcPr>
            <w:tcW w:w="124" w:type="dxa"/>
            <w:tcBorders/>
            <w:vAlign w:val="center"/>
          </w:tcPr>
          <w:p>
            <w:pPr>
              <w:pStyle w:val="TableContents"/>
              <w:bidi w:val="0"/>
              <w:spacing w:before="0" w:after="283"/>
              <w:jc w:val="left"/>
              <w:rPr>
                <w:sz w:val="4"/>
                <w:szCs w:val="4"/>
              </w:rPr>
            </w:pPr>
            <w:r>
              <w:rPr>
                <w:sz w:val="4"/>
                <w:szCs w:val="4"/>
              </w:rPr>
            </w:r>
          </w:p>
        </w:tc>
        <w:tc>
          <w:tcPr>
            <w:tcW w:w="30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77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Vascular Intervention, which increased by $5.7 million, or 9.0%, from the corresponding period of 2025. This increase was driven primarily by increased sales of our delivery systems and embolotherapy products.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The foregoing increase in sales for the six-month period ended June 30, 2026 was partially offset by decreased sales within the following platforms:</w:t>
      </w:r>
    </w:p>
    <w:tbl>
      <w:tblPr>
        <w:tblW w:w="10205" w:type="dxa"/>
        <w:jc w:val="left"/>
        <w:tblInd w:w="0" w:type="dxa"/>
        <w:tblLayout w:type="fixed"/>
        <w:tblCellMar>
          <w:top w:w="28" w:type="dxa"/>
          <w:left w:w="28" w:type="dxa"/>
          <w:bottom w:w="28" w:type="dxa"/>
          <w:right w:w="28" w:type="dxa"/>
        </w:tblCellMar>
      </w:tblPr>
      <w:tblGrid>
        <w:gridCol w:w="124"/>
        <w:gridCol w:w="282"/>
        <w:gridCol w:w="9799"/>
      </w:tblGrid>
      <w:tr>
        <w:trPr/>
        <w:tc>
          <w:tcPr>
            <w:tcW w:w="124" w:type="dxa"/>
            <w:tcBorders/>
            <w:vAlign w:val="center"/>
          </w:tcPr>
          <w:p>
            <w:pPr>
              <w:pStyle w:val="TableContents"/>
              <w:bidi w:val="0"/>
              <w:spacing w:before="0" w:after="283"/>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79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OEM, which decreased by $0.6 million, or 2.9%, from the corresponding period of 2025. This decrease was driven primarily by decreased sales of our peripheral intervention and CRM/EP products, partially offset by increased sales of our ablation products.</w:t>
            </w:r>
          </w:p>
        </w:tc>
      </w:tr>
    </w:tbl>
    <w:tbl>
      <w:tblPr>
        <w:tblW w:w="10205" w:type="dxa"/>
        <w:jc w:val="left"/>
        <w:tblInd w:w="0" w:type="dxa"/>
        <w:tblLayout w:type="fixed"/>
        <w:tblCellMar>
          <w:top w:w="28" w:type="dxa"/>
          <w:left w:w="28" w:type="dxa"/>
          <w:bottom w:w="28" w:type="dxa"/>
          <w:right w:w="28" w:type="dxa"/>
        </w:tblCellMar>
      </w:tblPr>
      <w:tblGrid>
        <w:gridCol w:w="124"/>
        <w:gridCol w:w="309"/>
        <w:gridCol w:w="9772"/>
      </w:tblGrid>
      <w:tr>
        <w:trPr/>
        <w:tc>
          <w:tcPr>
            <w:tcW w:w="124" w:type="dxa"/>
            <w:tcBorders/>
            <w:vAlign w:val="center"/>
          </w:tcPr>
          <w:p>
            <w:pPr>
              <w:pStyle w:val="TableContents"/>
              <w:bidi w:val="0"/>
              <w:spacing w:before="0" w:after="283"/>
              <w:jc w:val="left"/>
              <w:rPr>
                <w:sz w:val="4"/>
                <w:szCs w:val="4"/>
              </w:rPr>
            </w:pPr>
            <w:r>
              <w:rPr>
                <w:sz w:val="4"/>
                <w:szCs w:val="4"/>
              </w:rPr>
            </w:r>
          </w:p>
        </w:tc>
        <w:tc>
          <w:tcPr>
            <w:tcW w:w="30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77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Renal Therapies, which decreased by $2.0 million, or 7.6%, from the corresponding period of 2025. This decrease was driven primarily by decreased sales of our access products.</w:t>
            </w:r>
          </w:p>
        </w:tc>
      </w:tr>
    </w:tbl>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Geographic Sales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Listed below are sales by geography for the three and six-month periods ended June 30, 2026 and 2025 (in thousands, other than percentage changes):</w:t>
      </w:r>
    </w:p>
    <w:tbl>
      <w:tblPr>
        <w:tblW w:w="9310" w:type="dxa"/>
        <w:jc w:val="left"/>
        <w:tblInd w:w="0" w:type="dxa"/>
        <w:tblLayout w:type="fixed"/>
        <w:tblCellMar>
          <w:top w:w="0" w:type="dxa"/>
          <w:left w:w="0" w:type="dxa"/>
          <w:bottom w:w="0" w:type="dxa"/>
          <w:right w:w="0" w:type="dxa"/>
        </w:tblCellMar>
      </w:tblPr>
      <w:tblGrid>
        <w:gridCol w:w="1171"/>
        <w:gridCol w:w="346"/>
        <w:gridCol w:w="871"/>
        <w:gridCol w:w="361"/>
        <w:gridCol w:w="109"/>
        <w:gridCol w:w="211"/>
        <w:gridCol w:w="781"/>
        <w:gridCol w:w="346"/>
        <w:gridCol w:w="211"/>
        <w:gridCol w:w="781"/>
        <w:gridCol w:w="346"/>
        <w:gridCol w:w="871"/>
        <w:gridCol w:w="361"/>
        <w:gridCol w:w="109"/>
        <w:gridCol w:w="211"/>
        <w:gridCol w:w="781"/>
        <w:gridCol w:w="346"/>
        <w:gridCol w:w="211"/>
        <w:gridCol w:w="886"/>
      </w:tblGrid>
      <w:tr>
        <w:trPr/>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743585" cy="175260"/>
                      <wp:effectExtent l="0" t="0" r="0" b="0"/>
                      <wp:wrapNone/>
                      <wp:docPr id="344" name="Frame343"/>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219710" cy="175260"/>
                      <wp:effectExtent l="0" t="0" r="0" b="0"/>
                      <wp:wrapNone/>
                      <wp:docPr id="345" name="Frame3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553085" cy="175260"/>
                      <wp:effectExtent l="0" t="0" r="0" b="0"/>
                      <wp:wrapNone/>
                      <wp:docPr id="346" name="Frame345"/>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229235" cy="175260"/>
                      <wp:effectExtent l="0" t="0" r="0" b="0"/>
                      <wp:wrapNone/>
                      <wp:docPr id="347" name="Frame346"/>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69215" cy="175260"/>
                      <wp:effectExtent l="0" t="0" r="0" b="0"/>
                      <wp:wrapNone/>
                      <wp:docPr id="348" name="Frame34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133985" cy="175260"/>
                      <wp:effectExtent l="0" t="0" r="0" b="0"/>
                      <wp:wrapNone/>
                      <wp:docPr id="349" name="Frame34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495935" cy="175260"/>
                      <wp:effectExtent l="0" t="0" r="0" b="0"/>
                      <wp:wrapNone/>
                      <wp:docPr id="350" name="Frame34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219710" cy="175260"/>
                      <wp:effectExtent l="0" t="0" r="0" b="0"/>
                      <wp:wrapNone/>
                      <wp:docPr id="351" name="Frame3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133985" cy="175260"/>
                      <wp:effectExtent l="0" t="0" r="0" b="0"/>
                      <wp:wrapNone/>
                      <wp:docPr id="352" name="Frame3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495935" cy="175260"/>
                      <wp:effectExtent l="0" t="0" r="0" b="0"/>
                      <wp:wrapNone/>
                      <wp:docPr id="353" name="Frame35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219710" cy="175260"/>
                      <wp:effectExtent l="0" t="0" r="0" b="0"/>
                      <wp:wrapNone/>
                      <wp:docPr id="354" name="Frame3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553085" cy="175260"/>
                      <wp:effectExtent l="0" t="0" r="0" b="0"/>
                      <wp:wrapNone/>
                      <wp:docPr id="355" name="Frame354"/>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229235" cy="175260"/>
                      <wp:effectExtent l="0" t="0" r="0" b="0"/>
                      <wp:wrapNone/>
                      <wp:docPr id="356" name="Frame355"/>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69215" cy="175260"/>
                      <wp:effectExtent l="0" t="0" r="0" b="0"/>
                      <wp:wrapNone/>
                      <wp:docPr id="357" name="Frame35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133985" cy="175260"/>
                      <wp:effectExtent l="0" t="0" r="0" b="0"/>
                      <wp:wrapNone/>
                      <wp:docPr id="358" name="Frame3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495935" cy="175260"/>
                      <wp:effectExtent l="0" t="0" r="0" b="0"/>
                      <wp:wrapNone/>
                      <wp:docPr id="359" name="Frame35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219710" cy="175260"/>
                      <wp:effectExtent l="0" t="0" r="0" b="0"/>
                      <wp:wrapNone/>
                      <wp:docPr id="360" name="Frame3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133985" cy="175260"/>
                      <wp:effectExtent l="0" t="0" r="0" b="0"/>
                      <wp:wrapNone/>
                      <wp:docPr id="361" name="Frame3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562610" cy="175260"/>
                      <wp:effectExtent l="0" t="0" r="0" b="0"/>
                      <wp:wrapNone/>
                      <wp:docPr id="362" name="Frame361"/>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1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871" w:type="dxa"/>
            <w:tcBorders/>
            <w:vAlign w:val="center"/>
          </w:tcPr>
          <w:p>
            <w:pPr>
              <w:pStyle w:val="TableContents"/>
              <w:bidi w:val="0"/>
              <w:spacing w:before="0" w:after="1"/>
              <w:ind w:left="0" w:right="0" w:hanging="0"/>
              <w:jc w:val="center"/>
              <w:rPr/>
            </w:pPr>
            <w:r>
              <w:rPr/>
              <w:t>​</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33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center"/>
              <w:rPr/>
            </w:pPr>
            <w:r>
              <w:rPr/>
              <w:t>​</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43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11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871" w:type="dxa"/>
            <w:tcBorders/>
            <w:vAlign w:val="center"/>
          </w:tcPr>
          <w:p>
            <w:pPr>
              <w:pStyle w:val="TableContents"/>
              <w:bidi w:val="0"/>
              <w:spacing w:before="0" w:after="1"/>
              <w:ind w:left="0" w:right="0" w:hanging="0"/>
              <w:jc w:val="center"/>
              <w:rPr/>
            </w:pPr>
            <w:r>
              <w:rPr/>
              <w:t>​</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33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center"/>
              <w:rPr/>
            </w:pPr>
            <w:r>
              <w:rPr/>
              <w:t>​</w:t>
            </w:r>
          </w:p>
        </w:tc>
        <w:tc>
          <w:tcPr>
            <w:tcW w:w="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43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11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61" w:type="dxa"/>
            <w:tcBorders/>
            <w:vAlign w:val="center"/>
          </w:tcPr>
          <w:p>
            <w:pPr>
              <w:pStyle w:val="TableContents"/>
              <w:bidi w:val="0"/>
              <w:spacing w:before="0" w:after="1"/>
              <w:ind w:left="0" w:right="0" w:hanging="0"/>
              <w:jc w:val="left"/>
              <w:rPr/>
            </w:pPr>
            <w:r>
              <w:rPr/>
              <w:t>  ​ ​ ​</w:t>
            </w:r>
          </w:p>
        </w:tc>
        <w:tc>
          <w:tcPr>
            <w:tcW w:w="109"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61" w:type="dxa"/>
            <w:tcBorders/>
            <w:vAlign w:val="center"/>
          </w:tcPr>
          <w:p>
            <w:pPr>
              <w:pStyle w:val="TableContents"/>
              <w:bidi w:val="0"/>
              <w:spacing w:before="0" w:after="1"/>
              <w:ind w:left="0" w:right="0" w:hanging="0"/>
              <w:jc w:val="left"/>
              <w:rPr/>
            </w:pPr>
            <w:r>
              <w:rPr/>
              <w:t>  ​ ​ ​</w:t>
            </w:r>
          </w:p>
        </w:tc>
        <w:tc>
          <w:tcPr>
            <w:tcW w:w="109"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0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1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Domestic</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252,051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227,082</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478,567</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440,646</w:t>
            </w:r>
          </w:p>
        </w:tc>
      </w:tr>
      <w:tr>
        <w:trPr/>
        <w:tc>
          <w:tcPr>
            <w:tcW w:w="11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International</w:t>
            </w:r>
          </w:p>
        </w:tc>
        <w:tc>
          <w:tcPr>
            <w:tcW w:w="346" w:type="dxa"/>
            <w:tcBorders/>
            <w:vAlign w:val="center"/>
          </w:tcPr>
          <w:p>
            <w:pPr>
              <w:pStyle w:val="TableContents"/>
              <w:bidi w:val="0"/>
              <w:spacing w:before="0" w:after="1"/>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166,792</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155,380</w:t>
            </w:r>
          </w:p>
        </w:tc>
        <w:tc>
          <w:tcPr>
            <w:tcW w:w="346" w:type="dxa"/>
            <w:tcBorders/>
            <w:vAlign w:val="center"/>
          </w:tcPr>
          <w:p>
            <w:pPr>
              <w:pStyle w:val="TableContents"/>
              <w:bidi w:val="0"/>
              <w:spacing w:before="0" w:after="1"/>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322,153</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297,167</w:t>
            </w:r>
          </w:p>
        </w:tc>
      </w:tr>
      <w:tr>
        <w:trPr/>
        <w:tc>
          <w:tcPr>
            <w:tcW w:w="11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1"/>
              <w:ind w:left="0" w:right="0" w:hanging="0"/>
              <w:jc w:val="left"/>
              <w:rPr/>
            </w:pPr>
            <w:r>
              <w:rPr/>
              <w:t> </w:t>
            </w:r>
          </w:p>
        </w:tc>
        <w:tc>
          <w:tcPr>
            <w:tcW w:w="8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418,843</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382,462</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800,720</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737,813</w:t>
            </w:r>
          </w:p>
        </w:tc>
      </w:tr>
    </w:tbl>
    <w:p>
      <w:pPr>
        <w:pStyle w:val="TextBody"/>
        <w:bidi w:val="0"/>
        <w:spacing w:before="200" w:after="200"/>
        <w:ind w:left="0" w:right="0" w:hanging="0"/>
        <w:jc w:val="both"/>
        <w:rPr>
          <w:rFonts w:ascii="Times New Roman;Times;serif" w:hAnsi="Times New Roman;Times;serif"/>
          <w:sz w:val="20"/>
        </w:rPr>
      </w:pPr>
      <w:r>
        <w:rPr>
          <w:rFonts w:ascii="Times New Roman;Times;serif" w:hAnsi="Times New Roman;Times;serif"/>
          <w:i/>
          <w:sz w:val="20"/>
        </w:rPr>
        <w:t>Domestic Sales.</w:t>
      </w:r>
      <w:r>
        <w:rPr>
          <w:rFonts w:ascii="Times New Roman;Times;serif" w:hAnsi="Times New Roman;Times;serif"/>
          <w:sz w:val="20"/>
        </w:rPr>
        <w:t xml:space="preserve"> Domestic sales for the three-month period ended June 30, 2026 were $252.1 million, or 60.2% of net sales, up 11.0% when compared to the corresponding period of 2025. Domestic sales for the six-month period ended June 30, 2026 were $478.6 million, or 59.8% of net sales, up 8.6% when compared to the corresponding period of 2025.</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i/>
          <w:sz w:val="20"/>
        </w:rPr>
        <w:t>International Sales</w:t>
      </w:r>
      <w:r>
        <w:rPr>
          <w:rFonts w:ascii="Times New Roman;Times;serif" w:hAnsi="Times New Roman;Times;serif"/>
          <w:sz w:val="20"/>
        </w:rPr>
        <w:t xml:space="preserve">. International sales for the three-month period ended June 30, 2026 were $166.8 million, or 39.8% of net sales, up 7.3% when compared to the corresponding period in 2025 of $155.4 million. International sales for the six-month period ended June 30, 2026 were $322.2 million, or 40.2% of net sales, up 8.4% when compared to the corresponding period in 2025 of $297.2 million. The increase in our international sales for the three and six-month periods ended June 30, 2026, compared to the corresponding periods of 2025 included increased sales in each of our Europe, the Middle East and Africa, Rest of World and </w:t>
      </w:r>
      <w:r>
        <w:rPr>
          <w:rFonts w:ascii="Times New Roman;Times;serif" w:hAnsi="Times New Roman;Times;serif"/>
          <w:color w:val="212529"/>
          <w:sz w:val="20"/>
          <w:shd w:fill="FFFFFF" w:val="clear"/>
        </w:rPr>
        <w:t>Asia Pacific regions</w:t>
      </w:r>
      <w:r>
        <w:rPr>
          <w:rFonts w:ascii="Times New Roman;Times;serif" w:hAnsi="Times New Roman;Times;serif"/>
          <w:sz w:val="20"/>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Gross Profit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Our gross profit as a percentage of sales increased to 51.4% for the three-month period ended June 30, 2026, compared to 48.2% for the three-month period ended June 30, 2025. Our gross profit as a percentage of sales increased to 50.0% for the six-month period ended June 30, 2026, compared to 48.3% for the six-month period ended June 30, 2025. The increase in gross profit percentage was primarily due to an increase in sales combined with favorable changes in product mix and refunds of approximately $6.9 million relating to previously paid IEEPA tariffs.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Operating Expenses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i/>
          <w:sz w:val="20"/>
        </w:rPr>
        <w:t>Selling, General and Administrative Expense.</w:t>
      </w:r>
      <w:r>
        <w:rPr>
          <w:rFonts w:ascii="Times New Roman;Times;serif" w:hAnsi="Times New Roman;Times;serif"/>
          <w:sz w:val="20"/>
        </w:rPr>
        <w:t xml:space="preserve"> Selling, general and administrative (“SG&amp;A”) expenses increased $16.1 million, or 14.3%, for the three-month period ended June 30, 2026 compared to the corresponding period of 2025. As a percentage of sales, SG&amp;A expenses were 30.9% for the three-month period ended June 30, 2026, compared to 29.6% for the corresponding period of 2025. SG&amp;A expenses increased $26.9 million, or 12.2%, for the six-month period ended June 30, 2026 compared to the corresponding period of 2025. As a percentage of sales, SG&amp;A expenses were 30.9% for the six-month period ended June 30, 2026, compared to 29.9% for the corresponding period of 2025. For the three and six-month periods ended June 30, 2026, SG&amp;A expenses increased compared to the corresponding periods of 2025, primarily due to an increase in labor-related costs including (i) commissions associated with sales growth, (ii) headcount additions to support investment in the business and (iii) stock-based compensation. Additional drivers of the increase were costs associated with the View Point Merger totaling $5.6 million and company conferences. Such increases were partially offset by a decrease in contract termination costs incurred during 2025 as a result of the Biolife Merger.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Research and Development Expenses.</w:t>
      </w:r>
      <w:r>
        <w:rPr>
          <w:rFonts w:ascii="Times New Roman;Times;serif" w:hAnsi="Times New Roman;Times;serif"/>
          <w:sz w:val="20"/>
        </w:rPr>
        <w:t xml:space="preserve"> Research and development (“R&amp;D”) expenses for the three-month period ended June 30, 2026 were $25.4 million, up 4.2%, when compared to R&amp;D expenses in the corresponding period of 2025 of $24.4 million. R&amp;D expenses for the six-month period ended June 30, 2026 were $48.0 million, up 2.5%, when compared to R&amp;D expenses in the corresponding period of 2025 of $46.8 million. For the three and six-month periods ended June 30, 2026, R&amp;D expenses increased compared to the corresponding periods of 2025 primarily due to annual merit-based salary increases effective in the second quarter of 2026.</w:t>
      </w:r>
    </w:p>
    <w:p>
      <w:pPr>
        <w:pStyle w:val="TextBody"/>
        <w:shd w:fill="FFFFFF" w:val="clear"/>
        <w:bidi w:val="0"/>
        <w:spacing w:before="0" w:after="200"/>
        <w:ind w:left="0" w:right="0" w:hanging="0"/>
        <w:jc w:val="both"/>
        <w:rPr>
          <w:rFonts w:ascii="Times New Roman;Times;serif" w:hAnsi="Times New Roman;Times;serif"/>
          <w:sz w:val="20"/>
        </w:rPr>
      </w:pPr>
      <w:r>
        <w:rPr>
          <w:rFonts w:ascii="Times New Roman;Times;serif" w:hAnsi="Times New Roman;Times;serif"/>
          <w:i/>
          <w:sz w:val="20"/>
        </w:rPr>
        <w:t>Contingent Consideration (Benefit) Expense</w:t>
      </w:r>
      <w:r>
        <w:rPr>
          <w:rFonts w:ascii="Times New Roman;Times;serif" w:hAnsi="Times New Roman;Times;serif"/>
          <w:sz w:val="20"/>
        </w:rPr>
        <w:t>. For the three and six-month periods ended June 30, 2026, we recognized contingent consideration expense (benefit) from changes in the estimated fair value of our contingent consideration obligations stemming from our previously disclosed business acquisitions of $0.1 million and $(0.0) million, respectively, compared to contingent consideration expense of $0.1 million and $1.2 million, respectively, for the three and six-month periods ended June 30, 2025. Expense in each period related to changes in the probability and timing of achieving certain revenue and operational milestones, as well as expense for the passage of time.</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Operating Income</w:t>
      </w:r>
    </w:p>
    <w:p>
      <w:pPr>
        <w:pStyle w:val="TextBody"/>
        <w:bidi w:val="0"/>
        <w:spacing w:before="200" w:after="200"/>
        <w:ind w:left="0" w:right="0" w:hanging="0"/>
        <w:jc w:val="both"/>
        <w:rPr>
          <w:rFonts w:ascii="Times New Roman;Times;serif" w:hAnsi="Times New Roman;Times;serif"/>
          <w:sz w:val="20"/>
        </w:rPr>
      </w:pPr>
      <w:r>
        <w:rPr>
          <w:rFonts w:ascii="Times New Roman;Times;serif" w:hAnsi="Times New Roman;Times;serif"/>
          <w:sz w:val="20"/>
        </w:rPr>
        <w:t xml:space="preserve">Our </w:t>
      </w:r>
      <w:r>
        <w:rPr>
          <w:rFonts w:ascii="Times New Roman;Times;serif" w:hAnsi="Times New Roman;Times;serif"/>
          <w:sz w:val="20"/>
          <w:shd w:fill="FFFFFF" w:val="clear"/>
        </w:rPr>
        <w:t>operating income for the three-month period ended June 30, 2026 was $60.4 million, compared to operating income in the corresponding period of 2025 of $46.9 million. The increase in operating income during the three-month period ended June 30, 2026 compared to the corresponding period of 2025 was primarily a result of increased sales and gross margin, partially offset by an increase in SG&amp;A expense.</w:t>
      </w:r>
    </w:p>
    <w:p>
      <w:pPr>
        <w:pStyle w:val="TextBody"/>
        <w:bidi w:val="0"/>
        <w:spacing w:before="200" w:after="200"/>
        <w:ind w:left="0" w:right="0" w:hanging="0"/>
        <w:jc w:val="both"/>
        <w:rPr>
          <w:rFonts w:ascii="Times New Roman;Times;serif" w:hAnsi="Times New Roman;Times;serif"/>
          <w:sz w:val="20"/>
        </w:rPr>
      </w:pPr>
      <w:r>
        <w:rPr>
          <w:rFonts w:ascii="Times New Roman;Times;serif" w:hAnsi="Times New Roman;Times;serif"/>
          <w:sz w:val="20"/>
        </w:rPr>
        <w:t xml:space="preserve">Our </w:t>
      </w:r>
      <w:r>
        <w:rPr>
          <w:rFonts w:ascii="Times New Roman;Times;serif" w:hAnsi="Times New Roman;Times;serif"/>
          <w:sz w:val="20"/>
          <w:shd w:fill="FFFFFF" w:val="clear"/>
        </w:rPr>
        <w:t>operating income for the six-month period ended June 30, 2026 was $104.6 million, compared to operating income in the corresponding period of 2025 of $87.9 million. The increase in operating income during the six-month period ended June 30, 2026 compared to the corresponding period of  2025 was primarily a result of increased sales and gross margin, partially offset by an increase in SG&amp;A expense.</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Other (Income) Expense – Net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Our other expense for the three months ended June 30, 2026 and 2025 was $9.1 million and $3.5 million, respectively. The change in other (income) expense for the three-month period ended June 30, 2026 compared to the corresponding period of 2025 was primarily related to a one-time charge of $5.1 million for additional interest incurred pursuant to Merit's obligation to remove restrictive legends with respect to the Convertible Notes.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Our other (income) expense for the six months ended June 30, 2026 and 2025 was $(0.3) million and $6.6 million, respectively. The change in other (income) expense for the six-month period ended June 30, 2026 compared to the corresponding period of 2025 was primarily related to a gain of approximately $12.5 million associated with the sale of the DualCap® product line to Health Line in February 2026, partially offset by a one-time charge of $5.1 million for additional interest incurred pursuant to Merit's obligation to remove restrictive legends with respect to the Convertible Notes.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Effective Tax Rate</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Our provision for income taxes for the three-month periods ended June 30, 2026 and 2025 was a tax expense of $12.5 million and $10.8 million, respectively, which resulted in an effective tax rate of 24.4% and 24.9%, respectively. Our provision for income taxes for the six-month periods ended June 30, 2026 and 2025 was a tax expense of $25.1 million and $18.6 million, respectively, which resulted in an effective tax rate of 23.9% and 22.9%, respectively. The decrease in the effective income tax rate for the three-month period ended June 30, 2026, when compared to the prior-year period, was primarily due to increased benefit from discrete items such as deferred compensation. The increase in the effective income tax rate for the six-month period ended June 30, 2026, when compared to the prior-year period, was primarily due to decreased benefit from discrete items such as share-based compensation and the tax impacts of recent acquisition and divestiture activity. The increase in income tax expense for the three and six-month periods ended June 30, 2026, when compared to the prior-year periods, was primarily due to increased pre-tax book income and rate impact items previously listed. </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Net Income</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Our net income for the three-month periods ended June 30, 2026 and 2025 was $38.8 million and $32.6 million, respectively. The increase in our net income for the three-month period ended June 30, 2026 was the result of several principal factors, including increased sales and gross margin, partially offset by increased SG&amp;A expenses, other expense and income tax expense.</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Our net income for the six-month periods ended June 30, 2026 and 2025 was $79.8 million and $62.7 million, respectively. The increase in our net income for the six-month period ended June 30, 2026 was the result of several principal factors, including increased sales, gross margin and other income, partially offset by increased SG&amp;A expenses and income tax expense.</w:t>
      </w:r>
    </w:p>
    <w:p>
      <w:pPr>
        <w:pStyle w:val="TextBody"/>
        <w:bidi w:val="0"/>
        <w:spacing w:before="0" w:after="240"/>
        <w:ind w:left="0" w:right="0" w:hanging="0"/>
        <w:jc w:val="both"/>
        <w:rPr/>
      </w:pPr>
      <w:r>
        <w:rPr/>
        <w:t>​</w:t>
      </w:r>
    </w:p>
    <w:p>
      <w:pPr>
        <w:pStyle w:val="TextBody"/>
        <w:bidi w:val="0"/>
        <w:spacing w:before="0" w:after="0"/>
        <w:ind w:left="0" w:right="0" w:hanging="0"/>
        <w:jc w:val="both"/>
        <w:rPr/>
      </w:pPr>
      <w:r>
        <w:rPr/>
        <w:t>​</w:t>
      </w:r>
    </w:p>
    <w:p>
      <w:pPr>
        <w:pStyle w:val="TextBody"/>
        <w:bidi w:val="0"/>
        <w:spacing w:before="0" w:after="200"/>
        <w:ind w:left="0" w:right="0" w:hanging="0"/>
        <w:jc w:val="left"/>
        <w:rPr>
          <w:rFonts w:ascii="Times New Roman;Times;serif" w:hAnsi="Times New Roman;Times;serif"/>
          <w:b/>
          <w:sz w:val="20"/>
        </w:rPr>
      </w:pPr>
      <w:bookmarkStart w:id="1226" w:name="_34274abb_17aa_4782_9f37_9eb6996a0536"/>
      <w:bookmarkEnd w:id="1226"/>
      <w:r>
        <w:rPr>
          <w:rFonts w:ascii="Times New Roman;Times;serif" w:hAnsi="Times New Roman;Times;serif"/>
          <w:b/>
          <w:sz w:val="20"/>
        </w:rPr>
        <w:t>LIQUIDITY AND CAPITAL RESOURCES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Capital Commitments, Contractual Obligations and Cash Flows</w:t>
      </w:r>
    </w:p>
    <w:p>
      <w:pPr>
        <w:pStyle w:val="TextBody"/>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June 30, 2026 and December 31, 2025, our current assets exceeded current liabilities by $847.3 million and $800.4 million, respectively, and we had cash, cash equivalents and restricted cash of $450.9 million and $448.5 million, respectively, of which $65.5 million and $66.0 million, respectively, were held by foreign subsidiaries. We currently believe f</w:t>
      </w:r>
      <w:r>
        <w:rPr>
          <w:rFonts w:ascii="Times New Roman;Times;serif" w:hAnsi="Times New Roman;Times;serif"/>
          <w:sz w:val="20"/>
          <w:shd w:fill="FFFFFF" w:val="clear"/>
        </w:rPr>
        <w:t>uture repatriation of cash and other property held by our foreign subsidiaries will generally not be subject to U.S. federal income tax</w:t>
      </w:r>
      <w:r>
        <w:rPr>
          <w:rFonts w:ascii="Times New Roman;Times;serif" w:hAnsi="Times New Roman;Times;serif"/>
          <w:sz w:val="20"/>
        </w:rPr>
        <w:t>. As a result, earnings of our foreign subsidiaries are not considered to be permanently reinvested. In addition, cash held by our subsidiary in China is subject to local laws and regulations that require government approval for the transfer of such funds to entities located outside of China. As of June 30, 2026, and December 31, 2025, we had cash, cash equivalents and restricted cash of $19.7 million and $20.0 million, respectively, within our subsidiary in China.</w:t>
      </w:r>
    </w:p>
    <w:p>
      <w:pPr>
        <w:pStyle w:val="TextBody"/>
        <w:shd w:fill="FFFFFF" w:val="clear"/>
        <w:bidi w:val="0"/>
        <w:spacing w:before="0" w:after="120"/>
        <w:ind w:left="0" w:right="0" w:hanging="0"/>
        <w:jc w:val="both"/>
        <w:rPr>
          <w:rFonts w:ascii="Times New Roman;Times;serif" w:hAnsi="Times New Roman;Times;serif"/>
          <w:sz w:val="20"/>
        </w:rPr>
      </w:pPr>
      <w:r>
        <w:rPr>
          <w:rFonts w:ascii="Times New Roman;Times;serif" w:hAnsi="Times New Roman;Times;serif"/>
          <w:i/>
          <w:sz w:val="20"/>
        </w:rPr>
        <w:t>Cash flows provided by operating activities.</w:t>
      </w:r>
      <w:r>
        <w:rPr>
          <w:rFonts w:ascii="Times New Roman;Times;serif" w:hAnsi="Times New Roman;Times;serif"/>
          <w:sz w:val="20"/>
        </w:rPr>
        <w:t> We generated cash from operating activities of $110.0 million and $123.9 million during the six-month periods ended June 30, 2026 and 2025, respectively. Significant factors affecting operating cash flows during these periods included:</w:t>
      </w:r>
    </w:p>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Net income was $79.8 million and $62.7 million for the six-month periods ended June 30, 2026 and 2025, respectively.</w:t>
            </w:r>
          </w:p>
        </w:tc>
      </w:tr>
    </w:tbl>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Depreciation and amortization was $61.5 million and $60.3 million for the six-month periods ended June 30, 2026 and 2025, respectively. The increase in depreciation and amortization for the six-month period ended June 30, 2026 was primarily associated with the amortization of developed technology and other intangible assets acquired in connection with the Biolife Merger, C2 Acquisition and View Point Merger.</w:t>
            </w:r>
          </w:p>
        </w:tc>
      </w:tr>
    </w:tbl>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Cash used for inventories was $43.6 million and $11.7 million for the six-month periods ended June 30, 2026 and 2025, respectively. The increase in inventories during 2026 was principally associated with our strategy to proactively invest in our inventory balances to encourage high customer service levels, as well as to expand inventory balances for newly-acquired products and increases in safety stock due to vendor supply delays.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Cash used for trade receivables was $21.3 million and $7.3 million </w:t>
            </w:r>
            <w:r>
              <w:rPr>
                <w:rFonts w:ascii="Times New Roman;Times;serif" w:hAnsi="Times New Roman;Times;serif"/>
                <w:b w:val="false"/>
                <w:i w:val="false"/>
                <w:caps w:val="false"/>
                <w:smallCaps w:val="false"/>
                <w:sz w:val="20"/>
                <w:shd w:fill="FFFFFF" w:val="clear"/>
              </w:rPr>
              <w:t xml:space="preserve">for the six-month periods ended June 30, 2026 and 2025, respectively, </w:t>
            </w:r>
            <w:r>
              <w:rPr>
                <w:rFonts w:ascii="Times New Roman;Times;serif" w:hAnsi="Times New Roman;Times;serif"/>
                <w:b w:val="false"/>
                <w:i w:val="false"/>
                <w:caps w:val="false"/>
                <w:smallCaps w:val="false"/>
                <w:sz w:val="20"/>
              </w:rPr>
              <w:t>due primarily to the timing of customer payments.</w:t>
            </w:r>
          </w:p>
        </w:tc>
      </w:tr>
    </w:tbl>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Cash provided by (used for) other long-term obligations was $14.0 million and $(2.2) million </w:t>
            </w:r>
            <w:r>
              <w:rPr>
                <w:rFonts w:ascii="Times New Roman;Times;serif" w:hAnsi="Times New Roman;Times;serif"/>
                <w:b w:val="false"/>
                <w:i w:val="false"/>
                <w:caps w:val="false"/>
                <w:smallCaps w:val="false"/>
                <w:sz w:val="20"/>
                <w:shd w:fill="FFFFFF" w:val="clear"/>
              </w:rPr>
              <w:t>for the six-month periods ended June 30, 2026 and 2025, respectively, due primarily to an increase in deferred revenue associated with revenue from contracts with customers under our OEM product platform in 2026</w:t>
            </w:r>
            <w:r>
              <w:rPr>
                <w:rFonts w:ascii="Times New Roman;Times;serif" w:hAnsi="Times New Roman;Times;serif"/>
                <w:b w:val="false"/>
                <w:i w:val="false"/>
                <w:caps w:val="false"/>
                <w:smallCaps w:val="false"/>
                <w:sz w:val="20"/>
              </w:rPr>
              <w:t>.</w:t>
            </w:r>
          </w:p>
        </w:tc>
      </w:tr>
    </w:tbl>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Cash flows used in investing activities.</w:t>
      </w:r>
      <w:r>
        <w:rPr>
          <w:rFonts w:ascii="Times New Roman;Times;serif" w:hAnsi="Times New Roman;Times;serif"/>
          <w:sz w:val="20"/>
        </w:rPr>
        <w:t xml:space="preserve"> Cash used in investing activities was $102.4 million and $173.0 million for the six-month periods ended June 30, 2026 and 2025, respectively. We used cash for capital expenditures of property and equipment of $33.3 million and $34.8 million in the six-month periods ended June 30, 2026 and 2025, respectively. Capital expenditures in each period were primarily related to investments in property and equipment to support development and production of our products, and include costs for the construction of a new distribution facility in South Jordan, Utah. Historically, we have incurred significant expenses in connection with facility construction, production automation, product development and the introduction of new products. We anticipate that we will spend approximately $80 to $100 million in 2026 for property and equipment.</w:t>
      </w:r>
    </w:p>
    <w:p>
      <w:pPr>
        <w:pStyle w:val="TextBody"/>
        <w:shd w:fill="FFFFFF" w:val="clear"/>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Cash outflows for the acquisition of equity investments and issuance of notes receivable were $14.6 million for the six-month period ended June 30, 2025. Cash outflows invested in acquisitions were $93.0 million and $122.6 million for the six-month periods ended June 30, 2026 and 2025 and were primarily related to the acquisitions of View Point in 2026 and Biolife in 2025. Cash inflows from divestitures were $25.5 million for the six-month period ended June 30, 2026 and were related to the sale of the DualCap® product line to Health Line.</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i/>
          <w:sz w:val="20"/>
        </w:rPr>
        <w:t>Cash flows (used in) provided by financing activities.</w:t>
      </w:r>
      <w:r>
        <w:rPr>
          <w:rFonts w:ascii="Times New Roman;Times;serif" w:hAnsi="Times New Roman;Times;serif"/>
          <w:sz w:val="20"/>
        </w:rPr>
        <w:t xml:space="preserve"> </w:t>
      </w:r>
      <w:r>
        <w:rPr>
          <w:rFonts w:ascii="Times New Roman;Times;serif" w:hAnsi="Times New Roman;Times;serif"/>
          <w:sz w:val="20"/>
          <w:shd w:fill="FFFFFF" w:val="clear"/>
        </w:rPr>
        <w:t>Cash (used in) provided by financing activities for the six-month periods ended June 30, 2026 and 2025 was $(5.3) million and $11.3 million, respectively. For the six-month periods ended June  30, 2026 and 2025, we had cash used in financing activities of $3.0 million and $2.6 million, respectively, primarily attributable to the payment of milestone-based contingencies associated with the C2 Acquisition in 2026 and Brightwater Medical, Inc. in 2025. We had cash (outflows) inflows from the issuance of Common Stock of $(2.4) million and $13.9 million, net of taxes paid in exchange for common stock, for the six-month periods ended June 30, 2026 and 2025, respectively, related to the exercise of non-qualified stock options and release of time and performance-based stock awards.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As of June 30, 2026, we had outstanding borrowings of $747.5 million and had issued letter of credit guarantees of $2.9 million, with additional available borrowings of approximately $697 million under the Amended Fourth A&amp;R Credit Agreement, based on the maximum net leverage ratio and the aggregate revolving credit commitment pursuant to the Amended Fourth A&amp;R Credit Agreement. Our interest rate as of June 30, 2026 and December 31, 2025 was a fixed rate </w:t>
      </w:r>
      <w:r>
        <w:rPr>
          <w:rFonts w:ascii="Times New Roman;Times;serif" w:hAnsi="Times New Roman;Times;serif"/>
          <w:sz w:val="20"/>
          <w:shd w:fill="FFFFFF" w:val="clear"/>
        </w:rPr>
        <w:t>of 3.0% on our Convertible Notes.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We currently believe that our existing cash balances, anticipated future cash flows from operations and borrowings under our long-term debt agreements will be adequate to fund our current and currently planned future operations for the next twelve months and the foreseeable future. In the event we pursue and complete significant transactions or acquisitions in the future, additional funds may be required to meet our strategic needs, which may require us to raise additional funds in the debt or equity markets.</w:t>
      </w:r>
    </w:p>
    <w:p>
      <w:pPr>
        <w:pStyle w:val="TextBody"/>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ESTIMATES</w:t>
      </w:r>
    </w:p>
    <w:p>
      <w:pPr>
        <w:pStyle w:val="TextBody"/>
        <w:shd w:fill="FFFFFF" w:val="clear"/>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Our financial results are affected by the selection and application of accounting policies and methods. In the six-month period ended June 30, 2026 there were no changes to the application of critical accounting policies previously disclosed in Part II, Item 7 of our 2025 Annual Report on Form 10-K.</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bookmarkStart w:id="1227" w:name="_90170eb0_ce21_4a51_bd63_8ffc86b337a3"/>
      <w:bookmarkEnd w:id="1227"/>
      <w:r>
        <w:rPr>
          <w:rFonts w:ascii="Times New Roman;Times;serif" w:hAnsi="Times New Roman;Times;serif"/>
          <w:b/>
          <w:sz w:val="20"/>
        </w:rPr>
        <w:t>CAUTIONARY NOTICE REGARDING FORWARD-LOOKING STATEMENTS</w:t>
      </w:r>
    </w:p>
    <w:p>
      <w:pPr>
        <w:pStyle w:val="TextBody"/>
        <w:bidi w:val="0"/>
        <w:spacing w:before="0" w:after="200"/>
        <w:ind w:left="0" w:right="0" w:hanging="0"/>
        <w:jc w:val="both"/>
        <w:rPr>
          <w:rFonts w:ascii="Times New Roman;Times;serif" w:hAnsi="Times New Roman;Times;serif"/>
          <w:b w:val="false"/>
          <w:sz w:val="20"/>
        </w:rPr>
      </w:pPr>
      <w:r>
        <w:rPr>
          <w:rFonts w:ascii="Times New Roman;Times;serif" w:hAnsi="Times New Roman;Times;serif"/>
          <w:b w:val="false"/>
          <w:sz w:val="20"/>
        </w:rPr>
        <w:t xml:space="preserve">This report contains “forward-looking statements” within the meaning of Section 27A of the Securities Act of 1933, as amended, and Section 21E of the Securities Exchange Act of 1934, as amended (the “Exchange Act”). Forward-looking statements include, among others: </w:t>
      </w:r>
    </w:p>
    <w:tbl>
      <w:tblPr>
        <w:tblW w:w="10205" w:type="dxa"/>
        <w:jc w:val="left"/>
        <w:tblInd w:w="0" w:type="dxa"/>
        <w:tblLayout w:type="fixed"/>
        <w:tblCellMar>
          <w:top w:w="28" w:type="dxa"/>
          <w:left w:w="28" w:type="dxa"/>
          <w:bottom w:w="28" w:type="dxa"/>
          <w:right w:w="28"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pPr>
            <w:r>
              <w:rPr/>
              <w:t>•</w:t>
            </w:r>
          </w:p>
        </w:tc>
        <w:tc>
          <w:tcPr>
            <w:tcW w:w="988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statements preceded or followed by, or that include the words, “may,” “will,” “should,” “expects,” “plans,” “anticipates,” “intends,” “seeks,” “believes,” “estimates,” “projects,” “forecasts,” “potential,” “target,” “continue,” “upcoming,” “optimistic” or other forms of these words or similar words or expressions, or the negative thereof or other comparable terminology;</w:t>
            </w:r>
          </w:p>
        </w:tc>
      </w:tr>
    </w:tbl>
    <w:tbl>
      <w:tblPr>
        <w:tblW w:w="10205" w:type="dxa"/>
        <w:jc w:val="left"/>
        <w:tblInd w:w="0" w:type="dxa"/>
        <w:tblLayout w:type="fixed"/>
        <w:tblCellMar>
          <w:top w:w="28" w:type="dxa"/>
          <w:left w:w="28" w:type="dxa"/>
          <w:bottom w:w="28" w:type="dxa"/>
          <w:right w:w="28"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pPr>
            <w:r>
              <w:rPr/>
              <w:t>•</w:t>
            </w:r>
          </w:p>
        </w:tc>
        <w:tc>
          <w:tcPr>
            <w:tcW w:w="988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statements that address our future operating performance or events or developments that we expect or anticipate will occur, including, without limitation, any statements regarding our projected earnings, revenue, revenue growth or other future financial measures, our plans and objectives for future operations, our proposed new products or services, the integration, development or commercialization of the business or any assets acquired from other parties, future economic conditions or performance, the implementation of, and results which may be achieved through, Merit’s Continued Growth Initiatives Program or other business optimization initiatives, and any statements of assumptions underlying any of the foregoing; and</w:t>
            </w:r>
          </w:p>
        </w:tc>
      </w:tr>
    </w:tbl>
    <w:tbl>
      <w:tblPr>
        <w:tblW w:w="10205" w:type="dxa"/>
        <w:jc w:val="left"/>
        <w:tblInd w:w="0" w:type="dxa"/>
        <w:tblLayout w:type="fixed"/>
        <w:tblCellMar>
          <w:top w:w="28" w:type="dxa"/>
          <w:left w:w="28" w:type="dxa"/>
          <w:bottom w:w="28" w:type="dxa"/>
          <w:right w:w="28"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pPr>
            <w:r>
              <w:rPr/>
              <w:t>•</w:t>
            </w:r>
          </w:p>
        </w:tc>
        <w:tc>
          <w:tcPr>
            <w:tcW w:w="988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statements regarding our past performance, efforts, or results about which inferences or assumptions may be made, including statements proceeded or followed by the words "preliminary," "initial," "potential," "possible," "diligence," "industry-leading," "compliant," "indications," or "early feedback" or other forms of these words or similar words or expressions, or the negative thereof or other comparable terminology.</w:t>
            </w:r>
          </w:p>
        </w:tc>
      </w:tr>
    </w:tbl>
    <w:p>
      <w:pPr>
        <w:pStyle w:val="TextBody"/>
        <w:bidi w:val="0"/>
        <w:spacing w:before="0" w:after="200"/>
        <w:ind w:left="0" w:right="0" w:hanging="0"/>
        <w:jc w:val="both"/>
        <w:rPr>
          <w:rFonts w:ascii="Times New Roman;Times;serif" w:hAnsi="Times New Roman;Times;serif"/>
          <w:b w:val="false"/>
          <w:sz w:val="20"/>
        </w:rPr>
      </w:pPr>
      <w:r>
        <w:rPr>
          <w:rFonts w:ascii="Times New Roman;Times;serif" w:hAnsi="Times New Roman;Times;serif"/>
          <w:b w:val="false"/>
          <w:sz w:val="20"/>
        </w:rPr>
        <w:t>The forward-looking statements contained in this report are based on our management’s current expectations and assumptions regarding future events or outcomes. If underlying expectations or assumptions prove inaccurate, or risks or uncertainties materialize, actual results will likely differ, and could differ materially, from our expectations reflected in any forward-looking statements. Financial estimates are subject to change and are not intended to be relied upon as predictions of future operating results. Investors are cautioned not to unduly rely on any such forward-looking statements.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following are some of the important risks and uncertainties that could cause Merit’s actual results to differ from our management’s expectations in any forward-looking statements: risks and uncertainties associated with Merit’s acquisition of View Point and the OneMark Tissue Localization System and related technology; risks and uncertainties associated with Merit’s integration of the View Point business, assets and operations into its operations and its ability to achieve anticipated financial results, product development and other anticipated benefits of the acquisition; uncertainties as to whether Merit will achieve revenue or other financial performance consistent with its forecasts projected for the View Point Merger; risks and uncertainties associated with Merit’s executive succession and leadership transition; risks and uncertainties regarding trade policies or related actions implemented by the United States or other countries, including existing, proposed,  prospective or invalidated tariffs, duties or other measures; risks and uncertainties associated with Merit’s integration of businesses or assets acquired from third parties, including View Point in April 2026 and the business and assets acquired in connection with the C2 Acquisition in November 2025 and the Biolife Merger in May 2025, and Merit’s ability to achieve the anticipated operating and financial results, product development and other anticipated benefits of such acquisitions; effects of the Convertible Notes on Merit’s net income and earnings per share performance; restrictions and limitations set forth in the Convertible Notes and Indenture, which could affect Merit’s ability to operate its business as well as its liquidity; disruptions in Merit’s supply chain, manufacturing or sterilization processes; U.S. and global political, economic, competitive, reimbursement and regulatory conditions; modification or limitation of, or policies and procedures associated with, governmental or private insurance reimbursement policies; reduced availability of, and price increases associated with, components and other raw materials; increases in transportation expenses; risks relating to Merit’s potential inability to successfully manage growth through acquisitions generally, including the inability to effectively integrate acquired operations or products or commercialize technology developed internally or acquired through completed, proposed or future transactions; prospective financial obligations or other uncertainties associated with Merit’s divestiture of its DualCap® anti-microbial cap product line in February 2026; fluctuations in interest or foreign currency exchange rates and inflation; cybersecurity events; government scrutiny and regulation of the medical device industry; difficulties relating to development, testing and regulatory approval, clearance and maintenance of Merit’s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products; the safety, efficacy and patient and physician adoption of Merit’s products; the ability to fully enroll and the outcomes of ongoing and future clinical trials and market studies relating to Merit’s products; litigation and other legal proceedings affecting Merit; risks and possible effects of any failure to comply with U.S. and foreign laws and regulations; restrictions on Merit’s liquidity or business operations resulting from its debt agreements; infringement of Merit’s technology or the assertion that Merit’s technology infringes the rights of other parties; product recalls and product liability claims; potential for significant adverse changes in governing regulations; changes in tax laws and regulations in the United States or other jurisdictions or exposure to additional tax liabilities which may adversely affect Merit’s effective tax rate; termination of relationships with Merit’s suppliers, or failure of such suppliers to perform; development of new products and technology that could render Merit’s existing or future products obsolete; market acceptance of new products; failure to comply with applicable environmental laws; changes in key personnel; labor shortages and increases in labor costs; price and product competition; extreme weather events; and geopolitical events. For a further discussion of the risks and uncertainties and other factors that may affect our business, operations or financial condition, see Part I, Item 1A. “Risk Factors” in the 2025 Annual Report on Form 10-K filed with the SEC which we updated in Part II, Item 1A. “Risk Factors” in this report.</w:t>
      </w:r>
    </w:p>
    <w:p>
      <w:pPr>
        <w:pStyle w:val="TextBody"/>
        <w:bidi w:val="0"/>
        <w:spacing w:before="0" w:after="0"/>
        <w:ind w:left="0" w:right="0" w:hanging="0"/>
        <w:jc w:val="both"/>
        <w:rPr/>
      </w:pPr>
      <w:r>
        <w:rPr/>
        <w:t>​</w:t>
      </w:r>
    </w:p>
    <w:p>
      <w:pPr>
        <w:pStyle w:val="TextBody"/>
        <w:bidi w:val="0"/>
        <w:spacing w:before="0" w:after="200"/>
        <w:ind w:left="0" w:right="0" w:hanging="0"/>
        <w:jc w:val="both"/>
        <w:rPr>
          <w:rFonts w:ascii="Times New Roman;Times;serif" w:hAnsi="Times New Roman;Times;serif"/>
          <w:b w:val="false"/>
          <w:sz w:val="20"/>
        </w:rPr>
      </w:pPr>
      <w:r>
        <w:rPr>
          <w:rFonts w:ascii="Times New Roman;Times;serif" w:hAnsi="Times New Roman;Times;serif"/>
          <w:b w:val="false"/>
          <w:sz w:val="20"/>
        </w:rPr>
        <w:t>All subsequent forward-looking statements attributable to Merit or persons acting on its behalf are expressly qualified in their entirety by these cautionary statements.  Financial estimates are subject to change and are not intended to be relied upon as predictions of future operating results. Those estimates and all other forward-looking statements included in this report are made only as of the date of this report, and except as otherwise required by applicable law, Merit assumes no obligation to update or disclose revisions to estimates and all other forward-looking statements.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NOTICE REGARDING TRADEMARKS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This report includes trademarks, tradenames and service marks that are our property or the property of others. Solely for convenience, such trademarks and tradenames sometimes appear without any “™” or “®” symbol. However, failure to include such symbols is not intended to suggest, in any way, that we will not assert our rights or the rights of any applicable licensor, to these trademarks and tradenames.</w:t>
      </w:r>
    </w:p>
    <w:p>
      <w:pPr>
        <w:pStyle w:val="TextBody"/>
        <w:bidi w:val="0"/>
        <w:spacing w:before="0" w:after="240"/>
        <w:ind w:left="0" w:right="0" w:hanging="0"/>
        <w:jc w:val="both"/>
        <w:rPr/>
      </w:pPr>
      <w:r>
        <w:rPr/>
        <w:t>​</w:t>
      </w:r>
    </w:p>
    <w:p>
      <w:pPr>
        <w:pStyle w:val="TextBody"/>
        <w:bidi w:val="0"/>
        <w:spacing w:before="0" w:after="200"/>
        <w:ind w:left="0" w:right="0" w:hanging="0"/>
        <w:jc w:val="left"/>
        <w:rPr>
          <w:rFonts w:ascii="Times New Roman;Times;serif" w:hAnsi="Times New Roman;Times;serif"/>
          <w:b/>
          <w:sz w:val="20"/>
        </w:rPr>
      </w:pPr>
      <w:bookmarkStart w:id="1228" w:name="ITEM3"/>
      <w:bookmarkStart w:id="1229" w:name="_8bc1561b_c094_4597_b1de_22ae3fd1bf1f"/>
      <w:bookmarkEnd w:id="1228"/>
      <w:bookmarkEnd w:id="1229"/>
      <w:r>
        <w:rPr>
          <w:rFonts w:ascii="Times New Roman;Times;serif" w:hAnsi="Times New Roman;Times;serif"/>
          <w:b/>
          <w:sz w:val="20"/>
        </w:rPr>
        <w:t>ITEM 3. QUANTITATIVE AND QUALITATIVE DISCLOSURES ABOUT MARKET RISK</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Quantitative and qualitative disclosures about currency exchange rate risk and interest rate risk are included in Part II, Item 7A "Quantitative and Qualitative Disclosures About Market Risk" in the 2025 Annual Report on Form 10-K. In the six-month period ended June 30, 2026, there were no material changes from the information provided therein.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bookmarkStart w:id="1230" w:name="ITEM_4"/>
      <w:bookmarkStart w:id="1231" w:name="_bf707d7c_e274_4315_bfad_b191e3aed63c"/>
      <w:bookmarkStart w:id="1232" w:name="_ITEM_4._CONTROLS"/>
      <w:bookmarkEnd w:id="1230"/>
      <w:bookmarkEnd w:id="1231"/>
      <w:bookmarkEnd w:id="1232"/>
      <w:r>
        <w:rPr>
          <w:rFonts w:ascii="Times New Roman;Times;serif" w:hAnsi="Times New Roman;Times;serif"/>
          <w:b/>
          <w:sz w:val="20"/>
        </w:rPr>
        <w:t>ITEM 4. CONTROLS AND PROCEDURES</w:t>
      </w:r>
    </w:p>
    <w:p>
      <w:pPr>
        <w:pStyle w:val="TextBody"/>
        <w:bidi w:val="0"/>
        <w:spacing w:before="0" w:after="200"/>
        <w:ind w:left="0" w:right="0" w:hanging="0"/>
        <w:jc w:val="left"/>
        <w:rPr>
          <w:rFonts w:ascii="Times New Roman;Times;serif" w:hAnsi="Times New Roman;Times;serif"/>
          <w:b/>
          <w:sz w:val="20"/>
        </w:rPr>
      </w:pPr>
      <w:bookmarkStart w:id="1233" w:name="ITEM_4_Controls_Procedures"/>
      <w:bookmarkEnd w:id="1233"/>
      <w:r>
        <w:rPr>
          <w:rFonts w:ascii="Times New Roman;Times;serif" w:hAnsi="Times New Roman;Times;serif"/>
          <w:b/>
          <w:sz w:val="20"/>
        </w:rPr>
        <w:t>Evaluation of Disclosure Controls and Procedures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Our management is responsible for establishing and maintaining adequate disclosure controls and procedures for our company. Consequently, our management, with the participation of our chief executive officer and chief financial officer, evaluated the effectiveness of our disclosure controls and procedures pursuant to Rule 13a-15 under the Exchange Act as of June 30, 2026.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 Based on that evaluation, our chief executive officer and chief financial officer concluded that our disclosure controls and procedures are designed at a reasonable assurance level and are effective to provide reasonable assurance that information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Except as set forth below, during the six-month period ended June 30, 2026, there were no changes in our internal control over financial reporting that materially affected, or were reasonably likely to materially affect, our internal control over financial reporting (as defined in Exchange Act Rules 13a-15(f) and 15d-15(f) under the Securities Exchange Act of 1934).</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On April 1, 2026, we completed our acquisition of View Point Medical, Inc. We are currently integrating the policies, processes, employees, technology and operations of View Point. Management does not currently expect a material change to our internal controls over financial reporting as we fully integrate View Point. Management will continue to evaluate our internal control over financial reporting as we execute acquisition integration activities.</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bookmarkStart w:id="1234" w:name="PARTII"/>
      <w:bookmarkStart w:id="1235" w:name="_b4aa6f94_7c16_434f_b793_46cd7a01c7e5"/>
      <w:bookmarkEnd w:id="1234"/>
      <w:bookmarkEnd w:id="1235"/>
      <w:r>
        <w:rPr>
          <w:rFonts w:ascii="Times New Roman;Times;serif" w:hAnsi="Times New Roman;Times;serif"/>
          <w:b/>
          <w:sz w:val="20"/>
        </w:rPr>
        <w:t>PART II - OTHER INFORMATION</w:t>
      </w:r>
    </w:p>
    <w:p>
      <w:pPr>
        <w:pStyle w:val="TextBody"/>
        <w:bidi w:val="0"/>
        <w:spacing w:before="0" w:after="200"/>
        <w:ind w:left="0" w:right="0" w:hanging="0"/>
        <w:jc w:val="left"/>
        <w:rPr>
          <w:rFonts w:ascii="Times New Roman;Times;serif" w:hAnsi="Times New Roman;Times;serif"/>
          <w:b/>
          <w:sz w:val="20"/>
        </w:rPr>
      </w:pPr>
      <w:bookmarkStart w:id="1236" w:name="ITEM1LEGAL"/>
      <w:bookmarkEnd w:id="1236"/>
      <w:r>
        <w:rPr>
          <w:rFonts w:ascii="Times New Roman;Times;serif" w:hAnsi="Times New Roman;Times;serif"/>
          <w:b/>
          <w:sz w:val="20"/>
        </w:rPr>
        <w:t>ITEM 1. LEGAL PROCEEDINGS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See Note 10, </w:t>
      </w:r>
      <w:r>
        <w:rPr>
          <w:rFonts w:ascii="Times New Roman;Times;serif" w:hAnsi="Times New Roman;Times;serif"/>
          <w:i/>
          <w:sz w:val="20"/>
        </w:rPr>
        <w:t>Commitments and Contingencies</w:t>
      </w:r>
      <w:r>
        <w:rPr>
          <w:rFonts w:ascii="Times New Roman;Times;serif" w:hAnsi="Times New Roman;Times;serif"/>
          <w:sz w:val="20"/>
        </w:rPr>
        <w:t xml:space="preserve"> set forth in the notes to our consolidated financial statements included in Part I, Item 1 of this report.</w:t>
      </w:r>
    </w:p>
    <w:p>
      <w:pPr>
        <w:pStyle w:val="TextBody"/>
        <w:bidi w:val="0"/>
        <w:spacing w:before="0" w:after="24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bookmarkStart w:id="1237" w:name="_23f0161f_f1e1_49bb_9782_3dedb98f7242"/>
      <w:bookmarkStart w:id="1238" w:name="Item1ARiskFactors"/>
      <w:bookmarkEnd w:id="1237"/>
      <w:bookmarkEnd w:id="1238"/>
      <w:r>
        <w:rPr>
          <w:rFonts w:ascii="Times New Roman;Times;serif" w:hAnsi="Times New Roman;Times;serif"/>
          <w:b/>
          <w:sz w:val="20"/>
        </w:rPr>
        <w:t>ITEM 1A. RISK FACTORS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In addition to other information set forth in this report, readers should carefully consider the factors discussed in Part I, Item 1A. "Risk Factors" of our 2025 Annual Report on Form 10-K, which we filed with the SEC. Any of the risk factors disclosed in our reports could materially affect our business, financial condition or future results. The risks described here and in our 2025 Annual Report on Form 10-K, as updated and supplemented, are not the only risks we face. Additional risks and uncertainties not currently known to us or that we currently deem to be immaterial also may materially and adversely affect our business, financial condition and/or operating results. The discussion of the risk factors below updates the corresponding disclosure under the same heading in the 2025 Annual Report on Form 10-K and may contain material changes to the corresponding risk factor discussion in the 2025 Annual Report on Form 10-K.</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The conflict among the United States, Israel and Iran and related geopolitical instability may adversely affect our business.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ongoing conflict among the United States, Israel and Iran and any further escalation, including additional military actions, retaliatory measures, sanctions, disruptions to trade or transportation routes, cyberattacks, or other governmental or market responses, has and could continue to lead to (i) significant disruption of global energy supplies and increases in global energy prices, (ii) heightened inflationary pressures on our input costs, such as resins and other petroleum-based materials, (iii) adverse effects upon global supply chains, energy markets, commodity prices, currency exchange rates, interest rates, financial markets and overall macroeconomic conditions, and (iv) adverse customer spending patterns in markets in which we operate. The conflict remains dynamic. The full impact of the conflict is highly uncertain and protraction or escalation of hostilities may cause the risks noted above to increase or may cause other negative impacts on our business, any of which could adversely affect our business, financial condition or results of operations. We are unable to predict the extent or nature of these impacts at this time.</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The agreements and instruments governing our debt contain restrictions and limitations that could significantly affect our ability to operate our business, as well as significantly affect our liquidity.</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On June 6, 2023, we entered into a Fourth Amended and Restated Credit Agreement (“Fourth A&amp;R Credit Agreement”), with Wells Fargo Bank, National Association, and other financial institutions named therein. On December 5, 2023, we executed an amendment to the Fourth A&amp;R Credit Agreement (as amended, the "Amended Fourth A&amp;R Credit Agreement”) to facilitate the issuance of our Convertible Notes described below.</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We have pledged substantially all of our assets as collateral for the Amended Fourth A&amp;R Credit Agreement. Our breach of any covenant in the Amended Fourth A&amp;R Credit Agreement could result in a default under that agreement and could trigger acceleration of the underlying obligations. Any default under the Amended Fourth A&amp;R Credit Agreement could adversely affect our ability to service our debt and to fund our planned capital expenditures and ongoing operations. The administrative agent, joint lead arrangers, joint bookrunners and lenders under the Amended Fourth A&amp;R Credit Agreement have available to them the remedies typically available to lenders and secured parties, including the ability to foreclose on the collateral we have pledged.</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December 8, 2023, we issued $747.5 million aggregate principal amount of 3.00% Convertible Senior Notes due 2029 (the “Convertible Notes”) pursuant to Rule 144A of the Securities Act of 1933, as amended. The Convertible Notes are unsecured and bear interest at 3.00% per year, payable semi-annually in arrears on February 1 and August 1 of each year, beginning on August 1, 2024. The Convertible Notes will mature on February 1, 2029, unless earlier repurchased, redeemed, accelerated or converted in accordance with their terms prior to such date. The Convertible Notes and the Indenture include payment obligations, affirmative covenants and negative covenants. A payment default or breach of certain covenants could result in a default under the Convertible Notes and related Indenture, which could trigger (or allow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trustee and/or certain noteholders to trigger) acceleration of the underlying obligations, additional interest, fees and expenses. Any default under the Convertible Notes or the Indenture could create a substantial immediate need for liquidity, result in substantial litigation, and adversely affect our ability to fund our planned capital expenditures and ongoing operations. The Amended Fourth A&amp;R Credit Agreement and the Indenture contain restrictive covenants that could adversely affect our ability to operate our business, our liquidity or our results of operations. These covenants restrict, among other things, our incurrence of indebtedness, creation of liens or pledges on our assets, mergers or similar combinations or liquidations, asset dispositions, repurchases or redemptions of equity interests or debt, issuances of equity and payment of dividends and certain distributions.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As currently amended, the Amended Fourth A&amp;R Credit Agreement provides for potential borrowings under a revolving credit commitment of up to an aggregate amount of $700 million. Such increased borrowing limits may make it more difficult for us to comply with leverage ratios and other restrictive covenants in the Amended Fourth A&amp;R Credit Agreement. We may also have less cash available for operations and investments in our business, as we will be required to use additional cash to satisfy the minimum payment obligations associated with the increased indebtedness.</w:t>
      </w:r>
    </w:p>
    <w:p>
      <w:pPr>
        <w:pStyle w:val="TextBody"/>
        <w:bidi w:val="0"/>
        <w:spacing w:before="0" w:after="200"/>
        <w:ind w:left="0" w:right="0" w:hanging="0"/>
        <w:jc w:val="both"/>
        <w:rPr>
          <w:rFonts w:ascii="Times New Roman;Times;serif" w:hAnsi="Times New Roman;Times;serif"/>
          <w:b/>
          <w:sz w:val="20"/>
        </w:rPr>
      </w:pPr>
      <w:bookmarkStart w:id="1239" w:name="ITEM5OTHERINFORMATION"/>
      <w:bookmarkStart w:id="1240" w:name="_58980bc9_af64_4b32_b4a7_c57d69335516"/>
      <w:bookmarkEnd w:id="1239"/>
      <w:bookmarkEnd w:id="1240"/>
      <w:r>
        <w:rPr>
          <w:rFonts w:ascii="Times New Roman;Times;serif" w:hAnsi="Times New Roman;Times;serif"/>
          <w:b/>
          <w:sz w:val="20"/>
        </w:rPr>
        <w:t>ITEM 5. OTHER INFORMATION</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On July 27, 2026, we executed a First Amendment to the Merit Medical Systems, Inc. 2026 Equity Incentive Plan (the “Plan Amendment”), which modifies the Merit Medical Systems, Inc. 2026 Equity Incentive Plan (the “Plan”).  Under the Plan, acceleration of vesting is generally not permitted unless (i) a change of control has occurred, and (ii) a “Qualifying Termination” has occurred. The original definition of “Qualifying Termination” was specific to employees. The effect of the Plan Amendment is to expand the definition of “Qualifying Termination” to address events that would constitute a “Qualifying Termination” for non-employee directors and consultants. This summary is qualified by the Plan Amendment, which is incorporated herein by reference and filed as Exhibit 10.2 to this Report.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On May 26, 2026, Raul Parra, our Chief Financial Officer and Treasurer, adopted a trading arrangement (the “Parra Rule 10b5-1 Trading Plan”) for the sale of Common Stock that is intended to satisfy the affirmative defense conditions of Exchange Act Rule 10b5-1(c). The Parra Rule 10b5-1 Trading Plan provides for the sale of up to 50,646 shares of Common Stock issued or issuable under the terms of certain stock options and performance share awards granted to Mr. Parra by Merit. The Parra Rule 10b5-1 Trading Plan will terminate on May 26, 2028, unless terminated earlier pursuant to the terms of the Parra Rule 10b5-1 Trading Plan.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May 21, 2026, Brian G. Lloyd, our Chief Legal Officer and Corporate Secretary, adopted a trading arrangement (the “Lloyd Rule 10b5-1 Trading Plan”) for the sale of Common Stock that is intended to satisfy the affirmative defense conditions of Exchange Act Rule 10b5-1(c). The Lloyd Rule 10b5-1 Trading Plan provides for the sale of up to 16,722 shares of Common Stock issuable under the terms of certain stock options granted to Mr. Lloyd by Merit. The Lloyd Rule 10b5-1 Trading Plan will terminate on February 26, 2027, unless terminated earlier pursuant to the terms of the Lloyd Rule 10b5-1 Trading Plan.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Other than with respect to the Parra Rule 10b5-1 Trading Plan and the Lloyd Rule 10b5-1 Trading Plan, none of our directors or officers informed us of the adoption or termination of a “Rule 10b5-1 trading arrangement” or “non-Rule 10b5-1 trading arrangement,” as those terms are defined in Item 408 of Regulation S-K, during the three-month period ended June 30, 2026.</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bookmarkStart w:id="1241" w:name="ITEM6"/>
      <w:bookmarkStart w:id="1242" w:name="_90d4746a_3800_4711_8825_60699e87921c"/>
      <w:bookmarkEnd w:id="1241"/>
      <w:bookmarkEnd w:id="1242"/>
      <w:r>
        <w:rPr>
          <w:rFonts w:ascii="Times New Roman;Times;serif" w:hAnsi="Times New Roman;Times;serif"/>
          <w:b/>
          <w:sz w:val="20"/>
        </w:rPr>
        <w:t xml:space="preserve">ITEM 6. EXHIBITS </w:t>
      </w:r>
    </w:p>
    <w:tbl>
      <w:tblPr>
        <w:tblW w:w="10205" w:type="dxa"/>
        <w:jc w:val="left"/>
        <w:tblInd w:w="0" w:type="dxa"/>
        <w:tblLayout w:type="fixed"/>
        <w:tblCellMar>
          <w:top w:w="0" w:type="dxa"/>
          <w:left w:w="0" w:type="dxa"/>
          <w:bottom w:w="0" w:type="dxa"/>
          <w:right w:w="0" w:type="dxa"/>
        </w:tblCellMar>
      </w:tblPr>
      <w:tblGrid>
        <w:gridCol w:w="946"/>
        <w:gridCol w:w="286"/>
        <w:gridCol w:w="6576"/>
        <w:gridCol w:w="109"/>
        <w:gridCol w:w="511"/>
        <w:gridCol w:w="109"/>
        <w:gridCol w:w="631"/>
        <w:gridCol w:w="109"/>
        <w:gridCol w:w="773"/>
        <w:gridCol w:w="155"/>
      </w:tblGrid>
      <w:tr>
        <w:trPr/>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600710" cy="175260"/>
                      <wp:effectExtent l="0" t="0" r="0" b="0"/>
                      <wp:wrapNone/>
                      <wp:docPr id="363" name="Frame362"/>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181610" cy="175260"/>
                      <wp:effectExtent l="0" t="0" r="0" b="0"/>
                      <wp:wrapNone/>
                      <wp:docPr id="364" name="Frame363"/>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4175760" cy="175260"/>
                      <wp:effectExtent l="0" t="0" r="0" b="0"/>
                      <wp:wrapNone/>
                      <wp:docPr id="365" name="Frame364"/>
                      <a:graphic xmlns:a="http://schemas.openxmlformats.org/drawingml/2006/main">
                        <a:graphicData uri="http://schemas.microsoft.com/office/word/2010/wordprocessingShape">
                          <wps:wsp>
                            <wps:cNvSpPr txBox="1"/>
                            <wps:spPr>
                              <a:xfrm>
                                <a:off x="0" y="0"/>
                                <a:ext cx="4175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73"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left"/>
              <w:rPr/>
            </w:pPr>
            <w:r>
              <w:rPr/>
              <w:t>​</w:t>
            </w:r>
          </w:p>
        </w:tc>
      </w:tr>
      <w:tr>
        <w:trPr/>
        <w:tc>
          <w:tcPr>
            <w:tcW w:w="946"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left"/>
              <w:rPr/>
            </w:pPr>
            <w:r>
              <w:rPr/>
              <w:t>​</w:t>
            </w:r>
          </w:p>
        </w:tc>
        <w:tc>
          <w:tcPr>
            <w:tcW w:w="657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13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Incorporated by Reference</w:t>
            </w:r>
          </w:p>
        </w:tc>
        <w:tc>
          <w:tcPr>
            <w:tcW w:w="155" w:type="dxa"/>
            <w:tcBorders/>
            <w:vAlign w:val="center"/>
          </w:tcPr>
          <w:p>
            <w:pPr>
              <w:pStyle w:val="TableContents"/>
              <w:bidi w:val="0"/>
              <w:spacing w:before="0" w:after="0"/>
              <w:ind w:left="0" w:right="0" w:hanging="0"/>
              <w:jc w:val="center"/>
              <w:rPr/>
            </w:pPr>
            <w:r>
              <w:rPr/>
              <w:t>​</w:t>
            </w:r>
          </w:p>
        </w:tc>
      </w:tr>
      <w:tr>
        <w:trPr/>
        <w:tc>
          <w:tcPr>
            <w:tcW w:w="946"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 No.</w:t>
            </w:r>
          </w:p>
        </w:tc>
        <w:tc>
          <w:tcPr>
            <w:tcW w:w="286" w:type="dxa"/>
            <w:tcBorders>
              <w:bottom w:val="single" w:sz="8" w:space="0" w:color="000000"/>
            </w:tcBorders>
            <w:tcMar>
              <w:bottom w:w="28" w:type="dxa"/>
            </w:tcMar>
            <w:vAlign w:val="center"/>
          </w:tcPr>
          <w:p>
            <w:pPr>
              <w:pStyle w:val="TableContents"/>
              <w:bidi w:val="0"/>
              <w:spacing w:before="0" w:after="0"/>
              <w:ind w:left="0" w:right="0" w:hanging="0"/>
              <w:jc w:val="left"/>
              <w:rPr/>
            </w:pPr>
            <w:r>
              <w:rPr/>
              <w:t>  ​ ​</w:t>
            </w:r>
          </w:p>
        </w:tc>
        <w:tc>
          <w:tcPr>
            <w:tcW w:w="65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Description</w:t>
            </w:r>
          </w:p>
        </w:tc>
        <w:tc>
          <w:tcPr>
            <w:tcW w:w="109" w:type="dxa"/>
            <w:tcBorders/>
            <w:vAlign w:val="center"/>
          </w:tcPr>
          <w:p>
            <w:pPr>
              <w:pStyle w:val="TableContents"/>
              <w:bidi w:val="0"/>
              <w:spacing w:before="0" w:after="0"/>
              <w:ind w:left="0" w:right="0" w:hanging="0"/>
              <w:jc w:val="center"/>
              <w:rPr/>
            </w:pPr>
            <w:r>
              <w:rPr/>
              <w:t>​</w:t>
            </w:r>
          </w:p>
        </w:tc>
        <w:tc>
          <w:tcPr>
            <w:tcW w:w="51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Form</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3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773"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Filing Date</w:t>
            </w:r>
          </w:p>
        </w:tc>
        <w:tc>
          <w:tcPr>
            <w:tcW w:w="155" w:type="dxa"/>
            <w:tcBorders/>
            <w:vAlign w:val="center"/>
          </w:tcPr>
          <w:p>
            <w:pPr>
              <w:pStyle w:val="TableContents"/>
              <w:bidi w:val="0"/>
              <w:spacing w:before="0" w:after="0"/>
              <w:ind w:left="0" w:right="0" w:hanging="0"/>
              <w:jc w:val="center"/>
              <w:rPr/>
            </w:pPr>
            <w:r>
              <w:rPr/>
              <w:t>​</w:t>
            </w:r>
          </w:p>
        </w:tc>
      </w:tr>
      <w:tr>
        <w:trPr/>
        <w:tc>
          <w:tcPr>
            <w:tcW w:w="946" w:type="dxa"/>
            <w:tcBorders/>
            <w:vAlign w:val="center"/>
          </w:tcPr>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3.1</w:t>
            </w:r>
          </w:p>
        </w:tc>
        <w:tc>
          <w:tcPr>
            <w:tcW w:w="286" w:type="dxa"/>
            <w:tcBorders/>
            <w:vAlign w:val="center"/>
          </w:tcPr>
          <w:p>
            <w:pPr>
              <w:pStyle w:val="TableContents"/>
              <w:bidi w:val="0"/>
              <w:spacing w:before="0" w:after="120"/>
              <w:ind w:left="0" w:right="0" w:hanging="0"/>
              <w:jc w:val="left"/>
              <w:rPr/>
            </w:pPr>
            <w:r>
              <w:rPr/>
              <w:t>​</w:t>
            </w:r>
          </w:p>
        </w:tc>
        <w:tc>
          <w:tcPr>
            <w:tcW w:w="6576" w:type="dxa"/>
            <w:tcBorders/>
            <w:vAlign w:val="center"/>
          </w:tcPr>
          <w:p>
            <w:pPr>
              <w:pStyle w:val="TableContents"/>
              <w:bidi w:val="0"/>
              <w:spacing w:before="0" w:after="120"/>
              <w:ind w:left="0" w:right="0" w:hanging="0"/>
              <w:jc w:val="left"/>
              <w:rPr/>
            </w:pPr>
            <w:hyperlink r:id="rId3">
              <w:r>
                <w:rPr>
                  <w:rStyle w:val="InternetLink"/>
                  <w:rFonts w:ascii="Times New Roman;Times;serif" w:hAnsi="Times New Roman;Times;serif"/>
                  <w:b w:val="false"/>
                  <w:i w:val="false"/>
                  <w:caps w:val="false"/>
                  <w:smallCaps w:val="false"/>
                  <w:sz w:val="20"/>
                </w:rPr>
                <w:t>Second Amended and Restated Articles of Incorporation.*</w:t>
              </w:r>
            </w:hyperlink>
          </w:p>
        </w:tc>
        <w:tc>
          <w:tcPr>
            <w:tcW w:w="109" w:type="dxa"/>
            <w:tcBorders/>
            <w:vAlign w:val="center"/>
          </w:tcPr>
          <w:p>
            <w:pPr>
              <w:pStyle w:val="TableContents"/>
              <w:bidi w:val="0"/>
              <w:spacing w:before="0" w:after="120"/>
              <w:ind w:left="0" w:right="0" w:hanging="0"/>
              <w:jc w:val="left"/>
              <w:rPr/>
            </w:pPr>
            <w:r>
              <w:rPr/>
              <w:t>​</w:t>
            </w:r>
          </w:p>
        </w:tc>
        <w:tc>
          <w:tcPr>
            <w:tcW w:w="511" w:type="dxa"/>
            <w:tcBorders/>
            <w:vAlign w:val="center"/>
          </w:tcPr>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10-Q</w:t>
            </w:r>
          </w:p>
        </w:tc>
        <w:tc>
          <w:tcPr>
            <w:tcW w:w="109" w:type="dxa"/>
            <w:tcBorders/>
            <w:vAlign w:val="center"/>
          </w:tcPr>
          <w:p>
            <w:pPr>
              <w:pStyle w:val="TableContents"/>
              <w:bidi w:val="0"/>
              <w:spacing w:before="0" w:after="120"/>
              <w:ind w:left="0" w:right="0" w:hanging="0"/>
              <w:jc w:val="center"/>
              <w:rPr/>
            </w:pPr>
            <w:r>
              <w:rPr/>
              <w:t>​</w:t>
            </w:r>
          </w:p>
        </w:tc>
        <w:tc>
          <w:tcPr>
            <w:tcW w:w="631" w:type="dxa"/>
            <w:tcBorders/>
            <w:vAlign w:val="center"/>
          </w:tcPr>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3.1</w:t>
            </w:r>
          </w:p>
        </w:tc>
        <w:tc>
          <w:tcPr>
            <w:tcW w:w="109" w:type="dxa"/>
            <w:tcBorders/>
            <w:vAlign w:val="center"/>
          </w:tcPr>
          <w:p>
            <w:pPr>
              <w:pStyle w:val="TableContents"/>
              <w:bidi w:val="0"/>
              <w:spacing w:before="0" w:after="120"/>
              <w:ind w:left="0" w:right="0" w:hanging="0"/>
              <w:jc w:val="center"/>
              <w:rPr/>
            </w:pPr>
            <w:r>
              <w:rPr/>
              <w:t>​</w:t>
            </w:r>
          </w:p>
        </w:tc>
        <w:tc>
          <w:tcPr>
            <w:tcW w:w="773" w:type="dxa"/>
            <w:tcBorders/>
            <w:vAlign w:val="center"/>
          </w:tcPr>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August 9, 2018</w:t>
            </w:r>
          </w:p>
        </w:tc>
        <w:tc>
          <w:tcPr>
            <w:tcW w:w="155" w:type="dxa"/>
            <w:tcBorders/>
            <w:vAlign w:val="center"/>
          </w:tcPr>
          <w:p>
            <w:pPr>
              <w:pStyle w:val="TableContents"/>
              <w:bidi w:val="0"/>
              <w:spacing w:before="0" w:after="120"/>
              <w:ind w:left="0" w:right="0" w:hanging="0"/>
              <w:jc w:val="left"/>
              <w:rPr/>
            </w:pPr>
            <w:r>
              <w:rPr/>
              <w:t>​</w:t>
            </w:r>
          </w:p>
        </w:tc>
      </w:tr>
      <w:tr>
        <w:trPr/>
        <w:tc>
          <w:tcPr>
            <w:tcW w:w="946" w:type="dxa"/>
            <w:tcBorders/>
            <w:vAlign w:val="center"/>
          </w:tcPr>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3.2</w:t>
            </w:r>
          </w:p>
        </w:tc>
        <w:tc>
          <w:tcPr>
            <w:tcW w:w="286" w:type="dxa"/>
            <w:tcBorders/>
            <w:vAlign w:val="center"/>
          </w:tcPr>
          <w:p>
            <w:pPr>
              <w:pStyle w:val="TableContents"/>
              <w:bidi w:val="0"/>
              <w:spacing w:before="0" w:after="120"/>
              <w:ind w:left="0" w:right="0" w:hanging="0"/>
              <w:jc w:val="left"/>
              <w:rPr/>
            </w:pPr>
            <w:r>
              <w:rPr/>
              <w:t>​</w:t>
            </w:r>
          </w:p>
        </w:tc>
        <w:tc>
          <w:tcPr>
            <w:tcW w:w="6576" w:type="dxa"/>
            <w:tcBorders/>
            <w:vAlign w:val="center"/>
          </w:tcPr>
          <w:p>
            <w:pPr>
              <w:pStyle w:val="TableContents"/>
              <w:bidi w:val="0"/>
              <w:spacing w:before="0" w:after="120"/>
              <w:ind w:left="0" w:right="0" w:hanging="0"/>
              <w:jc w:val="left"/>
              <w:rPr/>
            </w:pPr>
            <w:hyperlink r:id="rId4">
              <w:r>
                <w:rPr>
                  <w:rStyle w:val="InternetLink"/>
                  <w:rFonts w:ascii="Times New Roman;Times;serif" w:hAnsi="Times New Roman;Times;serif"/>
                  <w:b w:val="false"/>
                  <w:i w:val="false"/>
                  <w:caps w:val="false"/>
                  <w:smallCaps w:val="false"/>
                  <w:sz w:val="20"/>
                </w:rPr>
                <w:t>Fifth Amended and Restated Bylaws of Merit Medical Systems, Inc.*</w:t>
              </w:r>
            </w:hyperlink>
          </w:p>
        </w:tc>
        <w:tc>
          <w:tcPr>
            <w:tcW w:w="109" w:type="dxa"/>
            <w:tcBorders/>
            <w:vAlign w:val="center"/>
          </w:tcPr>
          <w:p>
            <w:pPr>
              <w:pStyle w:val="TableContents"/>
              <w:bidi w:val="0"/>
              <w:spacing w:before="0" w:after="120"/>
              <w:ind w:left="0" w:right="0" w:hanging="0"/>
              <w:jc w:val="left"/>
              <w:rPr/>
            </w:pPr>
            <w:r>
              <w:rPr/>
              <w:t>​</w:t>
            </w:r>
          </w:p>
        </w:tc>
        <w:tc>
          <w:tcPr>
            <w:tcW w:w="511" w:type="dxa"/>
            <w:tcBorders/>
            <w:vAlign w:val="center"/>
          </w:tcPr>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8-K</w:t>
            </w:r>
          </w:p>
        </w:tc>
        <w:tc>
          <w:tcPr>
            <w:tcW w:w="109" w:type="dxa"/>
            <w:tcBorders/>
            <w:vAlign w:val="center"/>
          </w:tcPr>
          <w:p>
            <w:pPr>
              <w:pStyle w:val="TableContents"/>
              <w:bidi w:val="0"/>
              <w:spacing w:before="0" w:after="120"/>
              <w:ind w:left="0" w:right="0" w:hanging="0"/>
              <w:jc w:val="center"/>
              <w:rPr/>
            </w:pPr>
            <w:r>
              <w:rPr/>
              <w:t>​</w:t>
            </w:r>
          </w:p>
        </w:tc>
        <w:tc>
          <w:tcPr>
            <w:tcW w:w="631" w:type="dxa"/>
            <w:tcBorders/>
            <w:vAlign w:val="center"/>
          </w:tcPr>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3.1</w:t>
            </w:r>
          </w:p>
        </w:tc>
        <w:tc>
          <w:tcPr>
            <w:tcW w:w="109" w:type="dxa"/>
            <w:tcBorders/>
            <w:vAlign w:val="center"/>
          </w:tcPr>
          <w:p>
            <w:pPr>
              <w:pStyle w:val="TableContents"/>
              <w:bidi w:val="0"/>
              <w:spacing w:before="0" w:after="120"/>
              <w:ind w:left="0" w:right="0" w:hanging="0"/>
              <w:jc w:val="center"/>
              <w:rPr/>
            </w:pPr>
            <w:r>
              <w:rPr/>
              <w:t>​</w:t>
            </w:r>
          </w:p>
        </w:tc>
        <w:tc>
          <w:tcPr>
            <w:tcW w:w="773" w:type="dxa"/>
            <w:tcBorders/>
            <w:vAlign w:val="center"/>
          </w:tcPr>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May 19, 2026</w:t>
            </w:r>
          </w:p>
        </w:tc>
        <w:tc>
          <w:tcPr>
            <w:tcW w:w="155" w:type="dxa"/>
            <w:tcBorders/>
            <w:vAlign w:val="center"/>
          </w:tcPr>
          <w:p>
            <w:pPr>
              <w:pStyle w:val="TableContents"/>
              <w:bidi w:val="0"/>
              <w:spacing w:before="0" w:after="120"/>
              <w:ind w:left="0" w:right="0" w:hanging="0"/>
              <w:jc w:val="left"/>
              <w:rPr/>
            </w:pPr>
            <w:r>
              <w:rPr/>
              <w:t>​</w:t>
            </w:r>
          </w:p>
        </w:tc>
      </w:tr>
      <w:tr>
        <w:trPr/>
        <w:tc>
          <w:tcPr>
            <w:tcW w:w="946" w:type="dxa"/>
            <w:tcBorders/>
            <w:vAlign w:val="center"/>
          </w:tcPr>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10.1</w:t>
            </w:r>
          </w:p>
        </w:tc>
        <w:tc>
          <w:tcPr>
            <w:tcW w:w="286" w:type="dxa"/>
            <w:tcBorders/>
            <w:vAlign w:val="center"/>
          </w:tcPr>
          <w:p>
            <w:pPr>
              <w:pStyle w:val="TableContents"/>
              <w:bidi w:val="0"/>
              <w:spacing w:before="0" w:after="120"/>
              <w:ind w:left="0" w:right="0" w:hanging="0"/>
              <w:jc w:val="left"/>
              <w:rPr>
                <w:shd w:fill="FFFF00" w:val="clear"/>
              </w:rPr>
            </w:pPr>
            <w:r>
              <w:rPr>
                <w:shd w:fill="FFFF00" w:val="clear"/>
              </w:rPr>
              <w:t>​</w:t>
            </w:r>
          </w:p>
        </w:tc>
        <w:tc>
          <w:tcPr>
            <w:tcW w:w="6576" w:type="dxa"/>
            <w:tcBorders/>
            <w:vAlign w:val="center"/>
          </w:tcPr>
          <w:p>
            <w:pPr>
              <w:pStyle w:val="TableContents"/>
              <w:bidi w:val="0"/>
              <w:spacing w:before="0" w:after="120"/>
              <w:ind w:left="0" w:right="0" w:hanging="0"/>
              <w:jc w:val="left"/>
              <w:rPr/>
            </w:pPr>
            <w:hyperlink r:id="rId5">
              <w:r>
                <w:rPr>
                  <w:rStyle w:val="InternetLink"/>
                  <w:rFonts w:ascii="Times New Roman;Times;serif" w:hAnsi="Times New Roman;Times;serif"/>
                  <w:b w:val="false"/>
                  <w:i w:val="false"/>
                  <w:caps w:val="false"/>
                  <w:smallCaps w:val="false"/>
                  <w:sz w:val="20"/>
                </w:rPr>
                <w:t>Merit Medical Systems, Inc. 2026 Equity Incentive Plan†*</w:t>
              </w:r>
            </w:hyperlink>
          </w:p>
        </w:tc>
        <w:tc>
          <w:tcPr>
            <w:tcW w:w="109" w:type="dxa"/>
            <w:tcBorders/>
            <w:vAlign w:val="center"/>
          </w:tcPr>
          <w:p>
            <w:pPr>
              <w:pStyle w:val="TableContents"/>
              <w:bidi w:val="0"/>
              <w:spacing w:before="0" w:after="120"/>
              <w:ind w:left="0" w:right="0" w:hanging="0"/>
              <w:jc w:val="left"/>
              <w:rPr/>
            </w:pPr>
            <w:r>
              <w:rPr/>
              <w:t>​</w:t>
            </w:r>
          </w:p>
        </w:tc>
        <w:tc>
          <w:tcPr>
            <w:tcW w:w="511" w:type="dxa"/>
            <w:tcBorders/>
            <w:vAlign w:val="center"/>
          </w:tcPr>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S-8</w:t>
            </w:r>
          </w:p>
        </w:tc>
        <w:tc>
          <w:tcPr>
            <w:tcW w:w="109" w:type="dxa"/>
            <w:tcBorders/>
            <w:vAlign w:val="center"/>
          </w:tcPr>
          <w:p>
            <w:pPr>
              <w:pStyle w:val="TableContents"/>
              <w:bidi w:val="0"/>
              <w:spacing w:before="0" w:after="120"/>
              <w:ind w:left="0" w:right="0" w:hanging="0"/>
              <w:jc w:val="center"/>
              <w:rPr/>
            </w:pPr>
            <w:r>
              <w:rPr/>
              <w:t>​</w:t>
            </w:r>
          </w:p>
        </w:tc>
        <w:tc>
          <w:tcPr>
            <w:tcW w:w="631" w:type="dxa"/>
            <w:tcBorders/>
            <w:vAlign w:val="center"/>
          </w:tcPr>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99.1</w:t>
            </w:r>
          </w:p>
        </w:tc>
        <w:tc>
          <w:tcPr>
            <w:tcW w:w="109" w:type="dxa"/>
            <w:tcBorders/>
            <w:vAlign w:val="center"/>
          </w:tcPr>
          <w:p>
            <w:pPr>
              <w:pStyle w:val="TableContents"/>
              <w:bidi w:val="0"/>
              <w:spacing w:before="0" w:after="120"/>
              <w:ind w:left="0" w:right="0" w:hanging="0"/>
              <w:jc w:val="center"/>
              <w:rPr/>
            </w:pPr>
            <w:r>
              <w:rPr/>
              <w:t>​</w:t>
            </w:r>
          </w:p>
        </w:tc>
        <w:tc>
          <w:tcPr>
            <w:tcW w:w="773" w:type="dxa"/>
            <w:tcBorders/>
            <w:vAlign w:val="center"/>
          </w:tcPr>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May 15, 2026</w:t>
            </w:r>
          </w:p>
        </w:tc>
        <w:tc>
          <w:tcPr>
            <w:tcW w:w="155" w:type="dxa"/>
            <w:tcBorders/>
            <w:vAlign w:val="center"/>
          </w:tcPr>
          <w:p>
            <w:pPr>
              <w:pStyle w:val="TableContents"/>
              <w:bidi w:val="0"/>
              <w:spacing w:before="0" w:after="120"/>
              <w:ind w:left="0" w:right="0" w:hanging="0"/>
              <w:jc w:val="left"/>
              <w:rPr/>
            </w:pPr>
            <w:r>
              <w:rPr/>
              <w:t>​</w:t>
            </w:r>
          </w:p>
        </w:tc>
      </w:tr>
      <w:tr>
        <w:trPr/>
        <w:tc>
          <w:tcPr>
            <w:tcW w:w="946" w:type="dxa"/>
            <w:tcBorders/>
            <w:vAlign w:val="center"/>
          </w:tcPr>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10.2</w:t>
            </w:r>
          </w:p>
        </w:tc>
        <w:tc>
          <w:tcPr>
            <w:tcW w:w="286" w:type="dxa"/>
            <w:tcBorders/>
            <w:vAlign w:val="center"/>
          </w:tcPr>
          <w:p>
            <w:pPr>
              <w:pStyle w:val="TableContents"/>
              <w:bidi w:val="0"/>
              <w:spacing w:before="0" w:after="120"/>
              <w:ind w:left="0" w:right="0" w:hanging="0"/>
              <w:jc w:val="left"/>
              <w:rPr>
                <w:shd w:fill="FFFF00" w:val="clear"/>
              </w:rPr>
            </w:pPr>
            <w:r>
              <w:rPr>
                <w:shd w:fill="FFFF00" w:val="clear"/>
              </w:rPr>
              <w:t>​</w:t>
            </w:r>
          </w:p>
        </w:tc>
        <w:tc>
          <w:tcPr>
            <w:tcW w:w="6576" w:type="dxa"/>
            <w:tcBorders/>
            <w:vAlign w:val="center"/>
          </w:tcPr>
          <w:p>
            <w:pPr>
              <w:pStyle w:val="TableContents"/>
              <w:bidi w:val="0"/>
              <w:spacing w:before="0" w:after="120"/>
              <w:ind w:left="0" w:right="0" w:hanging="0"/>
              <w:jc w:val="left"/>
              <w:rPr/>
            </w:pPr>
            <w:hyperlink w:anchor="mmsi-20260630xex10d2.htm">
              <w:r>
                <w:rPr>
                  <w:rStyle w:val="InternetLink"/>
                  <w:rFonts w:ascii="Times New Roman;Times;serif" w:hAnsi="Times New Roman;Times;serif"/>
                  <w:b w:val="false"/>
                  <w:i w:val="false"/>
                  <w:caps w:val="false"/>
                  <w:smallCaps w:val="false"/>
                  <w:sz w:val="20"/>
                </w:rPr>
                <w:t>First Amendment to the Merit Medical Systems, Inc. 2026 Equity Incentive Plan†</w:t>
              </w:r>
            </w:hyperlink>
          </w:p>
        </w:tc>
        <w:tc>
          <w:tcPr>
            <w:tcW w:w="109" w:type="dxa"/>
            <w:tcBorders/>
            <w:vAlign w:val="center"/>
          </w:tcPr>
          <w:p>
            <w:pPr>
              <w:pStyle w:val="TableContents"/>
              <w:bidi w:val="0"/>
              <w:spacing w:before="0" w:after="120"/>
              <w:ind w:left="0" w:right="0" w:hanging="0"/>
              <w:jc w:val="left"/>
              <w:rPr/>
            </w:pPr>
            <w:r>
              <w:rPr/>
              <w:t>​</w:t>
            </w:r>
          </w:p>
        </w:tc>
        <w:tc>
          <w:tcPr>
            <w:tcW w:w="511" w:type="dxa"/>
            <w:tcBorders/>
            <w:vAlign w:val="center"/>
          </w:tcPr>
          <w:p>
            <w:pPr>
              <w:pStyle w:val="TableContents"/>
              <w:bidi w:val="0"/>
              <w:spacing w:before="0" w:after="120"/>
              <w:ind w:left="0" w:right="0" w:hanging="0"/>
              <w:jc w:val="center"/>
              <w:rPr/>
            </w:pPr>
            <w:r>
              <w:rPr/>
              <w:t>—</w:t>
            </w:r>
          </w:p>
        </w:tc>
        <w:tc>
          <w:tcPr>
            <w:tcW w:w="109" w:type="dxa"/>
            <w:tcBorders/>
            <w:vAlign w:val="center"/>
          </w:tcPr>
          <w:p>
            <w:pPr>
              <w:pStyle w:val="TableContents"/>
              <w:bidi w:val="0"/>
              <w:spacing w:before="0" w:after="120"/>
              <w:ind w:left="0" w:right="0" w:hanging="0"/>
              <w:jc w:val="center"/>
              <w:rPr/>
            </w:pPr>
            <w:r>
              <w:rPr/>
              <w:t>​</w:t>
            </w:r>
          </w:p>
        </w:tc>
        <w:tc>
          <w:tcPr>
            <w:tcW w:w="631" w:type="dxa"/>
            <w:tcBorders/>
            <w:vAlign w:val="center"/>
          </w:tcPr>
          <w:p>
            <w:pPr>
              <w:pStyle w:val="TableContents"/>
              <w:bidi w:val="0"/>
              <w:spacing w:before="0" w:after="120"/>
              <w:ind w:left="0" w:right="0" w:hanging="0"/>
              <w:jc w:val="center"/>
              <w:rPr/>
            </w:pPr>
            <w:r>
              <w:rPr/>
              <w:t>—</w:t>
            </w:r>
          </w:p>
        </w:tc>
        <w:tc>
          <w:tcPr>
            <w:tcW w:w="109" w:type="dxa"/>
            <w:tcBorders/>
            <w:vAlign w:val="center"/>
          </w:tcPr>
          <w:p>
            <w:pPr>
              <w:pStyle w:val="TableContents"/>
              <w:bidi w:val="0"/>
              <w:spacing w:before="0" w:after="120"/>
              <w:ind w:left="0" w:right="0" w:hanging="0"/>
              <w:jc w:val="center"/>
              <w:rPr/>
            </w:pPr>
            <w:r>
              <w:rPr/>
              <w:t>​</w:t>
            </w:r>
          </w:p>
        </w:tc>
        <w:tc>
          <w:tcPr>
            <w:tcW w:w="773" w:type="dxa"/>
            <w:tcBorders/>
            <w:vAlign w:val="center"/>
          </w:tcPr>
          <w:p>
            <w:pPr>
              <w:pStyle w:val="TableContents"/>
              <w:bidi w:val="0"/>
              <w:spacing w:before="0" w:after="120"/>
              <w:ind w:left="0" w:right="0" w:hanging="0"/>
              <w:jc w:val="center"/>
              <w:rPr/>
            </w:pPr>
            <w:r>
              <w:rPr/>
              <w:t>—</w:t>
            </w:r>
          </w:p>
        </w:tc>
        <w:tc>
          <w:tcPr>
            <w:tcW w:w="155" w:type="dxa"/>
            <w:tcBorders/>
            <w:vAlign w:val="center"/>
          </w:tcPr>
          <w:p>
            <w:pPr>
              <w:pStyle w:val="TableContents"/>
              <w:bidi w:val="0"/>
              <w:spacing w:before="0" w:after="120"/>
              <w:ind w:left="0" w:right="0" w:hanging="0"/>
              <w:jc w:val="left"/>
              <w:rPr/>
            </w:pPr>
            <w:r>
              <w:rPr/>
              <w:t>​</w:t>
            </w:r>
          </w:p>
        </w:tc>
      </w:tr>
      <w:tr>
        <w:trPr/>
        <w:tc>
          <w:tcPr>
            <w:tcW w:w="946" w:type="dxa"/>
            <w:tcBorders/>
            <w:vAlign w:val="center"/>
          </w:tcPr>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10.3</w:t>
            </w:r>
          </w:p>
        </w:tc>
        <w:tc>
          <w:tcPr>
            <w:tcW w:w="286" w:type="dxa"/>
            <w:tcBorders/>
            <w:vAlign w:val="center"/>
          </w:tcPr>
          <w:p>
            <w:pPr>
              <w:pStyle w:val="TableContents"/>
              <w:bidi w:val="0"/>
              <w:spacing w:before="0" w:after="120"/>
              <w:ind w:left="0" w:right="0" w:hanging="0"/>
              <w:jc w:val="left"/>
              <w:rPr>
                <w:shd w:fill="FFFF00" w:val="clear"/>
              </w:rPr>
            </w:pPr>
            <w:r>
              <w:rPr>
                <w:shd w:fill="FFFF00" w:val="clear"/>
              </w:rPr>
              <w:t>​</w:t>
            </w:r>
          </w:p>
        </w:tc>
        <w:tc>
          <w:tcPr>
            <w:tcW w:w="6576" w:type="dxa"/>
            <w:tcBorders/>
            <w:vAlign w:val="center"/>
          </w:tcPr>
          <w:p>
            <w:pPr>
              <w:pStyle w:val="TableContents"/>
              <w:bidi w:val="0"/>
              <w:spacing w:before="0" w:after="120"/>
              <w:ind w:left="0" w:right="0" w:hanging="0"/>
              <w:jc w:val="left"/>
              <w:rPr/>
            </w:pPr>
            <w:hyperlink r:id="rId6">
              <w:r>
                <w:rPr>
                  <w:rStyle w:val="InternetLink"/>
                  <w:rFonts w:ascii="Times New Roman;Times;serif" w:hAnsi="Times New Roman;Times;serif"/>
                  <w:b w:val="false"/>
                  <w:i w:val="false"/>
                  <w:caps w:val="false"/>
                  <w:smallCaps w:val="false"/>
                  <w:sz w:val="20"/>
                </w:rPr>
                <w:t>Merit Medical Systems, Inc. 2026 Employee Stock Purchase Plan†*</w:t>
              </w:r>
            </w:hyperlink>
          </w:p>
        </w:tc>
        <w:tc>
          <w:tcPr>
            <w:tcW w:w="109" w:type="dxa"/>
            <w:tcBorders/>
            <w:vAlign w:val="center"/>
          </w:tcPr>
          <w:p>
            <w:pPr>
              <w:pStyle w:val="TableContents"/>
              <w:bidi w:val="0"/>
              <w:spacing w:before="0" w:after="120"/>
              <w:ind w:left="0" w:right="0" w:hanging="0"/>
              <w:jc w:val="left"/>
              <w:rPr/>
            </w:pPr>
            <w:r>
              <w:rPr/>
              <w:t>​</w:t>
            </w:r>
          </w:p>
        </w:tc>
        <w:tc>
          <w:tcPr>
            <w:tcW w:w="511" w:type="dxa"/>
            <w:tcBorders/>
            <w:vAlign w:val="center"/>
          </w:tcPr>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8-K</w:t>
            </w:r>
          </w:p>
        </w:tc>
        <w:tc>
          <w:tcPr>
            <w:tcW w:w="109" w:type="dxa"/>
            <w:tcBorders/>
            <w:vAlign w:val="center"/>
          </w:tcPr>
          <w:p>
            <w:pPr>
              <w:pStyle w:val="TableContents"/>
              <w:bidi w:val="0"/>
              <w:spacing w:before="0" w:after="120"/>
              <w:ind w:left="0" w:right="0" w:hanging="0"/>
              <w:jc w:val="center"/>
              <w:rPr/>
            </w:pPr>
            <w:r>
              <w:rPr/>
              <w:t>​</w:t>
            </w:r>
          </w:p>
        </w:tc>
        <w:tc>
          <w:tcPr>
            <w:tcW w:w="631" w:type="dxa"/>
            <w:tcBorders/>
            <w:vAlign w:val="center"/>
          </w:tcPr>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10.2</w:t>
            </w:r>
          </w:p>
        </w:tc>
        <w:tc>
          <w:tcPr>
            <w:tcW w:w="109" w:type="dxa"/>
            <w:tcBorders/>
            <w:vAlign w:val="center"/>
          </w:tcPr>
          <w:p>
            <w:pPr>
              <w:pStyle w:val="TableContents"/>
              <w:bidi w:val="0"/>
              <w:spacing w:before="0" w:after="120"/>
              <w:ind w:left="0" w:right="0" w:hanging="0"/>
              <w:jc w:val="center"/>
              <w:rPr/>
            </w:pPr>
            <w:r>
              <w:rPr/>
              <w:t>​</w:t>
            </w:r>
          </w:p>
        </w:tc>
        <w:tc>
          <w:tcPr>
            <w:tcW w:w="773" w:type="dxa"/>
            <w:tcBorders/>
            <w:vAlign w:val="center"/>
          </w:tcPr>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May 19, 2026</w:t>
            </w:r>
          </w:p>
        </w:tc>
        <w:tc>
          <w:tcPr>
            <w:tcW w:w="155" w:type="dxa"/>
            <w:tcBorders/>
            <w:vAlign w:val="center"/>
          </w:tcPr>
          <w:p>
            <w:pPr>
              <w:pStyle w:val="TableContents"/>
              <w:bidi w:val="0"/>
              <w:spacing w:before="0" w:after="120"/>
              <w:ind w:left="0" w:right="0" w:hanging="0"/>
              <w:jc w:val="left"/>
              <w:rPr/>
            </w:pPr>
            <w:r>
              <w:rPr/>
              <w:t>​</w:t>
            </w:r>
          </w:p>
        </w:tc>
      </w:tr>
      <w:tr>
        <w:trPr/>
        <w:tc>
          <w:tcPr>
            <w:tcW w:w="946" w:type="dxa"/>
            <w:tcBorders/>
            <w:vAlign w:val="center"/>
          </w:tcPr>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10.4</w:t>
            </w:r>
          </w:p>
        </w:tc>
        <w:tc>
          <w:tcPr>
            <w:tcW w:w="286" w:type="dxa"/>
            <w:tcBorders/>
            <w:vAlign w:val="center"/>
          </w:tcPr>
          <w:p>
            <w:pPr>
              <w:pStyle w:val="TableContents"/>
              <w:bidi w:val="0"/>
              <w:spacing w:before="0" w:after="120"/>
              <w:ind w:left="0" w:right="0" w:hanging="0"/>
              <w:jc w:val="left"/>
              <w:rPr>
                <w:shd w:fill="FFFF00" w:val="clear"/>
              </w:rPr>
            </w:pPr>
            <w:r>
              <w:rPr>
                <w:shd w:fill="FFFF00" w:val="clear"/>
              </w:rPr>
              <w:t>​</w:t>
            </w:r>
          </w:p>
        </w:tc>
        <w:tc>
          <w:tcPr>
            <w:tcW w:w="6576" w:type="dxa"/>
            <w:tcBorders/>
            <w:vAlign w:val="center"/>
          </w:tcPr>
          <w:p>
            <w:pPr>
              <w:pStyle w:val="TableContents"/>
              <w:bidi w:val="0"/>
              <w:spacing w:before="0" w:after="120"/>
              <w:ind w:left="0" w:right="0" w:hanging="0"/>
              <w:jc w:val="left"/>
              <w:rPr/>
            </w:pPr>
            <w:hyperlink r:id="rId7">
              <w:r>
                <w:rPr>
                  <w:rStyle w:val="InternetLink"/>
                  <w:rFonts w:ascii="Times New Roman;Times;serif" w:hAnsi="Times New Roman;Times;serif"/>
                  <w:b w:val="false"/>
                  <w:i w:val="false"/>
                  <w:caps w:val="false"/>
                  <w:smallCaps w:val="false"/>
                  <w:sz w:val="20"/>
                </w:rPr>
                <w:t>Form of Restricted Stock Unit Award Agreement for Directors†*</w:t>
              </w:r>
            </w:hyperlink>
          </w:p>
        </w:tc>
        <w:tc>
          <w:tcPr>
            <w:tcW w:w="109" w:type="dxa"/>
            <w:tcBorders/>
            <w:vAlign w:val="center"/>
          </w:tcPr>
          <w:p>
            <w:pPr>
              <w:pStyle w:val="TableContents"/>
              <w:bidi w:val="0"/>
              <w:spacing w:before="0" w:after="120"/>
              <w:ind w:left="0" w:right="0" w:hanging="0"/>
              <w:jc w:val="left"/>
              <w:rPr/>
            </w:pPr>
            <w:r>
              <w:rPr/>
              <w:t>​</w:t>
            </w:r>
          </w:p>
        </w:tc>
        <w:tc>
          <w:tcPr>
            <w:tcW w:w="511" w:type="dxa"/>
            <w:tcBorders/>
            <w:vAlign w:val="center"/>
          </w:tcPr>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8-K</w:t>
            </w:r>
          </w:p>
        </w:tc>
        <w:tc>
          <w:tcPr>
            <w:tcW w:w="109" w:type="dxa"/>
            <w:tcBorders/>
            <w:vAlign w:val="center"/>
          </w:tcPr>
          <w:p>
            <w:pPr>
              <w:pStyle w:val="TableContents"/>
              <w:bidi w:val="0"/>
              <w:spacing w:before="0" w:after="120"/>
              <w:ind w:left="0" w:right="0" w:hanging="0"/>
              <w:jc w:val="center"/>
              <w:rPr/>
            </w:pPr>
            <w:r>
              <w:rPr/>
              <w:t>​</w:t>
            </w:r>
          </w:p>
        </w:tc>
        <w:tc>
          <w:tcPr>
            <w:tcW w:w="631" w:type="dxa"/>
            <w:tcBorders/>
            <w:vAlign w:val="center"/>
          </w:tcPr>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10.3</w:t>
            </w:r>
          </w:p>
        </w:tc>
        <w:tc>
          <w:tcPr>
            <w:tcW w:w="109" w:type="dxa"/>
            <w:tcBorders/>
            <w:vAlign w:val="center"/>
          </w:tcPr>
          <w:p>
            <w:pPr>
              <w:pStyle w:val="TableContents"/>
              <w:bidi w:val="0"/>
              <w:spacing w:before="0" w:after="120"/>
              <w:ind w:left="0" w:right="0" w:hanging="0"/>
              <w:jc w:val="center"/>
              <w:rPr/>
            </w:pPr>
            <w:r>
              <w:rPr/>
              <w:t>​</w:t>
            </w:r>
          </w:p>
        </w:tc>
        <w:tc>
          <w:tcPr>
            <w:tcW w:w="773" w:type="dxa"/>
            <w:tcBorders/>
            <w:vAlign w:val="center"/>
          </w:tcPr>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May 19, 2026</w:t>
            </w:r>
          </w:p>
        </w:tc>
        <w:tc>
          <w:tcPr>
            <w:tcW w:w="155" w:type="dxa"/>
            <w:tcBorders/>
            <w:vAlign w:val="center"/>
          </w:tcPr>
          <w:p>
            <w:pPr>
              <w:pStyle w:val="TableContents"/>
              <w:bidi w:val="0"/>
              <w:spacing w:before="0" w:after="120"/>
              <w:ind w:left="0" w:right="0" w:hanging="0"/>
              <w:jc w:val="left"/>
              <w:rPr/>
            </w:pPr>
            <w:r>
              <w:rPr/>
              <w:t>​</w:t>
            </w:r>
          </w:p>
        </w:tc>
      </w:tr>
      <w:tr>
        <w:trPr/>
        <w:tc>
          <w:tcPr>
            <w:tcW w:w="946" w:type="dxa"/>
            <w:tcBorders/>
            <w:vAlign w:val="center"/>
          </w:tcPr>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31.1</w:t>
            </w:r>
          </w:p>
        </w:tc>
        <w:tc>
          <w:tcPr>
            <w:tcW w:w="286" w:type="dxa"/>
            <w:tcBorders/>
            <w:vAlign w:val="center"/>
          </w:tcPr>
          <w:p>
            <w:pPr>
              <w:pStyle w:val="TableContents"/>
              <w:bidi w:val="0"/>
              <w:spacing w:before="0" w:after="120"/>
              <w:ind w:left="0" w:right="0" w:hanging="0"/>
              <w:jc w:val="left"/>
              <w:rPr/>
            </w:pPr>
            <w:r>
              <w:rPr/>
              <w:t>​</w:t>
            </w:r>
          </w:p>
        </w:tc>
        <w:tc>
          <w:tcPr>
            <w:tcW w:w="6576" w:type="dxa"/>
            <w:tcBorders/>
            <w:vAlign w:val="center"/>
          </w:tcPr>
          <w:p>
            <w:pPr>
              <w:pStyle w:val="TableContents"/>
              <w:bidi w:val="0"/>
              <w:spacing w:before="0" w:after="120"/>
              <w:ind w:left="0" w:right="0" w:hanging="0"/>
              <w:jc w:val="left"/>
              <w:rPr/>
            </w:pPr>
            <w:hyperlink w:anchor="mmsi-20260630xex31d1.htm">
              <w:r>
                <w:rPr>
                  <w:rStyle w:val="InternetLink"/>
                  <w:rFonts w:ascii="Times New Roman;Times;serif" w:hAnsi="Times New Roman;Times;serif"/>
                  <w:b w:val="false"/>
                  <w:i w:val="false"/>
                  <w:caps w:val="false"/>
                  <w:smallCaps w:val="false"/>
                  <w:sz w:val="20"/>
                </w:rPr>
                <w:t>Certification of Chief Executive Officer pursuant to Section 302 of the Sarbanes-Oxley Act of 2002</w:t>
              </w:r>
            </w:hyperlink>
            <w:r>
              <w:rPr>
                <w:rFonts w:ascii="Times New Roman;Times;serif" w:hAnsi="Times New Roman;Times;serif"/>
                <w:sz w:val="20"/>
              </w:rPr>
              <w:t>.</w:t>
            </w:r>
          </w:p>
        </w:tc>
        <w:tc>
          <w:tcPr>
            <w:tcW w:w="109" w:type="dxa"/>
            <w:tcBorders/>
            <w:vAlign w:val="center"/>
          </w:tcPr>
          <w:p>
            <w:pPr>
              <w:pStyle w:val="TableContents"/>
              <w:bidi w:val="0"/>
              <w:spacing w:before="0" w:after="120"/>
              <w:ind w:left="0" w:right="0" w:hanging="0"/>
              <w:jc w:val="left"/>
              <w:rPr/>
            </w:pPr>
            <w:r>
              <w:rPr/>
              <w:t>​</w:t>
            </w:r>
          </w:p>
        </w:tc>
        <w:tc>
          <w:tcPr>
            <w:tcW w:w="511" w:type="dxa"/>
            <w:tcBorders/>
            <w:vAlign w:val="center"/>
          </w:tcPr>
          <w:p>
            <w:pPr>
              <w:pStyle w:val="TableContents"/>
              <w:bidi w:val="0"/>
              <w:spacing w:before="0" w:after="120"/>
              <w:ind w:left="0" w:right="0" w:hanging="0"/>
              <w:jc w:val="center"/>
              <w:rPr/>
            </w:pPr>
            <w:r>
              <w:rPr/>
              <w:t>—</w:t>
            </w:r>
          </w:p>
        </w:tc>
        <w:tc>
          <w:tcPr>
            <w:tcW w:w="109" w:type="dxa"/>
            <w:tcBorders/>
            <w:vAlign w:val="center"/>
          </w:tcPr>
          <w:p>
            <w:pPr>
              <w:pStyle w:val="TableContents"/>
              <w:bidi w:val="0"/>
              <w:spacing w:before="0" w:after="120"/>
              <w:ind w:left="0" w:right="0" w:hanging="0"/>
              <w:jc w:val="center"/>
              <w:rPr/>
            </w:pPr>
            <w:r>
              <w:rPr/>
              <w:t>​</w:t>
            </w:r>
          </w:p>
        </w:tc>
        <w:tc>
          <w:tcPr>
            <w:tcW w:w="631" w:type="dxa"/>
            <w:tcBorders/>
            <w:vAlign w:val="center"/>
          </w:tcPr>
          <w:p>
            <w:pPr>
              <w:pStyle w:val="TableContents"/>
              <w:bidi w:val="0"/>
              <w:spacing w:before="0" w:after="120"/>
              <w:ind w:left="0" w:right="0" w:hanging="0"/>
              <w:jc w:val="center"/>
              <w:rPr/>
            </w:pPr>
            <w:r>
              <w:rPr/>
              <w:t>—</w:t>
            </w:r>
          </w:p>
        </w:tc>
        <w:tc>
          <w:tcPr>
            <w:tcW w:w="109" w:type="dxa"/>
            <w:tcBorders/>
            <w:vAlign w:val="center"/>
          </w:tcPr>
          <w:p>
            <w:pPr>
              <w:pStyle w:val="TableContents"/>
              <w:bidi w:val="0"/>
              <w:spacing w:before="0" w:after="120"/>
              <w:ind w:left="0" w:right="0" w:hanging="0"/>
              <w:jc w:val="center"/>
              <w:rPr/>
            </w:pPr>
            <w:r>
              <w:rPr/>
              <w:t>​</w:t>
            </w:r>
          </w:p>
        </w:tc>
        <w:tc>
          <w:tcPr>
            <w:tcW w:w="773" w:type="dxa"/>
            <w:tcBorders/>
            <w:vAlign w:val="center"/>
          </w:tcPr>
          <w:p>
            <w:pPr>
              <w:pStyle w:val="TableContents"/>
              <w:bidi w:val="0"/>
              <w:spacing w:before="0" w:after="120"/>
              <w:ind w:left="0" w:right="0" w:hanging="0"/>
              <w:jc w:val="center"/>
              <w:rPr/>
            </w:pPr>
            <w:r>
              <w:rPr/>
              <w:t>—</w:t>
            </w:r>
          </w:p>
        </w:tc>
        <w:tc>
          <w:tcPr>
            <w:tcW w:w="155" w:type="dxa"/>
            <w:tcBorders/>
            <w:vAlign w:val="center"/>
          </w:tcPr>
          <w:p>
            <w:pPr>
              <w:pStyle w:val="TableContents"/>
              <w:bidi w:val="0"/>
              <w:spacing w:before="0" w:after="120"/>
              <w:ind w:left="0" w:right="0" w:hanging="0"/>
              <w:jc w:val="left"/>
              <w:rPr/>
            </w:pPr>
            <w:r>
              <w:rPr/>
              <w:t>​</w:t>
            </w:r>
          </w:p>
        </w:tc>
      </w:tr>
      <w:tr>
        <w:trPr/>
        <w:tc>
          <w:tcPr>
            <w:tcW w:w="946" w:type="dxa"/>
            <w:tcBorders/>
            <w:vAlign w:val="center"/>
          </w:tcPr>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31.2</w:t>
            </w:r>
          </w:p>
        </w:tc>
        <w:tc>
          <w:tcPr>
            <w:tcW w:w="286" w:type="dxa"/>
            <w:tcBorders/>
            <w:vAlign w:val="center"/>
          </w:tcPr>
          <w:p>
            <w:pPr>
              <w:pStyle w:val="TableContents"/>
              <w:bidi w:val="0"/>
              <w:spacing w:before="0" w:after="120"/>
              <w:ind w:left="0" w:right="0" w:hanging="0"/>
              <w:jc w:val="left"/>
              <w:rPr/>
            </w:pPr>
            <w:r>
              <w:rPr/>
              <w:t>​</w:t>
            </w:r>
          </w:p>
        </w:tc>
        <w:tc>
          <w:tcPr>
            <w:tcW w:w="6576" w:type="dxa"/>
            <w:tcBorders/>
            <w:vAlign w:val="center"/>
          </w:tcPr>
          <w:p>
            <w:pPr>
              <w:pStyle w:val="TableContents"/>
              <w:bidi w:val="0"/>
              <w:spacing w:before="0" w:after="120"/>
              <w:ind w:left="0" w:right="0" w:hanging="0"/>
              <w:jc w:val="left"/>
              <w:rPr/>
            </w:pPr>
            <w:hyperlink w:anchor="mmsi-20260630xex31d2.htm">
              <w:r>
                <w:rPr>
                  <w:rStyle w:val="InternetLink"/>
                  <w:rFonts w:ascii="Times New Roman;Times;serif" w:hAnsi="Times New Roman;Times;serif"/>
                  <w:b w:val="false"/>
                  <w:i w:val="false"/>
                  <w:caps w:val="false"/>
                  <w:smallCaps w:val="false"/>
                  <w:sz w:val="20"/>
                </w:rPr>
                <w:t>Certification of Chief Financial Officer pursuant to Section 302 of the Sarbanes-Oxley Act of 2002</w:t>
              </w:r>
            </w:hyperlink>
            <w:r>
              <w:rPr>
                <w:rFonts w:ascii="Times New Roman;Times;serif" w:hAnsi="Times New Roman;Times;serif"/>
                <w:sz w:val="20"/>
              </w:rPr>
              <w:t>.</w:t>
            </w:r>
          </w:p>
        </w:tc>
        <w:tc>
          <w:tcPr>
            <w:tcW w:w="109" w:type="dxa"/>
            <w:tcBorders/>
            <w:vAlign w:val="center"/>
          </w:tcPr>
          <w:p>
            <w:pPr>
              <w:pStyle w:val="TableContents"/>
              <w:bidi w:val="0"/>
              <w:spacing w:before="0" w:after="120"/>
              <w:ind w:left="0" w:right="0" w:hanging="0"/>
              <w:jc w:val="left"/>
              <w:rPr/>
            </w:pPr>
            <w:r>
              <w:rPr/>
              <w:t>​</w:t>
            </w:r>
          </w:p>
        </w:tc>
        <w:tc>
          <w:tcPr>
            <w:tcW w:w="511" w:type="dxa"/>
            <w:tcBorders/>
            <w:vAlign w:val="center"/>
          </w:tcPr>
          <w:p>
            <w:pPr>
              <w:pStyle w:val="TableContents"/>
              <w:bidi w:val="0"/>
              <w:spacing w:before="0" w:after="120"/>
              <w:ind w:left="0" w:right="0" w:hanging="0"/>
              <w:jc w:val="center"/>
              <w:rPr/>
            </w:pPr>
            <w:r>
              <w:rPr/>
              <w:t>—</w:t>
            </w:r>
          </w:p>
        </w:tc>
        <w:tc>
          <w:tcPr>
            <w:tcW w:w="109" w:type="dxa"/>
            <w:tcBorders/>
            <w:vAlign w:val="center"/>
          </w:tcPr>
          <w:p>
            <w:pPr>
              <w:pStyle w:val="TableContents"/>
              <w:bidi w:val="0"/>
              <w:spacing w:before="0" w:after="120"/>
              <w:ind w:left="0" w:right="0" w:hanging="0"/>
              <w:jc w:val="center"/>
              <w:rPr/>
            </w:pPr>
            <w:r>
              <w:rPr/>
              <w:t>​</w:t>
            </w:r>
          </w:p>
        </w:tc>
        <w:tc>
          <w:tcPr>
            <w:tcW w:w="631" w:type="dxa"/>
            <w:tcBorders/>
            <w:vAlign w:val="center"/>
          </w:tcPr>
          <w:p>
            <w:pPr>
              <w:pStyle w:val="TableContents"/>
              <w:bidi w:val="0"/>
              <w:spacing w:before="0" w:after="120"/>
              <w:ind w:left="0" w:right="0" w:hanging="0"/>
              <w:jc w:val="center"/>
              <w:rPr/>
            </w:pPr>
            <w:r>
              <w:rPr/>
              <w:t>—</w:t>
            </w:r>
          </w:p>
        </w:tc>
        <w:tc>
          <w:tcPr>
            <w:tcW w:w="109" w:type="dxa"/>
            <w:tcBorders/>
            <w:vAlign w:val="center"/>
          </w:tcPr>
          <w:p>
            <w:pPr>
              <w:pStyle w:val="TableContents"/>
              <w:bidi w:val="0"/>
              <w:spacing w:before="0" w:after="120"/>
              <w:ind w:left="0" w:right="0" w:hanging="0"/>
              <w:jc w:val="center"/>
              <w:rPr/>
            </w:pPr>
            <w:r>
              <w:rPr/>
              <w:t>​</w:t>
            </w:r>
          </w:p>
        </w:tc>
        <w:tc>
          <w:tcPr>
            <w:tcW w:w="773" w:type="dxa"/>
            <w:tcBorders/>
            <w:vAlign w:val="center"/>
          </w:tcPr>
          <w:p>
            <w:pPr>
              <w:pStyle w:val="TableContents"/>
              <w:bidi w:val="0"/>
              <w:spacing w:before="0" w:after="120"/>
              <w:ind w:left="0" w:right="0" w:hanging="0"/>
              <w:jc w:val="center"/>
              <w:rPr/>
            </w:pPr>
            <w:r>
              <w:rPr/>
              <w:t>—</w:t>
            </w:r>
          </w:p>
        </w:tc>
        <w:tc>
          <w:tcPr>
            <w:tcW w:w="155" w:type="dxa"/>
            <w:tcBorders/>
            <w:vAlign w:val="center"/>
          </w:tcPr>
          <w:p>
            <w:pPr>
              <w:pStyle w:val="TableContents"/>
              <w:bidi w:val="0"/>
              <w:spacing w:before="0" w:after="120"/>
              <w:ind w:left="0" w:right="0" w:hanging="0"/>
              <w:jc w:val="left"/>
              <w:rPr/>
            </w:pPr>
            <w:r>
              <w:rPr/>
              <w:t>​</w:t>
            </w:r>
          </w:p>
        </w:tc>
      </w:tr>
      <w:tr>
        <w:trPr/>
        <w:tc>
          <w:tcPr>
            <w:tcW w:w="946" w:type="dxa"/>
            <w:tcBorders/>
            <w:vAlign w:val="center"/>
          </w:tcPr>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32.1</w:t>
            </w:r>
          </w:p>
        </w:tc>
        <w:tc>
          <w:tcPr>
            <w:tcW w:w="286" w:type="dxa"/>
            <w:tcBorders/>
            <w:vAlign w:val="center"/>
          </w:tcPr>
          <w:p>
            <w:pPr>
              <w:pStyle w:val="TableContents"/>
              <w:bidi w:val="0"/>
              <w:spacing w:before="0" w:after="120"/>
              <w:ind w:left="0" w:right="0" w:hanging="0"/>
              <w:jc w:val="left"/>
              <w:rPr/>
            </w:pPr>
            <w:r>
              <w:rPr/>
              <w:t>​</w:t>
            </w:r>
          </w:p>
        </w:tc>
        <w:tc>
          <w:tcPr>
            <w:tcW w:w="6576" w:type="dxa"/>
            <w:tcBorders/>
            <w:vAlign w:val="center"/>
          </w:tcPr>
          <w:p>
            <w:pPr>
              <w:pStyle w:val="TableContents"/>
              <w:bidi w:val="0"/>
              <w:spacing w:before="0" w:after="120"/>
              <w:ind w:left="0" w:right="0" w:hanging="0"/>
              <w:jc w:val="left"/>
              <w:rPr/>
            </w:pPr>
            <w:hyperlink w:anchor="mmsi-20260630xex32d1.htm">
              <w:r>
                <w:rPr>
                  <w:rStyle w:val="InternetLink"/>
                  <w:rFonts w:ascii="Times New Roman;Times;serif" w:hAnsi="Times New Roman;Times;serif"/>
                  <w:b w:val="false"/>
                  <w:i w:val="false"/>
                  <w:caps w:val="false"/>
                  <w:smallCaps w:val="false"/>
                  <w:sz w:val="20"/>
                </w:rPr>
                <w:t>Certification of Chief Executive Officer pursuant to Section 906 of the Sarbanes-Oxley Act of 2002</w:t>
              </w:r>
            </w:hyperlink>
            <w:r>
              <w:rPr>
                <w:rFonts w:ascii="Times New Roman;Times;serif" w:hAnsi="Times New Roman;Times;serif"/>
                <w:sz w:val="20"/>
              </w:rPr>
              <w:t>.</w:t>
            </w:r>
          </w:p>
        </w:tc>
        <w:tc>
          <w:tcPr>
            <w:tcW w:w="109" w:type="dxa"/>
            <w:tcBorders/>
            <w:vAlign w:val="center"/>
          </w:tcPr>
          <w:p>
            <w:pPr>
              <w:pStyle w:val="TableContents"/>
              <w:bidi w:val="0"/>
              <w:spacing w:before="0" w:after="120"/>
              <w:ind w:left="0" w:right="0" w:hanging="0"/>
              <w:jc w:val="left"/>
              <w:rPr/>
            </w:pPr>
            <w:r>
              <w:rPr/>
              <w:t>​</w:t>
            </w:r>
          </w:p>
        </w:tc>
        <w:tc>
          <w:tcPr>
            <w:tcW w:w="511" w:type="dxa"/>
            <w:tcBorders/>
            <w:vAlign w:val="center"/>
          </w:tcPr>
          <w:p>
            <w:pPr>
              <w:pStyle w:val="TableContents"/>
              <w:bidi w:val="0"/>
              <w:spacing w:before="0" w:after="120"/>
              <w:ind w:left="0" w:right="0" w:hanging="0"/>
              <w:jc w:val="center"/>
              <w:rPr/>
            </w:pPr>
            <w:r>
              <w:rPr/>
              <w:t>—</w:t>
            </w:r>
          </w:p>
        </w:tc>
        <w:tc>
          <w:tcPr>
            <w:tcW w:w="109" w:type="dxa"/>
            <w:tcBorders/>
            <w:vAlign w:val="center"/>
          </w:tcPr>
          <w:p>
            <w:pPr>
              <w:pStyle w:val="TableContents"/>
              <w:bidi w:val="0"/>
              <w:spacing w:before="0" w:after="120"/>
              <w:ind w:left="0" w:right="0" w:hanging="0"/>
              <w:jc w:val="center"/>
              <w:rPr/>
            </w:pPr>
            <w:r>
              <w:rPr/>
              <w:t>​</w:t>
            </w:r>
          </w:p>
        </w:tc>
        <w:tc>
          <w:tcPr>
            <w:tcW w:w="631" w:type="dxa"/>
            <w:tcBorders/>
            <w:vAlign w:val="center"/>
          </w:tcPr>
          <w:p>
            <w:pPr>
              <w:pStyle w:val="TableContents"/>
              <w:bidi w:val="0"/>
              <w:spacing w:before="0" w:after="120"/>
              <w:ind w:left="0" w:right="0" w:hanging="0"/>
              <w:jc w:val="center"/>
              <w:rPr/>
            </w:pPr>
            <w:r>
              <w:rPr/>
              <w:t>—</w:t>
            </w:r>
          </w:p>
        </w:tc>
        <w:tc>
          <w:tcPr>
            <w:tcW w:w="109" w:type="dxa"/>
            <w:tcBorders/>
            <w:vAlign w:val="center"/>
          </w:tcPr>
          <w:p>
            <w:pPr>
              <w:pStyle w:val="TableContents"/>
              <w:bidi w:val="0"/>
              <w:spacing w:before="0" w:after="120"/>
              <w:ind w:left="0" w:right="0" w:hanging="0"/>
              <w:jc w:val="center"/>
              <w:rPr/>
            </w:pPr>
            <w:r>
              <w:rPr/>
              <w:t>​</w:t>
            </w:r>
          </w:p>
        </w:tc>
        <w:tc>
          <w:tcPr>
            <w:tcW w:w="773" w:type="dxa"/>
            <w:tcBorders/>
            <w:vAlign w:val="center"/>
          </w:tcPr>
          <w:p>
            <w:pPr>
              <w:pStyle w:val="TableContents"/>
              <w:bidi w:val="0"/>
              <w:spacing w:before="0" w:after="120"/>
              <w:ind w:left="0" w:right="0" w:hanging="0"/>
              <w:jc w:val="center"/>
              <w:rPr/>
            </w:pPr>
            <w:r>
              <w:rPr/>
              <w:t>—</w:t>
            </w:r>
          </w:p>
        </w:tc>
        <w:tc>
          <w:tcPr>
            <w:tcW w:w="155" w:type="dxa"/>
            <w:tcBorders/>
            <w:vAlign w:val="center"/>
          </w:tcPr>
          <w:p>
            <w:pPr>
              <w:pStyle w:val="TableContents"/>
              <w:bidi w:val="0"/>
              <w:spacing w:before="0" w:after="120"/>
              <w:ind w:left="0" w:right="0" w:hanging="0"/>
              <w:jc w:val="left"/>
              <w:rPr/>
            </w:pPr>
            <w:r>
              <w:rPr/>
              <w:t>​</w:t>
            </w:r>
          </w:p>
        </w:tc>
      </w:tr>
      <w:tr>
        <w:trPr/>
        <w:tc>
          <w:tcPr>
            <w:tcW w:w="946" w:type="dxa"/>
            <w:tcBorders/>
            <w:vAlign w:val="center"/>
          </w:tcPr>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32.2</w:t>
            </w:r>
          </w:p>
        </w:tc>
        <w:tc>
          <w:tcPr>
            <w:tcW w:w="286" w:type="dxa"/>
            <w:tcBorders/>
            <w:vAlign w:val="center"/>
          </w:tcPr>
          <w:p>
            <w:pPr>
              <w:pStyle w:val="TableContents"/>
              <w:bidi w:val="0"/>
              <w:spacing w:before="0" w:after="120"/>
              <w:ind w:left="0" w:right="0" w:hanging="0"/>
              <w:jc w:val="left"/>
              <w:rPr/>
            </w:pPr>
            <w:r>
              <w:rPr/>
              <w:t>​</w:t>
            </w:r>
          </w:p>
        </w:tc>
        <w:tc>
          <w:tcPr>
            <w:tcW w:w="6576" w:type="dxa"/>
            <w:tcBorders/>
            <w:vAlign w:val="center"/>
          </w:tcPr>
          <w:p>
            <w:pPr>
              <w:pStyle w:val="TableContents"/>
              <w:bidi w:val="0"/>
              <w:spacing w:before="0" w:after="120"/>
              <w:ind w:left="0" w:right="0" w:hanging="0"/>
              <w:jc w:val="left"/>
              <w:rPr/>
            </w:pPr>
            <w:hyperlink w:anchor="mmsi-20260630xex32d2.htm">
              <w:r>
                <w:rPr>
                  <w:rStyle w:val="InternetLink"/>
                  <w:rFonts w:ascii="Times New Roman;Times;serif" w:hAnsi="Times New Roman;Times;serif"/>
                  <w:b w:val="false"/>
                  <w:i w:val="false"/>
                  <w:caps w:val="false"/>
                  <w:smallCaps w:val="false"/>
                  <w:sz w:val="20"/>
                </w:rPr>
                <w:t>Certification of Chief Financial Officer pursuant to Section 906 of the Sarbanes-Oxley Act of 2002</w:t>
              </w:r>
            </w:hyperlink>
            <w:r>
              <w:rPr>
                <w:rFonts w:ascii="Times New Roman;Times;serif" w:hAnsi="Times New Roman;Times;serif"/>
                <w:sz w:val="20"/>
              </w:rPr>
              <w:t>.</w:t>
            </w:r>
          </w:p>
        </w:tc>
        <w:tc>
          <w:tcPr>
            <w:tcW w:w="109" w:type="dxa"/>
            <w:tcBorders/>
            <w:vAlign w:val="center"/>
          </w:tcPr>
          <w:p>
            <w:pPr>
              <w:pStyle w:val="TableContents"/>
              <w:bidi w:val="0"/>
              <w:spacing w:before="0" w:after="120"/>
              <w:ind w:left="0" w:right="0" w:hanging="0"/>
              <w:jc w:val="left"/>
              <w:rPr/>
            </w:pPr>
            <w:r>
              <w:rPr/>
              <w:t>​</w:t>
            </w:r>
          </w:p>
        </w:tc>
        <w:tc>
          <w:tcPr>
            <w:tcW w:w="511" w:type="dxa"/>
            <w:tcBorders/>
            <w:vAlign w:val="center"/>
          </w:tcPr>
          <w:p>
            <w:pPr>
              <w:pStyle w:val="TableContents"/>
              <w:bidi w:val="0"/>
              <w:spacing w:before="0" w:after="120"/>
              <w:ind w:left="0" w:right="0" w:hanging="0"/>
              <w:jc w:val="center"/>
              <w:rPr/>
            </w:pPr>
            <w:r>
              <w:rPr/>
              <w:t>—</w:t>
            </w:r>
          </w:p>
        </w:tc>
        <w:tc>
          <w:tcPr>
            <w:tcW w:w="109" w:type="dxa"/>
            <w:tcBorders/>
            <w:vAlign w:val="center"/>
          </w:tcPr>
          <w:p>
            <w:pPr>
              <w:pStyle w:val="TableContents"/>
              <w:bidi w:val="0"/>
              <w:spacing w:before="0" w:after="120"/>
              <w:ind w:left="0" w:right="0" w:hanging="0"/>
              <w:jc w:val="center"/>
              <w:rPr/>
            </w:pPr>
            <w:r>
              <w:rPr/>
              <w:t>​</w:t>
            </w:r>
          </w:p>
        </w:tc>
        <w:tc>
          <w:tcPr>
            <w:tcW w:w="631" w:type="dxa"/>
            <w:tcBorders/>
            <w:vAlign w:val="center"/>
          </w:tcPr>
          <w:p>
            <w:pPr>
              <w:pStyle w:val="TableContents"/>
              <w:bidi w:val="0"/>
              <w:spacing w:before="0" w:after="120"/>
              <w:ind w:left="0" w:right="0" w:hanging="0"/>
              <w:jc w:val="center"/>
              <w:rPr/>
            </w:pPr>
            <w:r>
              <w:rPr/>
              <w:t>—</w:t>
            </w:r>
          </w:p>
        </w:tc>
        <w:tc>
          <w:tcPr>
            <w:tcW w:w="109" w:type="dxa"/>
            <w:tcBorders/>
            <w:vAlign w:val="center"/>
          </w:tcPr>
          <w:p>
            <w:pPr>
              <w:pStyle w:val="TableContents"/>
              <w:bidi w:val="0"/>
              <w:spacing w:before="0" w:after="120"/>
              <w:ind w:left="0" w:right="0" w:hanging="0"/>
              <w:jc w:val="center"/>
              <w:rPr/>
            </w:pPr>
            <w:r>
              <w:rPr/>
              <w:t>​</w:t>
            </w:r>
          </w:p>
        </w:tc>
        <w:tc>
          <w:tcPr>
            <w:tcW w:w="773" w:type="dxa"/>
            <w:tcBorders/>
            <w:vAlign w:val="center"/>
          </w:tcPr>
          <w:p>
            <w:pPr>
              <w:pStyle w:val="TableContents"/>
              <w:bidi w:val="0"/>
              <w:spacing w:before="0" w:after="120"/>
              <w:ind w:left="0" w:right="0" w:hanging="0"/>
              <w:jc w:val="center"/>
              <w:rPr/>
            </w:pPr>
            <w:r>
              <w:rPr/>
              <w:t>—</w:t>
            </w:r>
          </w:p>
        </w:tc>
        <w:tc>
          <w:tcPr>
            <w:tcW w:w="155" w:type="dxa"/>
            <w:tcBorders/>
            <w:vAlign w:val="center"/>
          </w:tcPr>
          <w:p>
            <w:pPr>
              <w:pStyle w:val="TableContents"/>
              <w:bidi w:val="0"/>
              <w:spacing w:before="0" w:after="120"/>
              <w:ind w:left="0" w:right="0" w:hanging="0"/>
              <w:jc w:val="left"/>
              <w:rPr/>
            </w:pPr>
            <w:r>
              <w:rPr/>
              <w:t>​</w:t>
            </w:r>
          </w:p>
        </w:tc>
      </w:tr>
      <w:tr>
        <w:trPr/>
        <w:tc>
          <w:tcPr>
            <w:tcW w:w="946" w:type="dxa"/>
            <w:tcBorders/>
            <w:vAlign w:val="center"/>
          </w:tcPr>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101</w:t>
            </w:r>
          </w:p>
        </w:tc>
        <w:tc>
          <w:tcPr>
            <w:tcW w:w="286" w:type="dxa"/>
            <w:tcBorders/>
            <w:vAlign w:val="center"/>
          </w:tcPr>
          <w:p>
            <w:pPr>
              <w:pStyle w:val="TableContents"/>
              <w:bidi w:val="0"/>
              <w:spacing w:before="0" w:after="120"/>
              <w:ind w:left="0" w:right="0" w:hanging="0"/>
              <w:jc w:val="left"/>
              <w:rPr/>
            </w:pPr>
            <w:r>
              <w:rPr/>
              <w:t>​</w:t>
            </w:r>
          </w:p>
        </w:tc>
        <w:tc>
          <w:tcPr>
            <w:tcW w:w="6576"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The following financial information from the quarterly report </w:t>
            </w:r>
            <w:r>
              <w:rPr>
                <w:rFonts w:ascii="Times New Roman;Times;serif" w:hAnsi="Times New Roman;Times;serif"/>
                <w:color w:val="212529"/>
                <w:sz w:val="20"/>
                <w:shd w:fill="FFFFFF" w:val="clear"/>
              </w:rPr>
              <w:t>on Form 10-Q for the quarter ended June 30, 2026, formatted in Inline Extensible Business Reporting Language (iXBRL): (i) Consolidated Balance Sheets, (ii) Consolidated Statements of Income, (iii) Consolidated Statements of Comprehensive Income (iv) Consolidated Statements of Stockholders’ Equity, (v) Consolidated Statements of Cash Flows, and (vi) related Condensed Notes to the Unaudited Consolidated Financial Statements, tagged in detail.</w:t>
            </w:r>
          </w:p>
        </w:tc>
        <w:tc>
          <w:tcPr>
            <w:tcW w:w="109" w:type="dxa"/>
            <w:tcBorders/>
            <w:vAlign w:val="center"/>
          </w:tcPr>
          <w:p>
            <w:pPr>
              <w:pStyle w:val="TableContents"/>
              <w:bidi w:val="0"/>
              <w:spacing w:before="0" w:after="120"/>
              <w:ind w:left="0" w:right="0" w:hanging="0"/>
              <w:jc w:val="left"/>
              <w:rPr/>
            </w:pPr>
            <w:r>
              <w:rPr/>
              <w:t>​</w:t>
            </w:r>
          </w:p>
        </w:tc>
        <w:tc>
          <w:tcPr>
            <w:tcW w:w="511" w:type="dxa"/>
            <w:tcBorders/>
            <w:vAlign w:val="center"/>
          </w:tcPr>
          <w:p>
            <w:pPr>
              <w:pStyle w:val="TableContents"/>
              <w:bidi w:val="0"/>
              <w:spacing w:before="0" w:after="120"/>
              <w:ind w:left="0" w:right="0" w:hanging="0"/>
              <w:jc w:val="center"/>
              <w:rPr/>
            </w:pPr>
            <w:r>
              <w:rPr/>
              <w:t>—</w:t>
            </w:r>
          </w:p>
        </w:tc>
        <w:tc>
          <w:tcPr>
            <w:tcW w:w="109" w:type="dxa"/>
            <w:tcBorders/>
            <w:vAlign w:val="center"/>
          </w:tcPr>
          <w:p>
            <w:pPr>
              <w:pStyle w:val="TableContents"/>
              <w:bidi w:val="0"/>
              <w:spacing w:before="0" w:after="120"/>
              <w:ind w:left="0" w:right="0" w:hanging="0"/>
              <w:jc w:val="center"/>
              <w:rPr/>
            </w:pPr>
            <w:r>
              <w:rPr/>
              <w:t>​</w:t>
            </w:r>
          </w:p>
        </w:tc>
        <w:tc>
          <w:tcPr>
            <w:tcW w:w="631" w:type="dxa"/>
            <w:tcBorders/>
            <w:vAlign w:val="center"/>
          </w:tcPr>
          <w:p>
            <w:pPr>
              <w:pStyle w:val="TableContents"/>
              <w:bidi w:val="0"/>
              <w:spacing w:before="0" w:after="120"/>
              <w:ind w:left="0" w:right="0" w:hanging="0"/>
              <w:jc w:val="center"/>
              <w:rPr/>
            </w:pPr>
            <w:r>
              <w:rPr/>
              <w:t>—</w:t>
            </w:r>
          </w:p>
        </w:tc>
        <w:tc>
          <w:tcPr>
            <w:tcW w:w="109" w:type="dxa"/>
            <w:tcBorders/>
            <w:vAlign w:val="center"/>
          </w:tcPr>
          <w:p>
            <w:pPr>
              <w:pStyle w:val="TableContents"/>
              <w:bidi w:val="0"/>
              <w:spacing w:before="0" w:after="120"/>
              <w:ind w:left="0" w:right="0" w:hanging="0"/>
              <w:jc w:val="center"/>
              <w:rPr/>
            </w:pPr>
            <w:r>
              <w:rPr/>
              <w:t>​</w:t>
            </w:r>
          </w:p>
        </w:tc>
        <w:tc>
          <w:tcPr>
            <w:tcW w:w="773" w:type="dxa"/>
            <w:tcBorders/>
            <w:vAlign w:val="center"/>
          </w:tcPr>
          <w:p>
            <w:pPr>
              <w:pStyle w:val="TableContents"/>
              <w:bidi w:val="0"/>
              <w:spacing w:before="0" w:after="120"/>
              <w:ind w:left="0" w:right="0" w:hanging="0"/>
              <w:jc w:val="center"/>
              <w:rPr/>
            </w:pPr>
            <w:r>
              <w:rPr/>
              <w:t>—</w:t>
            </w:r>
          </w:p>
        </w:tc>
        <w:tc>
          <w:tcPr>
            <w:tcW w:w="155" w:type="dxa"/>
            <w:tcBorders/>
            <w:vAlign w:val="center"/>
          </w:tcPr>
          <w:p>
            <w:pPr>
              <w:pStyle w:val="TableContents"/>
              <w:bidi w:val="0"/>
              <w:spacing w:before="0" w:after="120"/>
              <w:ind w:left="0" w:right="0" w:hanging="0"/>
              <w:jc w:val="left"/>
              <w:rPr/>
            </w:pPr>
            <w:r>
              <w:rPr/>
              <w:t>​</w:t>
            </w:r>
          </w:p>
        </w:tc>
      </w:tr>
      <w:tr>
        <w:trPr/>
        <w:tc>
          <w:tcPr>
            <w:tcW w:w="94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104</w:t>
            </w:r>
          </w:p>
        </w:tc>
        <w:tc>
          <w:tcPr>
            <w:tcW w:w="286" w:type="dxa"/>
            <w:tcBorders/>
            <w:vAlign w:val="center"/>
          </w:tcPr>
          <w:p>
            <w:pPr>
              <w:pStyle w:val="TableContents"/>
              <w:bidi w:val="0"/>
              <w:spacing w:before="0" w:after="0"/>
              <w:ind w:left="0" w:right="0" w:hanging="0"/>
              <w:jc w:val="left"/>
              <w:rPr/>
            </w:pPr>
            <w:r>
              <w:rPr/>
              <w:t> </w:t>
            </w:r>
          </w:p>
        </w:tc>
        <w:tc>
          <w:tcPr>
            <w:tcW w:w="6576"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Cover Page Interactive Data File (the cover page XBRL tags are embedded within the Inline XBRL document).</w:t>
            </w:r>
          </w:p>
        </w:tc>
        <w:tc>
          <w:tcPr>
            <w:tcW w:w="109" w:type="dxa"/>
            <w:tcBorders/>
            <w:vAlign w:val="center"/>
          </w:tcPr>
          <w:p>
            <w:pPr>
              <w:pStyle w:val="TableContents"/>
              <w:bidi w:val="0"/>
              <w:spacing w:before="0" w:after="120"/>
              <w:ind w:left="0" w:right="0" w:hanging="0"/>
              <w:jc w:val="left"/>
              <w:rPr/>
            </w:pPr>
            <w:r>
              <w:rPr/>
              <w:t>​</w:t>
            </w:r>
          </w:p>
        </w:tc>
        <w:tc>
          <w:tcPr>
            <w:tcW w:w="511" w:type="dxa"/>
            <w:tcBorders/>
            <w:vAlign w:val="center"/>
          </w:tcPr>
          <w:p>
            <w:pPr>
              <w:pStyle w:val="TableContents"/>
              <w:bidi w:val="0"/>
              <w:spacing w:before="0" w:after="120"/>
              <w:ind w:left="0" w:right="0" w:hanging="0"/>
              <w:jc w:val="center"/>
              <w:rPr/>
            </w:pPr>
            <w:r>
              <w:rPr/>
              <w:t>—</w:t>
            </w:r>
          </w:p>
        </w:tc>
        <w:tc>
          <w:tcPr>
            <w:tcW w:w="109" w:type="dxa"/>
            <w:tcBorders/>
            <w:vAlign w:val="center"/>
          </w:tcPr>
          <w:p>
            <w:pPr>
              <w:pStyle w:val="TableContents"/>
              <w:bidi w:val="0"/>
              <w:spacing w:before="0" w:after="120"/>
              <w:ind w:left="0" w:right="0" w:hanging="0"/>
              <w:jc w:val="center"/>
              <w:rPr/>
            </w:pPr>
            <w:r>
              <w:rPr/>
              <w:t>​</w:t>
            </w:r>
          </w:p>
        </w:tc>
        <w:tc>
          <w:tcPr>
            <w:tcW w:w="631" w:type="dxa"/>
            <w:tcBorders/>
            <w:vAlign w:val="center"/>
          </w:tcPr>
          <w:p>
            <w:pPr>
              <w:pStyle w:val="TableContents"/>
              <w:bidi w:val="0"/>
              <w:spacing w:before="0" w:after="120"/>
              <w:ind w:left="0" w:right="0" w:hanging="0"/>
              <w:jc w:val="center"/>
              <w:rPr/>
            </w:pPr>
            <w:r>
              <w:rPr/>
              <w:t>—</w:t>
            </w:r>
          </w:p>
        </w:tc>
        <w:tc>
          <w:tcPr>
            <w:tcW w:w="109" w:type="dxa"/>
            <w:tcBorders/>
            <w:vAlign w:val="center"/>
          </w:tcPr>
          <w:p>
            <w:pPr>
              <w:pStyle w:val="TableContents"/>
              <w:bidi w:val="0"/>
              <w:spacing w:before="0" w:after="120"/>
              <w:ind w:left="0" w:right="0" w:hanging="0"/>
              <w:jc w:val="center"/>
              <w:rPr/>
            </w:pPr>
            <w:r>
              <w:rPr/>
              <w:t>​</w:t>
            </w:r>
          </w:p>
        </w:tc>
        <w:tc>
          <w:tcPr>
            <w:tcW w:w="773" w:type="dxa"/>
            <w:tcBorders/>
            <w:vAlign w:val="center"/>
          </w:tcPr>
          <w:p>
            <w:pPr>
              <w:pStyle w:val="TableContents"/>
              <w:bidi w:val="0"/>
              <w:spacing w:before="0" w:after="120"/>
              <w:ind w:left="0" w:right="0" w:hanging="0"/>
              <w:jc w:val="center"/>
              <w:rPr/>
            </w:pPr>
            <w:r>
              <w:rPr/>
              <w:t>—</w:t>
            </w:r>
          </w:p>
        </w:tc>
        <w:tc>
          <w:tcPr>
            <w:tcW w:w="155" w:type="dxa"/>
            <w:tcBorders/>
            <w:vAlign w:val="center"/>
          </w:tcPr>
          <w:p>
            <w:pPr>
              <w:pStyle w:val="TableContents"/>
              <w:bidi w:val="0"/>
              <w:spacing w:before="0" w:after="12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These exhibits are incorporated herein by reference.</w:t>
      </w:r>
    </w:p>
    <w:p>
      <w:pPr>
        <w:pStyle w:val="TextBody"/>
        <w:bidi w:val="0"/>
        <w:spacing w:before="0" w:after="0"/>
        <w:ind w:left="0" w:right="0" w:hanging="0"/>
        <w:jc w:val="left"/>
        <w:rPr/>
      </w:pPr>
      <w:r>
        <w:rPr/>
        <w:t xml:space="preserve">† </w:t>
      </w:r>
      <w:r>
        <w:rPr>
          <w:rFonts w:ascii="Times New Roman;Times;serif" w:hAnsi="Times New Roman;Times;serif"/>
          <w:sz w:val="20"/>
        </w:rPr>
        <w:t>Indicates management contract or compensatory plan or arrangement.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pPr>
      <w:bookmarkStart w:id="1243" w:name="_70b9f0fb_1808_4bc3_a103_5581e9dee4cc"/>
      <w:bookmarkEnd w:id="1243"/>
      <w:r>
        <w:rPr/>
        <w:t>​</w:t>
      </w:r>
    </w:p>
    <w:p>
      <w:pPr>
        <w:pStyle w:val="TextBody"/>
        <w:bidi w:val="0"/>
        <w:spacing w:before="0" w:after="200"/>
        <w:ind w:left="0" w:right="0" w:hanging="0"/>
        <w:jc w:val="center"/>
        <w:rPr>
          <w:rFonts w:ascii="Times New Roman;Times;serif" w:hAnsi="Times New Roman;Times;serif"/>
          <w:b/>
          <w:sz w:val="20"/>
        </w:rPr>
      </w:pPr>
      <w:bookmarkStart w:id="1244" w:name="SIGNATURES"/>
      <w:bookmarkEnd w:id="1244"/>
      <w:r>
        <w:rPr>
          <w:rFonts w:ascii="Times New Roman;Times;serif" w:hAnsi="Times New Roman;Times;serif"/>
          <w:b/>
          <w:sz w:val="20"/>
        </w:rPr>
        <w:t>SIGNATURES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6968" w:type="dxa"/>
        <w:jc w:val="left"/>
        <w:tblInd w:w="0" w:type="dxa"/>
        <w:tblLayout w:type="fixed"/>
        <w:tblCellMar>
          <w:top w:w="0" w:type="dxa"/>
          <w:left w:w="0" w:type="dxa"/>
          <w:bottom w:w="0" w:type="dxa"/>
          <w:right w:w="0" w:type="dxa"/>
        </w:tblCellMar>
      </w:tblPr>
      <w:tblGrid>
        <w:gridCol w:w="1711"/>
        <w:gridCol w:w="1747"/>
        <w:gridCol w:w="1448"/>
        <w:gridCol w:w="2062"/>
      </w:tblGrid>
      <w:tr>
        <w:trPr/>
        <w:tc>
          <w:tcPr>
            <w:tcW w:w="1711" w:type="dxa"/>
            <w:tcBorders/>
            <w:vAlign w:val="center"/>
          </w:tcPr>
          <w:p>
            <w:pPr>
              <w:pStyle w:val="TableContents"/>
              <w:bidi w:val="0"/>
              <w:spacing w:before="0" w:after="0"/>
              <w:ind w:left="0" w:right="0" w:hanging="0"/>
              <w:jc w:val="left"/>
              <w:rPr/>
            </w:pPr>
            <w:r>
              <w:rPr/>
              <w:t>​</w:t>
            </w:r>
          </w:p>
        </w:tc>
        <w:tc>
          <w:tcPr>
            <w:tcW w:w="1747" w:type="dxa"/>
            <w:tcBorders/>
            <w:vAlign w:val="center"/>
          </w:tcPr>
          <w:p>
            <w:pPr>
              <w:pStyle w:val="TableContents"/>
              <w:bidi w:val="0"/>
              <w:spacing w:before="0" w:after="0"/>
              <w:ind w:left="0" w:right="0" w:hanging="0"/>
              <w:jc w:val="left"/>
              <w:rPr/>
            </w:pPr>
            <w:r>
              <w:rPr/>
              <w:t>​</w:t>
            </w:r>
          </w:p>
        </w:tc>
        <w:tc>
          <w:tcPr>
            <w:tcW w:w="1448" w:type="dxa"/>
            <w:tcBorders/>
            <w:vAlign w:val="center"/>
          </w:tcPr>
          <w:p>
            <w:pPr>
              <w:pStyle w:val="TableContents"/>
              <w:bidi w:val="0"/>
              <w:spacing w:before="0" w:after="0"/>
              <w:ind w:left="0" w:right="0" w:hanging="0"/>
              <w:jc w:val="left"/>
              <w:rPr/>
            </w:pPr>
            <w:r>
              <w:rPr/>
              <w:t>​</w:t>
            </w:r>
          </w:p>
        </w:tc>
        <w:tc>
          <w:tcPr>
            <w:tcW w:w="2062" w:type="dxa"/>
            <w:tcBorders/>
            <w:vAlign w:val="center"/>
          </w:tcPr>
          <w:p>
            <w:pPr>
              <w:pStyle w:val="TableContents"/>
              <w:bidi w:val="0"/>
              <w:spacing w:before="0" w:after="0"/>
              <w:ind w:left="0" w:right="0" w:hanging="0"/>
              <w:jc w:val="left"/>
              <w:rPr/>
            </w:pPr>
            <w:r>
              <w:rPr/>
              <w:t>​</w:t>
            </w:r>
          </w:p>
        </w:tc>
      </w:tr>
      <w:tr>
        <w:trPr/>
        <w:tc>
          <w:tcPr>
            <w:tcW w:w="1711" w:type="dxa"/>
            <w:tcBorders/>
            <w:vAlign w:val="center"/>
          </w:tcPr>
          <w:p>
            <w:pPr>
              <w:pStyle w:val="TableContents"/>
              <w:bidi w:val="0"/>
              <w:spacing w:before="0" w:after="0"/>
              <w:ind w:left="0" w:right="0" w:hanging="0"/>
              <w:jc w:val="left"/>
              <w:rPr/>
            </w:pPr>
            <w:r>
              <w:rPr/>
              <w:t>​</w:t>
            </w:r>
          </w:p>
        </w:tc>
        <w:tc>
          <w:tcPr>
            <w:tcW w:w="5257" w:type="dxa"/>
            <w:gridSpan w:val="3"/>
            <w:tcBorders/>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MERIT MEDICAL SYSTEMS, INC.</w:t>
            </w:r>
          </w:p>
        </w:tc>
      </w:tr>
      <w:tr>
        <w:trPr/>
        <w:tc>
          <w:tcPr>
            <w:tcW w:w="1711" w:type="dxa"/>
            <w:tcBorders/>
            <w:vAlign w:val="center"/>
          </w:tcPr>
          <w:p>
            <w:pPr>
              <w:pStyle w:val="TableContents"/>
              <w:bidi w:val="0"/>
              <w:spacing w:before="0" w:after="0"/>
              <w:ind w:left="0" w:right="0" w:hanging="0"/>
              <w:jc w:val="left"/>
              <w:rPr/>
            </w:pPr>
            <w:r>
              <w:rPr/>
              <w:t>​</w:t>
            </w:r>
          </w:p>
        </w:tc>
        <w:tc>
          <w:tcPr>
            <w:tcW w:w="1747" w:type="dxa"/>
            <w:tcBorders/>
            <w:vAlign w:val="center"/>
          </w:tcPr>
          <w:p>
            <w:pPr>
              <w:pStyle w:val="TableContents"/>
              <w:bidi w:val="0"/>
              <w:spacing w:before="0" w:after="0"/>
              <w:ind w:left="0" w:right="0" w:hanging="0"/>
              <w:jc w:val="left"/>
              <w:rPr/>
            </w:pPr>
            <w:r>
              <w:rPr/>
              <w:t>​</w:t>
            </w:r>
          </w:p>
        </w:tc>
        <w:tc>
          <w:tcPr>
            <w:tcW w:w="3510" w:type="dxa"/>
            <w:gridSpan w:val="2"/>
            <w:tcBorders/>
            <w:vAlign w:val="center"/>
          </w:tcPr>
          <w:p>
            <w:pPr>
              <w:pStyle w:val="TableContents"/>
              <w:bidi w:val="0"/>
              <w:spacing w:before="0" w:after="0"/>
              <w:ind w:left="0" w:right="0" w:hanging="0"/>
              <w:jc w:val="left"/>
              <w:rPr/>
            </w:pPr>
            <w:r>
              <w:rPr/>
              <w:t>​</w:t>
            </w:r>
          </w:p>
        </w:tc>
      </w:tr>
      <w:tr>
        <w:trPr/>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July 30, 2026</w:t>
            </w:r>
          </w:p>
        </w:tc>
        <w:tc>
          <w:tcPr>
            <w:tcW w:w="17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51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MARTHA G. ARONSON</w:t>
            </w:r>
          </w:p>
        </w:tc>
      </w:tr>
      <w:tr>
        <w:trPr/>
        <w:tc>
          <w:tcPr>
            <w:tcW w:w="1711" w:type="dxa"/>
            <w:tcBorders/>
            <w:vAlign w:val="center"/>
          </w:tcPr>
          <w:p>
            <w:pPr>
              <w:pStyle w:val="TableContents"/>
              <w:bidi w:val="0"/>
              <w:spacing w:before="0" w:after="0"/>
              <w:ind w:left="0" w:right="0" w:hanging="0"/>
              <w:jc w:val="left"/>
              <w:rPr/>
            </w:pPr>
            <w:r>
              <w:rPr/>
              <w:t>​</w:t>
            </w:r>
          </w:p>
        </w:tc>
        <w:tc>
          <w:tcPr>
            <w:tcW w:w="1747" w:type="dxa"/>
            <w:tcBorders/>
            <w:vAlign w:val="center"/>
          </w:tcPr>
          <w:p>
            <w:pPr>
              <w:pStyle w:val="TableContents"/>
              <w:bidi w:val="0"/>
              <w:spacing w:before="0" w:after="0"/>
              <w:ind w:left="0" w:right="0" w:hanging="0"/>
              <w:jc w:val="left"/>
              <w:rPr/>
            </w:pPr>
            <w:r>
              <w:rPr/>
              <w:t>​</w:t>
            </w:r>
          </w:p>
        </w:tc>
        <w:tc>
          <w:tcPr>
            <w:tcW w:w="3510" w:type="dxa"/>
            <w:gridSpan w:val="2"/>
            <w:tcBorders>
              <w:top w:val="single" w:sz="8" w:space="0" w:color="000000"/>
            </w:tcBorders>
            <w:tcMar>
              <w:top w:w="28" w:type="dxa"/>
            </w:tcMar>
            <w:vAlign w:val="center"/>
          </w:tcPr>
          <w:p>
            <w:pPr>
              <w:pStyle w:val="TableContents"/>
              <w:bidi w:val="0"/>
              <w:spacing w:before="0" w:after="0"/>
              <w:ind w:left="0" w:right="0" w:hanging="0"/>
              <w:jc w:val="left"/>
              <w:rPr/>
            </w:pPr>
            <w:r>
              <w:rPr/>
              <w:t>  ​ ​ ​ ​</w:t>
            </w:r>
            <w:r>
              <w:rPr>
                <w:rFonts w:ascii="Times New Roman;Times;serif" w:hAnsi="Times New Roman;Times;serif"/>
                <w:sz w:val="20"/>
              </w:rPr>
              <w:t>Martha G. Aronson</w:t>
            </w:r>
          </w:p>
        </w:tc>
      </w:tr>
      <w:tr>
        <w:trPr/>
        <w:tc>
          <w:tcPr>
            <w:tcW w:w="1711" w:type="dxa"/>
            <w:tcBorders/>
            <w:vAlign w:val="center"/>
          </w:tcPr>
          <w:p>
            <w:pPr>
              <w:pStyle w:val="TableContents"/>
              <w:bidi w:val="0"/>
              <w:spacing w:before="0" w:after="0"/>
              <w:ind w:left="0" w:right="0" w:hanging="0"/>
              <w:jc w:val="left"/>
              <w:rPr/>
            </w:pPr>
            <w:r>
              <w:rPr/>
              <w:t>​</w:t>
            </w:r>
          </w:p>
        </w:tc>
        <w:tc>
          <w:tcPr>
            <w:tcW w:w="1747" w:type="dxa"/>
            <w:tcBorders/>
            <w:vAlign w:val="center"/>
          </w:tcPr>
          <w:p>
            <w:pPr>
              <w:pStyle w:val="TableContents"/>
              <w:bidi w:val="0"/>
              <w:spacing w:before="0" w:after="0"/>
              <w:ind w:left="0" w:right="0" w:hanging="0"/>
              <w:jc w:val="left"/>
              <w:rPr/>
            </w:pPr>
            <w:r>
              <w:rPr/>
              <w:t>​</w:t>
            </w:r>
          </w:p>
        </w:tc>
        <w:tc>
          <w:tcPr>
            <w:tcW w:w="3510" w:type="dxa"/>
            <w:gridSpan w:val="2"/>
            <w:tcBorders/>
            <w:vAlign w:val="center"/>
          </w:tcPr>
          <w:p>
            <w:pPr>
              <w:pStyle w:val="TableContents"/>
              <w:bidi w:val="0"/>
              <w:spacing w:before="0" w:after="0"/>
              <w:ind w:left="0" w:right="0" w:hanging="0"/>
              <w:jc w:val="left"/>
              <w:rPr/>
            </w:pPr>
            <w:r>
              <w:rPr/>
              <w:t>  ​ ​ ​ ​</w:t>
            </w:r>
            <w:r>
              <w:rPr>
                <w:rFonts w:ascii="Times New Roman;Times;serif" w:hAnsi="Times New Roman;Times;serif"/>
                <w:sz w:val="20"/>
              </w:rPr>
              <w:t>Chief Executive Officer and President</w:t>
            </w:r>
          </w:p>
        </w:tc>
      </w:tr>
      <w:tr>
        <w:trPr/>
        <w:tc>
          <w:tcPr>
            <w:tcW w:w="1711" w:type="dxa"/>
            <w:tcBorders/>
            <w:vAlign w:val="center"/>
          </w:tcPr>
          <w:p>
            <w:pPr>
              <w:pStyle w:val="TableContents"/>
              <w:bidi w:val="0"/>
              <w:spacing w:before="0" w:after="0"/>
              <w:ind w:left="0" w:right="0" w:hanging="0"/>
              <w:jc w:val="left"/>
              <w:rPr/>
            </w:pPr>
            <w:r>
              <w:rPr/>
              <w:t>​</w:t>
            </w:r>
          </w:p>
        </w:tc>
        <w:tc>
          <w:tcPr>
            <w:tcW w:w="1747" w:type="dxa"/>
            <w:tcBorders/>
            <w:vAlign w:val="center"/>
          </w:tcPr>
          <w:p>
            <w:pPr>
              <w:pStyle w:val="TableContents"/>
              <w:bidi w:val="0"/>
              <w:spacing w:before="0" w:after="0"/>
              <w:ind w:left="0" w:right="0" w:hanging="0"/>
              <w:jc w:val="left"/>
              <w:rPr/>
            </w:pPr>
            <w:r>
              <w:rPr/>
              <w:t>​</w:t>
            </w:r>
          </w:p>
        </w:tc>
        <w:tc>
          <w:tcPr>
            <w:tcW w:w="1448" w:type="dxa"/>
            <w:tcBorders/>
            <w:vAlign w:val="center"/>
          </w:tcPr>
          <w:p>
            <w:pPr>
              <w:pStyle w:val="TableContents"/>
              <w:bidi w:val="0"/>
              <w:spacing w:before="0" w:after="0"/>
              <w:ind w:left="0" w:right="0" w:hanging="0"/>
              <w:jc w:val="left"/>
              <w:rPr/>
            </w:pPr>
            <w:r>
              <w:rPr/>
              <w:t>​</w:t>
            </w:r>
          </w:p>
        </w:tc>
        <w:tc>
          <w:tcPr>
            <w:tcW w:w="2062" w:type="dxa"/>
            <w:tcBorders/>
            <w:vAlign w:val="center"/>
          </w:tcPr>
          <w:p>
            <w:pPr>
              <w:pStyle w:val="TableContents"/>
              <w:bidi w:val="0"/>
              <w:spacing w:before="0" w:after="0"/>
              <w:ind w:left="0" w:right="0" w:hanging="0"/>
              <w:jc w:val="left"/>
              <w:rPr/>
            </w:pPr>
            <w:r>
              <w:rPr/>
              <w:t>​</w:t>
            </w:r>
          </w:p>
        </w:tc>
      </w:tr>
      <w:tr>
        <w:trPr/>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July 30, 2026</w:t>
            </w:r>
          </w:p>
        </w:tc>
        <w:tc>
          <w:tcPr>
            <w:tcW w:w="17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51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RAUL PARRA</w:t>
            </w:r>
          </w:p>
        </w:tc>
      </w:tr>
      <w:tr>
        <w:trPr/>
        <w:tc>
          <w:tcPr>
            <w:tcW w:w="1711" w:type="dxa"/>
            <w:tcBorders/>
            <w:vAlign w:val="center"/>
          </w:tcPr>
          <w:p>
            <w:pPr>
              <w:pStyle w:val="TableContents"/>
              <w:bidi w:val="0"/>
              <w:spacing w:before="0" w:after="0"/>
              <w:ind w:left="0" w:right="0" w:hanging="0"/>
              <w:jc w:val="left"/>
              <w:rPr>
                <w:shd w:fill="FFFF00" w:val="clear"/>
              </w:rPr>
            </w:pPr>
            <w:r>
              <w:rPr>
                <w:shd w:fill="FFFF00" w:val="clear"/>
              </w:rPr>
              <w:t>​</w:t>
            </w:r>
          </w:p>
        </w:tc>
        <w:tc>
          <w:tcPr>
            <w:tcW w:w="1747" w:type="dxa"/>
            <w:tcBorders/>
            <w:vAlign w:val="center"/>
          </w:tcPr>
          <w:p>
            <w:pPr>
              <w:pStyle w:val="TableContents"/>
              <w:bidi w:val="0"/>
              <w:spacing w:before="0" w:after="0"/>
              <w:ind w:left="0" w:right="0" w:hanging="0"/>
              <w:jc w:val="left"/>
              <w:rPr/>
            </w:pPr>
            <w:r>
              <w:rPr/>
              <w:t>​</w:t>
            </w:r>
          </w:p>
        </w:tc>
        <w:tc>
          <w:tcPr>
            <w:tcW w:w="3510" w:type="dxa"/>
            <w:gridSpan w:val="2"/>
            <w:tcBorders>
              <w:top w:val="single" w:sz="8" w:space="0" w:color="000000"/>
            </w:tcBorders>
            <w:tcMar>
              <w:top w:w="28" w:type="dxa"/>
            </w:tcMar>
            <w:vAlign w:val="center"/>
          </w:tcPr>
          <w:p>
            <w:pPr>
              <w:pStyle w:val="TableContents"/>
              <w:bidi w:val="0"/>
              <w:spacing w:before="0" w:after="0"/>
              <w:ind w:left="0" w:right="0" w:hanging="0"/>
              <w:jc w:val="left"/>
              <w:rPr/>
            </w:pPr>
            <w:r>
              <w:rPr/>
              <w:t>  ​ ​ ​ ​</w:t>
            </w:r>
            <w:r>
              <w:rPr>
                <w:rFonts w:ascii="Times New Roman;Times;serif" w:hAnsi="Times New Roman;Times;serif"/>
                <w:sz w:val="20"/>
              </w:rPr>
              <w:t>Raul Parra</w:t>
            </w:r>
          </w:p>
        </w:tc>
      </w:tr>
      <w:tr>
        <w:trPr/>
        <w:tc>
          <w:tcPr>
            <w:tcW w:w="1711" w:type="dxa"/>
            <w:tcBorders/>
            <w:vAlign w:val="center"/>
          </w:tcPr>
          <w:p>
            <w:pPr>
              <w:pStyle w:val="TableContents"/>
              <w:bidi w:val="0"/>
              <w:spacing w:before="0" w:after="0"/>
              <w:ind w:left="0" w:right="0" w:hanging="0"/>
              <w:jc w:val="left"/>
              <w:rPr>
                <w:shd w:fill="FFFF00" w:val="clear"/>
              </w:rPr>
            </w:pPr>
            <w:r>
              <w:rPr>
                <w:shd w:fill="FFFF00" w:val="clear"/>
              </w:rPr>
              <w:t>​</w:t>
            </w:r>
          </w:p>
        </w:tc>
        <w:tc>
          <w:tcPr>
            <w:tcW w:w="1747" w:type="dxa"/>
            <w:tcBorders/>
            <w:vAlign w:val="center"/>
          </w:tcPr>
          <w:p>
            <w:pPr>
              <w:pStyle w:val="TableContents"/>
              <w:bidi w:val="0"/>
              <w:spacing w:before="0" w:after="0"/>
              <w:ind w:left="0" w:right="0" w:hanging="0"/>
              <w:jc w:val="left"/>
              <w:rPr/>
            </w:pPr>
            <w:r>
              <w:rPr/>
              <w:t>​</w:t>
            </w:r>
          </w:p>
        </w:tc>
        <w:tc>
          <w:tcPr>
            <w:tcW w:w="3510" w:type="dxa"/>
            <w:gridSpan w:val="2"/>
            <w:tcBorders/>
            <w:vAlign w:val="center"/>
          </w:tcPr>
          <w:p>
            <w:pPr>
              <w:pStyle w:val="TableContents"/>
              <w:bidi w:val="0"/>
              <w:spacing w:before="0" w:after="0"/>
              <w:ind w:left="0" w:right="0" w:hanging="0"/>
              <w:jc w:val="left"/>
              <w:rPr/>
            </w:pPr>
            <w:r>
              <w:rPr/>
              <w:t>  ​ ​ ​ ​</w:t>
            </w:r>
            <w:r>
              <w:rPr>
                <w:rFonts w:ascii="Times New Roman;Times;serif" w:hAnsi="Times New Roman;Times;serif"/>
                <w:sz w:val="20"/>
              </w:rPr>
              <w:t>Chief Financial Officer and Treasurer</w:t>
            </w:r>
          </w:p>
        </w:tc>
      </w:tr>
      <w:tr>
        <w:trPr/>
        <w:tc>
          <w:tcPr>
            <w:tcW w:w="1711" w:type="dxa"/>
            <w:tcBorders/>
            <w:vAlign w:val="center"/>
          </w:tcPr>
          <w:p>
            <w:pPr>
              <w:pStyle w:val="TableContents"/>
              <w:bidi w:val="0"/>
              <w:spacing w:before="0" w:after="0"/>
              <w:ind w:left="0" w:right="0" w:hanging="0"/>
              <w:jc w:val="left"/>
              <w:rPr>
                <w:shd w:fill="FFFF00" w:val="clear"/>
              </w:rPr>
            </w:pPr>
            <w:r>
              <w:rPr>
                <w:shd w:fill="FFFF00" w:val="clear"/>
              </w:rPr>
              <w:t>​</w:t>
            </w:r>
          </w:p>
        </w:tc>
        <w:tc>
          <w:tcPr>
            <w:tcW w:w="1747" w:type="dxa"/>
            <w:tcBorders/>
            <w:vAlign w:val="center"/>
          </w:tcPr>
          <w:p>
            <w:pPr>
              <w:pStyle w:val="TableContents"/>
              <w:bidi w:val="0"/>
              <w:spacing w:before="0" w:after="0"/>
              <w:ind w:left="0" w:right="0" w:hanging="0"/>
              <w:jc w:val="left"/>
              <w:rPr/>
            </w:pPr>
            <w:r>
              <w:rPr/>
              <w:t>​</w:t>
            </w:r>
          </w:p>
        </w:tc>
        <w:tc>
          <w:tcPr>
            <w:tcW w:w="1448" w:type="dxa"/>
            <w:tcBorders/>
            <w:vAlign w:val="center"/>
          </w:tcPr>
          <w:p>
            <w:pPr>
              <w:pStyle w:val="TableContents"/>
              <w:bidi w:val="0"/>
              <w:spacing w:before="0" w:after="0"/>
              <w:ind w:left="0" w:right="0" w:hanging="0"/>
              <w:jc w:val="left"/>
              <w:rPr/>
            </w:pPr>
            <w:r>
              <w:rPr/>
              <w:t>​</w:t>
            </w:r>
          </w:p>
        </w:tc>
        <w:tc>
          <w:tcPr>
            <w:tcW w:w="2062" w:type="dxa"/>
            <w:tcBorders/>
            <w:vAlign w:val="center"/>
          </w:tcPr>
          <w:p>
            <w:pPr>
              <w:pStyle w:val="TableContents"/>
              <w:bidi w:val="0"/>
              <w:spacing w:before="0" w:after="0"/>
              <w:ind w:left="0" w:right="0" w:hanging="0"/>
              <w:jc w:val="left"/>
              <w:rPr/>
            </w:pPr>
            <w:r>
              <w:rPr/>
              <w:t>​</w:t>
            </w:r>
          </w:p>
        </w:tc>
      </w:tr>
      <w:tr>
        <w:trPr/>
        <w:tc>
          <w:tcPr>
            <w:tcW w:w="1711" w:type="dxa"/>
            <w:tcBorders/>
            <w:vAlign w:val="center"/>
          </w:tcPr>
          <w:p>
            <w:pPr>
              <w:pStyle w:val="TableContents"/>
              <w:bidi w:val="0"/>
              <w:spacing w:before="0" w:after="0"/>
              <w:ind w:left="0" w:right="0" w:hanging="0"/>
              <w:jc w:val="left"/>
              <w:rPr>
                <w:shd w:fill="FFFF00" w:val="clear"/>
              </w:rPr>
            </w:pPr>
            <w:r>
              <w:rPr>
                <w:shd w:fill="FFFF00" w:val="clear"/>
              </w:rPr>
              <w:t>​</w:t>
            </w:r>
          </w:p>
        </w:tc>
        <w:tc>
          <w:tcPr>
            <w:tcW w:w="1747" w:type="dxa"/>
            <w:tcBorders/>
            <w:vAlign w:val="center"/>
          </w:tcPr>
          <w:p>
            <w:pPr>
              <w:pStyle w:val="TableContents"/>
              <w:bidi w:val="0"/>
              <w:spacing w:before="0" w:after="0"/>
              <w:ind w:left="0" w:right="0" w:hanging="0"/>
              <w:jc w:val="left"/>
              <w:rPr/>
            </w:pPr>
            <w:r>
              <w:rPr/>
              <w:t>​</w:t>
            </w:r>
          </w:p>
        </w:tc>
        <w:tc>
          <w:tcPr>
            <w:tcW w:w="1448" w:type="dxa"/>
            <w:tcBorders/>
            <w:vAlign w:val="center"/>
          </w:tcPr>
          <w:p>
            <w:pPr>
              <w:pStyle w:val="TableContents"/>
              <w:bidi w:val="0"/>
              <w:spacing w:before="0" w:after="0"/>
              <w:ind w:left="0" w:right="0" w:hanging="0"/>
              <w:jc w:val="left"/>
              <w:rPr/>
            </w:pPr>
            <w:r>
              <w:rPr/>
              <w:t>​</w:t>
            </w:r>
          </w:p>
        </w:tc>
        <w:tc>
          <w:tcPr>
            <w:tcW w:w="2062"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40" w:after="40"/>
        <w:ind w:left="0" w:right="0" w:hanging="0"/>
        <w:jc w:val="right"/>
        <w:rPr>
          <w:rFonts w:ascii="Times New Roman" w:hAnsi="Times New Roman"/>
          <w:b/>
          <w:sz w:val="20"/>
        </w:rPr>
      </w:pPr>
      <w:bookmarkStart w:id="1245" w:name="mmsi-20260630xex10d2.htm"/>
      <w:bookmarkStart w:id="1246" w:name="ksmmsi20260630xex10d2"/>
      <w:bookmarkEnd w:id="1245"/>
      <w:bookmarkEnd w:id="1246"/>
      <w:r>
        <w:rPr>
          <w:rFonts w:ascii="Times New Roman" w:hAnsi="Times New Roman"/>
          <w:b/>
          <w:sz w:val="20"/>
        </w:rPr>
        <w:t>Exhibit 10.2</w:t>
      </w:r>
      <w:r>
        <w:br w:type="page"/>
      </w:r>
    </w:p>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6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 name="Image2" descr=""/>
                          <pic:cNvPicPr>
                            <a:picLocks noChangeAspect="1" noChangeArrowheads="1"/>
                          </pic:cNvPicPr>
                        </pic:nvPicPr>
                        <pic:blipFill>
                          <a:blip r:embed="rId8"/>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1 FIRST AMENDMENT TO THE MERIT MEDICAL SYSTEMS, INC. 2026 EQUITY INCENTIVE PLAN THIS FIRST AMENDMENT TO THE MERIT MEDICAL SYSTEMS, INC. 2026 EQUITY INCENTIVE PLAN (this "Amendment") is made and adopted effective July 27, 2026 by Merit Medical Systems, Inc., a Utah corporation (the “Company”) to the Merit Medical Systems, Inc. 2026 Equity Incentive Plan (the "Plan"). Capitalized terms used but not defined in this Amendment have the meaning set forth in the Plan. WHEREAS, the Company maintains the Plan to assist the Company and its subsidiaries in attracting and retaining selected individuals to serve as directors, employees, consultants and/or advisors of the Company and its subsidiaries who are expected to contribute to the Company’s success; and WHEREAS, Section 11.1 of the Plan addresses, among other things, the circumstances under which accelerated vesting is permitted in connection with a Change of Control, including by requiring the occurrence of a Qualifying Termination; and WHEREAS, the definition of “Qualifying Termination” in the Plan applies by its terms only to Employees, and the Board desires to amend the Plan to clarify the circumstances under which a Director or Consultant incurs a Qualifying Termination; NOW, THEREFORE, the Plan is amended as follows effective as of the date first above written: 1. The definition of “Qualifying Termination” in Section 2 of the Plan is hereby deleted and replaced with the following: “Qualifying Termination” shall mean: (a) as to any Participant who is an Employee, the Company terminates Participant’s status as an Employee, or the Participant resigns his or her employment with the Company for Good Reason, in either case within 18 months (or such other shorter time period as is specified in the applicable Award Agreement) following a Change in Control and under circumstances where an event constituting Cause has not occurred; (b) as to any Participant who is a Non-Employee Director, the Participant is removed as a Director, the Company requests or requires that the Participant resign as a Director (including under a policy of the Company), the Participant incurs a materially adverse alteration in duties, position, or compensation as a Director, or the Board fails to nominate the Participant for election as a Director and recommend that the shareholders of the Company vote for such Participant at an annual meeting of shareholders or special meeting of shareholders at which the seat of such Participant is open </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6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 name="Image3" descr=""/>
                          <pic:cNvPicPr>
                            <a:picLocks noChangeAspect="1" noChangeArrowheads="1"/>
                          </pic:cNvPicPr>
                        </pic:nvPicPr>
                        <pic:blipFill>
                          <a:blip r:embed="rId9"/>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2 for election, in any case within 18 months (or such other shorter time period as is specified in the applicable Award Agreement) following a Change in Control; and (c) as to any Participant who is a Consultant, the Company terminates the Participant’s service relationship without Cause, or the Participant terminates his or her service relationship because the Participant incurs a materially adverse alteration in duties, position, or compensation as a Consultant, in either case within 18 months (or such shorter period as is specified in the applicable Award Agreement) following a Change in Control. 2. Except as provided above, the terms of the Plan are hereby ratified and confirmed in all respects. IN WITNESS WHEREOF, the Company has caused this Amendment to be executed by its duly authorized officer effective as of July 27, 2026. MERIT MEDICAL SYSTEMS, INC. By:/s/ MARTHA G. ARONSON Name: Martha G. Aronson Title: President and Chief Executive Officer </w:t>
            </w:r>
          </w:p>
        </w:tc>
      </w:tr>
    </w:tbl>
    <w:p>
      <w:pPr>
        <w:pStyle w:val="TextBody"/>
        <w:bidi w:val="0"/>
        <w:spacing w:before="0" w:after="0"/>
        <w:ind w:left="0" w:right="0" w:hanging="0"/>
        <w:jc w:val="right"/>
        <w:rPr>
          <w:rFonts w:ascii="Times New Roman;Times;serif" w:hAnsi="Times New Roman;Times;serif"/>
          <w:b/>
          <w:sz w:val="20"/>
        </w:rPr>
      </w:pPr>
      <w:bookmarkStart w:id="1247" w:name="mmsi-20260630xex31d1.htm"/>
      <w:bookmarkStart w:id="1248" w:name="ksmmsi20260630xex31d1"/>
      <w:bookmarkEnd w:id="1247"/>
      <w:bookmarkEnd w:id="1248"/>
      <w:r>
        <w:rPr>
          <w:rFonts w:ascii="Times New Roman;Times;serif" w:hAnsi="Times New Roman;Times;serif"/>
          <w:b/>
          <w:sz w:val="20"/>
        </w:rPr>
        <w:t>EXHIBIT 31.1</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Martha G. Aronson, certify that: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1.      I have reviewed this Quarterly Report on Form 10-Q (the “Report”) of Merit Medical Systems, Inc. (the “Registrant”);</w:t>
      </w:r>
    </w:p>
    <w:p>
      <w:pPr>
        <w:pStyle w:val="TextBody"/>
        <w:bidi w:val="0"/>
        <w:spacing w:before="0" w:after="0"/>
        <w:ind w:left="0" w:right="0" w:firstLine="27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firstLine="27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firstLine="27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firstLine="27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firstLine="72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 accepted accounting principles;</w:t>
      </w:r>
    </w:p>
    <w:p>
      <w:pPr>
        <w:pStyle w:val="TextBody"/>
        <w:bidi w:val="0"/>
        <w:spacing w:before="0" w:after="0"/>
        <w:ind w:left="0" w:right="0" w:firstLine="72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firstLine="72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case of an annual report) that has materially affected, or is reasonably likely to materially affect, the Registrant’s internal control over financial reporting; and</w:t>
      </w:r>
    </w:p>
    <w:p>
      <w:pPr>
        <w:pStyle w:val="TextBody"/>
        <w:bidi w:val="0"/>
        <w:spacing w:before="0" w:after="0"/>
        <w:ind w:left="0" w:right="0" w:firstLine="72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firstLine="27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firstLine="72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both"/>
        <w:rPr/>
      </w:pPr>
      <w:r>
        <w:rPr/>
        <w:t>​</w:t>
      </w:r>
    </w:p>
    <w:tbl>
      <w:tblPr>
        <w:tblW w:w="4922" w:type="dxa"/>
        <w:jc w:val="center"/>
        <w:tblInd w:w="0" w:type="dxa"/>
        <w:tblLayout w:type="fixed"/>
        <w:tblCellMar>
          <w:top w:w="0" w:type="dxa"/>
          <w:left w:w="0" w:type="dxa"/>
          <w:bottom w:w="0" w:type="dxa"/>
          <w:right w:w="0" w:type="dxa"/>
        </w:tblCellMar>
      </w:tblPr>
      <w:tblGrid>
        <w:gridCol w:w="1711"/>
        <w:gridCol w:w="3211"/>
      </w:tblGrid>
      <w:tr>
        <w:trPr/>
        <w:tc>
          <w:tcPr>
            <w:tcW w:w="1711" w:type="dxa"/>
            <w:tcBorders/>
            <w:vAlign w:val="center"/>
          </w:tcPr>
          <w:p>
            <w:pPr>
              <w:pStyle w:val="TableContents"/>
              <w:bidi w:val="0"/>
              <w:spacing w:before="0" w:after="283"/>
              <w:ind w:left="0" w:right="0" w:hanging="0"/>
              <w:jc w:val="left"/>
              <w:rPr>
                <w:sz w:val="4"/>
                <w:szCs w:val="4"/>
              </w:rPr>
            </w:pPr>
            <w:r>
              <w:rPr>
                <w:sz w:val="4"/>
                <w:szCs w:val="4"/>
              </w:rPr>
            </w:r>
          </w:p>
        </w:tc>
        <w:tc>
          <w:tcPr>
            <w:tcW w:w="3211" w:type="dxa"/>
            <w:tcBorders/>
            <w:vAlign w:val="center"/>
          </w:tcPr>
          <w:p>
            <w:pPr>
              <w:pStyle w:val="TableContents"/>
              <w:bidi w:val="0"/>
              <w:spacing w:before="0" w:after="283"/>
              <w:ind w:left="0" w:right="0" w:hanging="0"/>
              <w:jc w:val="left"/>
              <w:rPr>
                <w:sz w:val="4"/>
                <w:szCs w:val="4"/>
              </w:rPr>
            </w:pPr>
            <w:r>
              <w:rPr>
                <w:sz w:val="4"/>
                <w:szCs w:val="4"/>
              </w:rPr>
            </w:r>
          </w:p>
        </w:tc>
      </w:tr>
      <w:tr>
        <w:trPr/>
        <w:tc>
          <w:tcPr>
            <w:tcW w:w="17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 July 30, 2026</w:t>
            </w:r>
          </w:p>
        </w:tc>
        <w:tc>
          <w:tcPr>
            <w:tcW w:w="3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Martha G. Aronson</w:t>
            </w:r>
          </w:p>
        </w:tc>
      </w:tr>
      <w:tr>
        <w:trPr/>
        <w:tc>
          <w:tcPr>
            <w:tcW w:w="1711" w:type="dxa"/>
            <w:tcBorders/>
            <w:vAlign w:val="center"/>
          </w:tcPr>
          <w:p>
            <w:pPr>
              <w:pStyle w:val="TableContents"/>
              <w:bidi w:val="0"/>
              <w:spacing w:before="0" w:after="283"/>
              <w:ind w:left="0" w:right="0" w:hanging="0"/>
              <w:jc w:val="left"/>
              <w:rPr>
                <w:sz w:val="4"/>
                <w:szCs w:val="4"/>
              </w:rPr>
            </w:pPr>
            <w:r>
              <w:rPr>
                <w:sz w:val="4"/>
                <w:szCs w:val="4"/>
              </w:rPr>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Martha G. Aronson</w:t>
            </w:r>
          </w:p>
        </w:tc>
      </w:tr>
      <w:tr>
        <w:trPr/>
        <w:tc>
          <w:tcPr>
            <w:tcW w:w="1711" w:type="dxa"/>
            <w:tcBorders/>
            <w:vAlign w:val="center"/>
          </w:tcPr>
          <w:p>
            <w:pPr>
              <w:pStyle w:val="TableContents"/>
              <w:bidi w:val="0"/>
              <w:spacing w:before="0" w:after="283"/>
              <w:ind w:left="0" w:right="0" w:hanging="0"/>
              <w:jc w:val="left"/>
              <w:rPr>
                <w:sz w:val="4"/>
                <w:szCs w:val="4"/>
              </w:rPr>
            </w:pPr>
            <w:r>
              <w:rPr>
                <w:sz w:val="4"/>
                <w:szCs w:val="4"/>
              </w:rPr>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r>
      <w:tr>
        <w:trPr/>
        <w:tc>
          <w:tcPr>
            <w:tcW w:w="1711" w:type="dxa"/>
            <w:tcBorders/>
            <w:vAlign w:val="center"/>
          </w:tcPr>
          <w:p>
            <w:pPr>
              <w:pStyle w:val="TableContents"/>
              <w:bidi w:val="0"/>
              <w:spacing w:before="0" w:after="283"/>
              <w:ind w:left="0" w:right="0" w:hanging="0"/>
              <w:jc w:val="left"/>
              <w:rPr>
                <w:sz w:val="4"/>
                <w:szCs w:val="4"/>
              </w:rPr>
            </w:pPr>
            <w:r>
              <w:rPr>
                <w:sz w:val="4"/>
                <w:szCs w:val="4"/>
              </w:rPr>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249" w:name="mmsi-20260630xex31d2.htm"/>
      <w:bookmarkStart w:id="1250" w:name="ksmmsi20260630xex31d2"/>
      <w:bookmarkEnd w:id="1249"/>
      <w:bookmarkEnd w:id="1250"/>
      <w:r>
        <w:rPr>
          <w:rFonts w:ascii="Times New Roman;Times;serif" w:hAnsi="Times New Roman;Times;serif"/>
          <w:b/>
          <w:sz w:val="20"/>
        </w:rPr>
        <w:t>EXHIBIT 31.2</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Raul Parra, certify that:</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1.      I have reviewed this Quarterly Report on Form 10-Q (the “Report”) of Merit Medical Systems, Inc. (the “Registrant”);</w:t>
      </w:r>
    </w:p>
    <w:p>
      <w:pPr>
        <w:pStyle w:val="TextBody"/>
        <w:bidi w:val="0"/>
        <w:spacing w:before="0" w:after="0"/>
        <w:ind w:left="0" w:right="0" w:firstLine="27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firstLine="27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firstLine="27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4.      The Registrant’s other certifying officer and I are responsible for establishing and maintaining disclosure controls and procedures (as defined in Exchange Act Rules 13a-15(e) and 15d-15(e)) and internal controls over financial reporting (as defined in Exchange Act Rules 13a-15(f) and 15d-15(f)) for the Registrant and have:</w:t>
      </w:r>
    </w:p>
    <w:p>
      <w:pPr>
        <w:pStyle w:val="TextBody"/>
        <w:bidi w:val="0"/>
        <w:spacing w:before="0" w:after="0"/>
        <w:ind w:left="0" w:right="0" w:firstLine="27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firstLine="72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 accepted accounting principles;</w:t>
      </w:r>
    </w:p>
    <w:p>
      <w:pPr>
        <w:pStyle w:val="TextBody"/>
        <w:bidi w:val="0"/>
        <w:spacing w:before="0" w:after="0"/>
        <w:ind w:left="0" w:right="0" w:firstLine="72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firstLine="72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case of an annual report) that has materially affected, or is reasonably likely to materially affect, the Registrant’s internal control over financial reporting; and</w:t>
      </w:r>
    </w:p>
    <w:p>
      <w:pPr>
        <w:pStyle w:val="TextBody"/>
        <w:bidi w:val="0"/>
        <w:spacing w:before="0" w:after="0"/>
        <w:ind w:left="0" w:right="0" w:firstLine="72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firstLine="27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firstLine="72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center"/>
        <w:rPr/>
      </w:pPr>
      <w:r>
        <w:rPr/>
        <w:t>​</w:t>
      </w:r>
    </w:p>
    <w:tbl>
      <w:tblPr>
        <w:tblW w:w="4052" w:type="dxa"/>
        <w:jc w:val="center"/>
        <w:tblInd w:w="0" w:type="dxa"/>
        <w:tblLayout w:type="fixed"/>
        <w:tblCellMar>
          <w:top w:w="0" w:type="dxa"/>
          <w:left w:w="0" w:type="dxa"/>
          <w:bottom w:w="0" w:type="dxa"/>
          <w:right w:w="0" w:type="dxa"/>
        </w:tblCellMar>
      </w:tblPr>
      <w:tblGrid>
        <w:gridCol w:w="1711"/>
        <w:gridCol w:w="2341"/>
      </w:tblGrid>
      <w:tr>
        <w:trPr/>
        <w:tc>
          <w:tcPr>
            <w:tcW w:w="1711" w:type="dxa"/>
            <w:tcBorders/>
            <w:vAlign w:val="center"/>
          </w:tcPr>
          <w:p>
            <w:pPr>
              <w:pStyle w:val="TableContents"/>
              <w:bidi w:val="0"/>
              <w:spacing w:before="0" w:after="0"/>
              <w:ind w:left="0" w:right="0" w:hanging="0"/>
              <w:jc w:val="left"/>
              <w:rPr/>
            </w:pPr>
            <w:r>
              <w:rPr/>
              <w:t>​</w:t>
            </w:r>
          </w:p>
        </w:tc>
        <w:tc>
          <w:tcPr>
            <w:tcW w:w="2341" w:type="dxa"/>
            <w:tcBorders/>
            <w:vAlign w:val="center"/>
          </w:tcPr>
          <w:p>
            <w:pPr>
              <w:pStyle w:val="TableContents"/>
              <w:bidi w:val="0"/>
              <w:spacing w:before="0" w:after="0"/>
              <w:ind w:left="0" w:right="0" w:hanging="0"/>
              <w:jc w:val="left"/>
              <w:rPr/>
            </w:pPr>
            <w:r>
              <w:rPr/>
              <w:t>​</w:t>
            </w:r>
          </w:p>
        </w:tc>
      </w:tr>
      <w:tr>
        <w:trPr/>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July 30, 2026</w:t>
            </w:r>
          </w:p>
        </w:tc>
        <w:tc>
          <w:tcPr>
            <w:tcW w:w="23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Raul Parra</w:t>
            </w:r>
          </w:p>
        </w:tc>
      </w:tr>
      <w:tr>
        <w:trPr/>
        <w:tc>
          <w:tcPr>
            <w:tcW w:w="1711" w:type="dxa"/>
            <w:tcBorders/>
            <w:vAlign w:val="center"/>
          </w:tcPr>
          <w:p>
            <w:pPr>
              <w:pStyle w:val="TableContents"/>
              <w:bidi w:val="0"/>
              <w:spacing w:before="0" w:after="0"/>
              <w:ind w:left="0" w:right="0" w:hanging="0"/>
              <w:jc w:val="left"/>
              <w:rPr/>
            </w:pPr>
            <w:r>
              <w:rPr/>
              <w:t>​</w:t>
            </w:r>
          </w:p>
        </w:tc>
        <w:tc>
          <w:tcPr>
            <w:tcW w:w="234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Raul Parra</w:t>
            </w:r>
          </w:p>
        </w:tc>
      </w:tr>
      <w:tr>
        <w:trPr/>
        <w:tc>
          <w:tcPr>
            <w:tcW w:w="1711" w:type="dxa"/>
            <w:tcBorders/>
            <w:vAlign w:val="center"/>
          </w:tcPr>
          <w:p>
            <w:pPr>
              <w:pStyle w:val="TableContents"/>
              <w:bidi w:val="0"/>
              <w:spacing w:before="0" w:after="0"/>
              <w:ind w:left="0" w:right="0" w:hanging="0"/>
              <w:jc w:val="left"/>
              <w:rPr/>
            </w:pPr>
            <w:r>
              <w:rPr/>
              <w:t>​</w:t>
            </w:r>
          </w:p>
        </w:tc>
        <w:tc>
          <w:tcPr>
            <w:tcW w:w="23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711" w:type="dxa"/>
            <w:tcBorders/>
            <w:vAlign w:val="center"/>
          </w:tcPr>
          <w:p>
            <w:pPr>
              <w:pStyle w:val="TableContents"/>
              <w:bidi w:val="0"/>
              <w:spacing w:before="0" w:after="0"/>
              <w:ind w:left="0" w:right="0" w:hanging="0"/>
              <w:jc w:val="left"/>
              <w:rPr/>
            </w:pPr>
            <w:r>
              <w:rPr/>
              <w:t>​</w:t>
            </w:r>
          </w:p>
        </w:tc>
        <w:tc>
          <w:tcPr>
            <w:tcW w:w="23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r>
        <w:trPr/>
        <w:tc>
          <w:tcPr>
            <w:tcW w:w="4052" w:type="dxa"/>
            <w:gridSpan w:val="2"/>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251" w:name="mmsi-20260630xex32d1.htm"/>
      <w:bookmarkStart w:id="1252" w:name="ksmmsi20260630xex32d1"/>
      <w:bookmarkEnd w:id="1251"/>
      <w:bookmarkEnd w:id="1252"/>
      <w:r>
        <w:rPr>
          <w:rFonts w:ascii="Times New Roman;Times;serif" w:hAnsi="Times New Roman;Times;serif"/>
          <w:b/>
          <w:sz w:val="20"/>
        </w:rPr>
        <w:t>EXHIBIT 32.1</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Principal Executive Officer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18 U.S.C. Section 1350, as Adopted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906 of the Sarbanes-Oxley Act of 2002</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connection with the Quarterly Report on Form 10-Q of Merit Medical Systems, Inc. (the “Company”) for the quarter ended June 30, 2026, as filed with the Securities and Exchange Commission (the “Report”), I, Martha G. Aronson, Chief Executive Officer of the Company, certify, pursuant to 18 U.S.C. Section 1350, as adopted pursuant to Section 906 of the Sarbanes-Oxley Act of 2002, that, to the best of my knowledge:</w:t>
      </w:r>
    </w:p>
    <w:p>
      <w:pPr>
        <w:pStyle w:val="TextBody"/>
        <w:bidi w:val="0"/>
        <w:spacing w:before="0" w:after="0"/>
        <w:ind w:left="0" w:right="0" w:firstLine="108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(1)   The Report fully complies with the requirements of Section 13(a) or 15 (d) of the Securities Exchange Act of 1934; and</w:t>
      </w:r>
    </w:p>
    <w:p>
      <w:pPr>
        <w:pStyle w:val="TextBody"/>
        <w:bidi w:val="0"/>
        <w:spacing w:before="0" w:after="0"/>
        <w:ind w:left="0" w:right="0" w:firstLine="108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financial condition and results of operations of the Company.</w:t>
      </w:r>
    </w:p>
    <w:p>
      <w:pPr>
        <w:pStyle w:val="TextBody"/>
        <w:bidi w:val="0"/>
        <w:spacing w:before="0" w:after="0"/>
        <w:ind w:left="0" w:right="0" w:hanging="0"/>
        <w:jc w:val="center"/>
        <w:rPr/>
      </w:pPr>
      <w:r>
        <w:rPr/>
        <w:t>​</w:t>
      </w:r>
    </w:p>
    <w:tbl>
      <w:tblPr>
        <w:tblW w:w="4922" w:type="dxa"/>
        <w:jc w:val="center"/>
        <w:tblInd w:w="0" w:type="dxa"/>
        <w:tblLayout w:type="fixed"/>
        <w:tblCellMar>
          <w:top w:w="0" w:type="dxa"/>
          <w:left w:w="0" w:type="dxa"/>
          <w:bottom w:w="0" w:type="dxa"/>
          <w:right w:w="0" w:type="dxa"/>
        </w:tblCellMar>
      </w:tblPr>
      <w:tblGrid>
        <w:gridCol w:w="1711"/>
        <w:gridCol w:w="3211"/>
      </w:tblGrid>
      <w:tr>
        <w:trPr/>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July 30, 2026</w:t>
            </w:r>
          </w:p>
        </w:tc>
        <w:tc>
          <w:tcPr>
            <w:tcW w:w="3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Martha G. Aronson</w:t>
            </w:r>
          </w:p>
        </w:tc>
      </w:tr>
      <w:tr>
        <w:trPr/>
        <w:tc>
          <w:tcPr>
            <w:tcW w:w="1711" w:type="dxa"/>
            <w:tcBorders/>
            <w:vAlign w:val="center"/>
          </w:tcPr>
          <w:p>
            <w:pPr>
              <w:pStyle w:val="TableContents"/>
              <w:bidi w:val="0"/>
              <w:spacing w:before="0" w:after="0"/>
              <w:ind w:left="0" w:right="0" w:hanging="0"/>
              <w:jc w:val="left"/>
              <w:rPr/>
            </w:pPr>
            <w:r>
              <w:rPr/>
              <w:t>​</w:t>
            </w:r>
          </w:p>
        </w:tc>
        <w:tc>
          <w:tcPr>
            <w:tcW w:w="32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Martha G. Aronson</w:t>
            </w:r>
          </w:p>
        </w:tc>
      </w:tr>
      <w:tr>
        <w:trPr/>
        <w:tc>
          <w:tcPr>
            <w:tcW w:w="1711"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r>
      <w:tr>
        <w:trPr/>
        <w:tc>
          <w:tcPr>
            <w:tcW w:w="1711"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r>
        <w:trPr/>
        <w:tc>
          <w:tcPr>
            <w:tcW w:w="1711"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This certification accompanies the foregoing Report pursuant to 18 U.S.C. Section 1350, as adopted pursuant to Section 906 of the Sarbanes-Oxley Act of 2002 and shall not, except to the extent required by the Sarbanes-Oxley Act of 2002, be deemed filed by the Registrant for purposes of Section 18 of the Securities Exchange Act of 1934, as amended. A signed original of this certification has been provided to the Company and will be retained by the Company and furnished to the Securities and Exchange Commission or its staff upon request.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253" w:name="mmsi-20260630xex32d2.htm"/>
      <w:bookmarkStart w:id="1254" w:name="ksmmsi20260630xex32d2"/>
      <w:bookmarkEnd w:id="1253"/>
      <w:bookmarkEnd w:id="1254"/>
      <w:r>
        <w:rPr>
          <w:rFonts w:ascii="Times New Roman;Times;serif" w:hAnsi="Times New Roman;Times;serif"/>
          <w:b/>
          <w:sz w:val="20"/>
        </w:rPr>
        <w:t>EXHIBIT 32.2</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Financial Officer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18 U.S.C. Section 1350, as Adopted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906 of the Sarbanes-Oxley Act of 2002</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connection with the Quarterly Report on Form 10-Q of Merit Medical Systems, Inc. (the “Company”) for the quarter ended June 30, 2026, as filed with the Securities and Exchange Commission (the “Report”), I, Raul Parra, Chief Financial Officer of the Company, certify, pursuant to 18 U.S.C. Section 1350, as adopted pursuant to Section 906 of the Sarbanes-Oxley Act of 2002, that, to the best of my knowledge:</w:t>
      </w:r>
    </w:p>
    <w:p>
      <w:pPr>
        <w:pStyle w:val="TextBody"/>
        <w:bidi w:val="0"/>
        <w:spacing w:before="0" w:after="0"/>
        <w:ind w:left="0" w:right="0" w:firstLine="108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(1)   The Report fully complies with the requirements of Section 13(a) or 15 (d) of the Securities Exchange Act of 1934; and</w:t>
      </w:r>
    </w:p>
    <w:p>
      <w:pPr>
        <w:pStyle w:val="TextBody"/>
        <w:bidi w:val="0"/>
        <w:spacing w:before="0" w:after="0"/>
        <w:ind w:left="0" w:right="0" w:firstLine="1080"/>
        <w:jc w:val="both"/>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financial condition and results of operations of the Company.</w:t>
      </w:r>
    </w:p>
    <w:p>
      <w:pPr>
        <w:pStyle w:val="TextBody"/>
        <w:bidi w:val="0"/>
        <w:spacing w:before="0" w:after="0"/>
        <w:ind w:left="0" w:right="0" w:hanging="0"/>
        <w:jc w:val="center"/>
        <w:rPr/>
      </w:pPr>
      <w:r>
        <w:rPr/>
        <w:t>​</w:t>
      </w:r>
    </w:p>
    <w:tbl>
      <w:tblPr>
        <w:tblW w:w="4052" w:type="dxa"/>
        <w:jc w:val="center"/>
        <w:tblInd w:w="0" w:type="dxa"/>
        <w:tblLayout w:type="fixed"/>
        <w:tblCellMar>
          <w:top w:w="0" w:type="dxa"/>
          <w:left w:w="0" w:type="dxa"/>
          <w:bottom w:w="0" w:type="dxa"/>
          <w:right w:w="0" w:type="dxa"/>
        </w:tblCellMar>
      </w:tblPr>
      <w:tblGrid>
        <w:gridCol w:w="1711"/>
        <w:gridCol w:w="2341"/>
      </w:tblGrid>
      <w:tr>
        <w:trPr/>
        <w:tc>
          <w:tcPr>
            <w:tcW w:w="1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July 30, 2026</w:t>
            </w:r>
          </w:p>
        </w:tc>
        <w:tc>
          <w:tcPr>
            <w:tcW w:w="23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Raul Parra</w:t>
            </w:r>
          </w:p>
        </w:tc>
      </w:tr>
      <w:tr>
        <w:trPr/>
        <w:tc>
          <w:tcPr>
            <w:tcW w:w="1711" w:type="dxa"/>
            <w:tcBorders/>
            <w:vAlign w:val="center"/>
          </w:tcPr>
          <w:p>
            <w:pPr>
              <w:pStyle w:val="TableContents"/>
              <w:bidi w:val="0"/>
              <w:spacing w:before="0" w:after="0"/>
              <w:ind w:left="0" w:right="0" w:hanging="0"/>
              <w:jc w:val="left"/>
              <w:rPr/>
            </w:pPr>
            <w:r>
              <w:rPr/>
              <w:t>​</w:t>
            </w:r>
          </w:p>
        </w:tc>
        <w:tc>
          <w:tcPr>
            <w:tcW w:w="234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Raul Parra</w:t>
            </w:r>
          </w:p>
        </w:tc>
      </w:tr>
      <w:tr>
        <w:trPr/>
        <w:tc>
          <w:tcPr>
            <w:tcW w:w="1711" w:type="dxa"/>
            <w:tcBorders/>
            <w:vAlign w:val="center"/>
          </w:tcPr>
          <w:p>
            <w:pPr>
              <w:pStyle w:val="TableContents"/>
              <w:bidi w:val="0"/>
              <w:spacing w:before="0" w:after="0"/>
              <w:ind w:left="0" w:right="0" w:hanging="0"/>
              <w:jc w:val="left"/>
              <w:rPr/>
            </w:pPr>
            <w:r>
              <w:rPr/>
              <w:t>​</w:t>
            </w:r>
          </w:p>
        </w:tc>
        <w:tc>
          <w:tcPr>
            <w:tcW w:w="23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711" w:type="dxa"/>
            <w:tcBorders/>
            <w:vAlign w:val="center"/>
          </w:tcPr>
          <w:p>
            <w:pPr>
              <w:pStyle w:val="TableContents"/>
              <w:bidi w:val="0"/>
              <w:spacing w:before="0" w:after="0"/>
              <w:ind w:left="0" w:right="0" w:hanging="0"/>
              <w:jc w:val="left"/>
              <w:rPr/>
            </w:pPr>
            <w:r>
              <w:rPr/>
              <w:t>​</w:t>
            </w:r>
          </w:p>
        </w:tc>
        <w:tc>
          <w:tcPr>
            <w:tcW w:w="23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This certification accompanies the foregoing Report pursuant to 18 U.S.C. Section 1350, as adopted pursuant to Section 906 of the Sarbanes-Oxley Act of 2002 and shall not, except to the extent required by the Sarbanes-Oxley Act of 2002, be deemed filed by the Registrant for purposes of Section 18 of the Securities Exchange Act of 1934, as amended. A signed original of this certification has been provided to the Company and will be retained by the Company and furnished to the Securities and Exchange Commission or its staff upon request.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856982/000085698218000027/secondamendedandrestatedar.htm" TargetMode="External"/><Relationship Id="rId4" Type="http://schemas.openxmlformats.org/officeDocument/2006/relationships/hyperlink" Target="https://www.sec.gov/Archives/edgar/data/856982/000085698226000030/mmsi-20260513xex3d1.htm" TargetMode="External"/><Relationship Id="rId5" Type="http://schemas.openxmlformats.org/officeDocument/2006/relationships/hyperlink" Target="https://www.sec.gov/Archives/edgar/data/856982/000085698226000028/mmsi-20260515xex99d1.htm" TargetMode="External"/><Relationship Id="rId6" Type="http://schemas.openxmlformats.org/officeDocument/2006/relationships/hyperlink" Target="https://www.sec.gov/Archives/edgar/data/856982/000085698226000030/mmsi-20260513xex10d2.htm" TargetMode="External"/><Relationship Id="rId7" Type="http://schemas.openxmlformats.org/officeDocument/2006/relationships/hyperlink" Target="https://www.sec.gov/Archives/edgar/data/856982/000085698226000030/mmsi-20260513xex10d3.htm" TargetMode="External"/><Relationship Id="rId8" Type="http://schemas.openxmlformats.org/officeDocument/2006/relationships/image" Target="media/image2.jpeg"/><Relationship Id="rId9" Type="http://schemas.openxmlformats.org/officeDocument/2006/relationships/image" Target="media/image3.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21236</Words>
  <Characters>118366</Characters>
  <CharactersWithSpaces>142293</CharactersWithSpaces>
  <Paragraphs>6397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