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Perez Silvia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140" w:type="dxa"/>
            <w:vAlign w:val="bottom"/>
            <w:tcBorders>
              <w:top w:val="single" w:sz="8" w:color="0000EE"/>
              <w:bottom w:val="single" w:sz="8" w:color="9A9A9A"/>
            </w:tcBorders>
          </w:tcPr>
          <w:p>
            <w:pPr>
              <w:spacing w:after="0"/>
              <w:rPr>
                <w:sz w:val="17"/>
                <w:szCs w:val="17"/>
                <w:color w:val="auto"/>
              </w:rPr>
            </w:pPr>
          </w:p>
        </w:tc>
        <w:tc>
          <w:tcPr>
            <w:tcW w:w="19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05/15/2024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MERIT MEDICAL SYSTEMS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MMSI</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820" w:type="dxa"/>
            <w:vAlign w:val="bottom"/>
          </w:tcPr>
          <w:p>
            <w:pPr>
              <w:ind w:left="12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1600 WEST MERIT PARKWAY</w:t>
            </w:r>
          </w:p>
        </w:tc>
        <w:tc>
          <w:tcPr>
            <w:tcW w:w="0" w:type="dxa"/>
            <w:vAlign w:val="bottom"/>
          </w:tcPr>
          <w:p>
            <w:pPr>
              <w:spacing w:after="0"/>
              <w:rPr>
                <w:sz w:val="1"/>
                <w:szCs w:val="1"/>
                <w:color w:val="auto"/>
              </w:rPr>
            </w:pPr>
          </w:p>
        </w:tc>
      </w:tr>
      <w:tr>
        <w:trPr>
          <w:trHeight w:val="237"/>
        </w:trPr>
        <w:tc>
          <w:tcPr>
            <w:tcW w:w="940" w:type="dxa"/>
            <w:vAlign w:val="bottom"/>
            <w:tcBorders>
              <w:bottom w:val="single" w:sz="8" w:color="9A9A9A"/>
            </w:tcBorders>
          </w:tcPr>
          <w:p>
            <w:pPr>
              <w:spacing w:after="0"/>
              <w:rPr>
                <w:sz w:val="20"/>
                <w:szCs w:val="20"/>
                <w:color w:val="auto"/>
              </w:rPr>
            </w:pPr>
          </w:p>
        </w:tc>
        <w:tc>
          <w:tcPr>
            <w:tcW w:w="82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SOUTH</w:t>
            </w: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0000FF"/>
              </w:rPr>
              <w:t>UT</w:t>
            </w:r>
          </w:p>
        </w:tc>
        <w:tc>
          <w:tcPr>
            <w:tcW w:w="13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84095</w:t>
            </w:r>
          </w:p>
        </w:tc>
        <w:tc>
          <w:tcPr>
            <w:tcW w:w="0" w:type="dxa"/>
            <w:vAlign w:val="bottom"/>
          </w:tcPr>
          <w:p>
            <w:pPr>
              <w:spacing w:after="0"/>
              <w:rPr>
                <w:sz w:val="1"/>
                <w:szCs w:val="1"/>
                <w:color w:val="auto"/>
              </w:rPr>
            </w:pPr>
          </w:p>
        </w:tc>
      </w:tr>
      <w:tr>
        <w:trPr>
          <w:trHeight w:val="134"/>
        </w:trPr>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JORDAN</w:t>
            </w:r>
          </w:p>
        </w:tc>
        <w:tc>
          <w:tcPr>
            <w:tcW w:w="82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0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Brian G. Lloyd,</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05/20/2024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7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ind w:left="9140"/>
        <w:spacing w:after="0"/>
        <w:rPr>
          <w:sz w:val="20"/>
          <w:szCs w:val="20"/>
          <w:color w:val="auto"/>
        </w:rPr>
      </w:pPr>
      <w:r>
        <w:rPr>
          <w:rFonts w:ascii="Times New Roman" w:cs="Times New Roman" w:eastAsia="Times New Roman" w:hAnsi="Times New Roman"/>
          <w:sz w:val="22"/>
          <w:szCs w:val="22"/>
          <w:b w:val="1"/>
          <w:bCs w:val="1"/>
          <w:color w:val="auto"/>
        </w:rPr>
        <w:t>Exhibit 24.1</w:t>
      </w:r>
    </w:p>
    <w:p>
      <w:pPr>
        <w:spacing w:after="0" w:line="24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00" w:lineRule="exact"/>
        <w:rPr>
          <w:sz w:val="20"/>
          <w:szCs w:val="20"/>
          <w:color w:val="auto"/>
        </w:rPr>
      </w:pPr>
    </w:p>
    <w:p>
      <w:pPr>
        <w:spacing w:after="0" w:line="226" w:lineRule="exact"/>
        <w:rPr>
          <w:sz w:val="20"/>
          <w:szCs w:val="20"/>
          <w:color w:val="auto"/>
        </w:rPr>
      </w:pPr>
    </w:p>
    <w:p>
      <w:pPr>
        <w:jc w:val="both"/>
        <w:ind w:right="60" w:firstLine="722"/>
        <w:spacing w:after="0" w:line="252" w:lineRule="auto"/>
        <w:rPr>
          <w:sz w:val="20"/>
          <w:szCs w:val="20"/>
          <w:color w:val="auto"/>
        </w:rPr>
      </w:pPr>
      <w:r>
        <w:rPr>
          <w:rFonts w:ascii="Times New Roman" w:cs="Times New Roman" w:eastAsia="Times New Roman" w:hAnsi="Times New Roman"/>
          <w:sz w:val="22"/>
          <w:szCs w:val="22"/>
          <w:color w:val="auto"/>
        </w:rPr>
        <w:t>Know all by these presents, that the undersigned hereby makes, constitutes and appoints each of Fred P. Lampropoulos, Raul Parra and Brian G. Lloyd signing singly, the undersigned’s true and lawful attorney-in-fact (each of such Persons and their substitutes being referred to herein as the “Attorney-in-Fact”), with full power to act for the undersigned and in the undersigned’s name, place and stead, in any and all capacities, to:</w:t>
      </w:r>
    </w:p>
    <w:p>
      <w:pPr>
        <w:spacing w:after="0" w:line="228" w:lineRule="exact"/>
        <w:rPr>
          <w:sz w:val="20"/>
          <w:szCs w:val="20"/>
          <w:color w:val="auto"/>
        </w:rPr>
      </w:pPr>
    </w:p>
    <w:p>
      <w:pPr>
        <w:jc w:val="both"/>
        <w:ind w:left="1080" w:right="60" w:hanging="328"/>
        <w:spacing w:after="0" w:line="246" w:lineRule="auto"/>
        <w:tabs>
          <w:tab w:leader="none" w:pos="105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execute in the undersigned's name and on the undersigned's behalf, and submit to the U.S. Securities and Exchange Commission (“SEC”) a Form ID, including amendments thereto, and any other documents necessary or appropriate to obtain codes and passwords enabling the undersigned to make electronic filings with the SEC of reports required by, or considered by the Attorney-in-Fact to be advisable under Section 16(a) of the Securities Exchange Act of 1934 (“Exchange Act”) or any rule or regulation of the SEC;</w:t>
      </w:r>
    </w:p>
    <w:p>
      <w:pPr>
        <w:spacing w:after="0" w:line="3" w:lineRule="exact"/>
        <w:rPr>
          <w:rFonts w:ascii="Times New Roman" w:cs="Times New Roman" w:eastAsia="Times New Roman" w:hAnsi="Times New Roman"/>
          <w:sz w:val="22"/>
          <w:szCs w:val="22"/>
          <w:color w:val="auto"/>
        </w:rPr>
      </w:pPr>
    </w:p>
    <w:p>
      <w:pPr>
        <w:jc w:val="both"/>
        <w:ind w:left="1080" w:right="60" w:hanging="328"/>
        <w:spacing w:after="0" w:line="242" w:lineRule="auto"/>
        <w:tabs>
          <w:tab w:leader="none" w:pos="105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execute and submit to the SEC, Merit Medical Systems, Inc.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16 of the Exchange Act or any rule or regulation thereunder, with respect to the any security of the Company, including Forms 3, 4 and 5;</w:t>
      </w:r>
    </w:p>
    <w:p>
      <w:pPr>
        <w:jc w:val="both"/>
        <w:ind w:left="1080" w:right="60" w:hanging="328"/>
        <w:spacing w:after="0" w:line="242" w:lineRule="auto"/>
        <w:tabs>
          <w:tab w:leader="none" w:pos="105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 and</w:t>
      </w:r>
    </w:p>
    <w:p>
      <w:pPr>
        <w:jc w:val="both"/>
        <w:ind w:left="1080" w:right="60" w:hanging="328"/>
        <w:spacing w:after="0" w:line="244" w:lineRule="auto"/>
        <w:tabs>
          <w:tab w:leader="none" w:pos="105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type whatsoever in connection with the foregoing which, in the opinion of the Attorney-in-Fact, may be of benefit to, in the best interest of, or legally required by,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The undersigned acknowledges that:</w:t>
      </w:r>
    </w:p>
    <w:p>
      <w:pPr>
        <w:spacing w:after="0" w:line="26" w:lineRule="exact"/>
        <w:rPr>
          <w:sz w:val="20"/>
          <w:szCs w:val="20"/>
          <w:color w:val="auto"/>
        </w:rPr>
      </w:pPr>
    </w:p>
    <w:p>
      <w:pPr>
        <w:ind w:left="1080" w:right="60" w:hanging="328"/>
        <w:spacing w:after="0" w:line="242" w:lineRule="auto"/>
        <w:tabs>
          <w:tab w:leader="none" w:pos="105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Power of Attorney authorizes, but does not require, the Attorney-in-Fact to act in his or her discretion on information provided to such Attorney-in-Fact without independent verification of such information;</w:t>
      </w:r>
    </w:p>
    <w:p>
      <w:pPr>
        <w:jc w:val="both"/>
        <w:ind w:left="1080" w:right="80" w:hanging="328"/>
        <w:spacing w:after="0" w:line="242" w:lineRule="auto"/>
        <w:tabs>
          <w:tab w:leader="none" w:pos="105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jc w:val="both"/>
        <w:ind w:left="1080" w:right="60" w:hanging="328"/>
        <w:spacing w:after="0" w:line="242" w:lineRule="auto"/>
        <w:tabs>
          <w:tab w:leader="none" w:pos="105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the Attorney-in-Fact assumes any liability for the undersigned's responsibility to comply with the requirements of Section 16 of the Exchange Act, any liability of the undersigned for any failure to comply with such requirements, or any liability of the undersigned for disgorgement of profits under Section 16(b) of the Exchange Act; and</w:t>
      </w:r>
    </w:p>
    <w:p>
      <w:pPr>
        <w:jc w:val="both"/>
        <w:ind w:left="1080" w:right="60" w:hanging="328"/>
        <w:spacing w:after="0" w:line="246" w:lineRule="auto"/>
        <w:tabs>
          <w:tab w:leader="none" w:pos="105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Power of Attorney does not relieve the undersigned from responsibility for compliance with the undersigned's obligations under the Exchange Act, including, without limitation, the reporting requirements under Section 16 of the Exchange Act.</w:t>
      </w:r>
    </w:p>
    <w:p>
      <w:pPr>
        <w:spacing w:after="0" w:line="204" w:lineRule="exact"/>
        <w:rPr>
          <w:sz w:val="20"/>
          <w:szCs w:val="20"/>
          <w:color w:val="auto"/>
        </w:rPr>
      </w:pPr>
    </w:p>
    <w:p>
      <w:pPr>
        <w:jc w:val="both"/>
        <w:ind w:right="60" w:firstLine="722"/>
        <w:spacing w:after="0" w:line="252" w:lineRule="auto"/>
        <w:rPr>
          <w:sz w:val="20"/>
          <w:szCs w:val="20"/>
          <w:color w:val="auto"/>
        </w:rPr>
      </w:pPr>
      <w:r>
        <w:rPr>
          <w:rFonts w:ascii="Times New Roman" w:cs="Times New Roman" w:eastAsia="Times New Roman" w:hAnsi="Times New Roman"/>
          <w:sz w:val="22"/>
          <w:szCs w:val="22"/>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83" w:lineRule="exact"/>
        <w:rPr>
          <w:sz w:val="20"/>
          <w:szCs w:val="20"/>
          <w:color w:val="auto"/>
        </w:rPr>
      </w:pPr>
    </w:p>
    <w:p>
      <w:pPr>
        <w:jc w:val="both"/>
        <w:ind w:right="80" w:firstLine="722"/>
        <w:spacing w:after="0" w:line="252"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Forms 4 or 5 or any amendments thereto,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18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Photographic copies of this Power of Attorney shall have the same force and effects as the original.</w:t>
      </w:r>
    </w:p>
    <w:p>
      <w:pPr>
        <w:spacing w:after="0" w:line="2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May 15, 2024.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Silvia M. Perez</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Printed Name: Silvia M. Perez</w:t>
      </w:r>
    </w:p>
    <w:sectPr>
      <w:pgSz w:w="11900" w:h="16838" w:orient="portrait"/>
      <w:cols w:equalWidth="0" w:num="1">
        <w:col w:w="10780"/>
      </w:cols>
      <w:pgMar w:left="580" w:top="110" w:right="539" w:bottom="76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24006" TargetMode="External"/><Relationship Id="rId11" Type="http://schemas.openxmlformats.org/officeDocument/2006/relationships/hyperlink" Target="http://www.sec.gov/cgi-bin/browse-edgar?action=getcompany&amp;CIK=00008569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2024-05-20T16:46:40Z</dcterms:created>
  <dcterms:modified xsi:type="dcterms:W3CDTF">2024-05-20T16:46:40Z</dcterms:modified>
</cp:coreProperties>
</file>