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43" w:before="0" w:after="0"/>
        <w:ind w:left="0" w:right="0" w:hanging="0"/>
        <w:jc w:val="left"/>
        <w:rPr/>
      </w:pPr>
      <w:bookmarkStart w:id="0" w:name="mmsi-20260730x8k.htm"/>
      <w:bookmarkStart w:id="1" w:name="ksmmsi20260730x8k"/>
      <w:bookmarkEnd w:id="0"/>
      <w:bookmarkEnd w:id="1"/>
      <w:r>
        <w:rPr/>
        <w:t>​</w:t>
      </w:r>
    </w:p>
    <w:p>
      <w:pPr>
        <w:pStyle w:val="TextBody"/>
        <w:pBdr>
          <w:top w:val="single" w:sz="24" w:space="1" w:color="000000"/>
          <w:bottom w:val="single" w:sz="8" w:space="1" w:color="000000"/>
        </w:pBdr>
        <w:bidi w:val="0"/>
        <w:spacing w:lineRule="atLeast" w:line="142"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e0becd12_09c0_4a33_9039_88747b53805f"/>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July 30,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355219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52190" cy="63817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Merit Medical Systems,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od9Iqv64f0OGjEnUpQ9uDA_3_4"/>
      <w:bookmarkStart w:id="4" w:name="Tc_dbHmu8nMeUWQ-9L_HsXsRg_3_2"/>
      <w:bookmarkStart w:id="5" w:name="Tc_zKYN_BFnFUmw-RKkLtJW5w_3_0"/>
      <w:bookmarkStart w:id="6" w:name="Tc_Bl9TnKOW5EWobsPzoJq_xA_2_4"/>
      <w:bookmarkStart w:id="7" w:name="Tc_k06_X9yZfUW9JSoGMBBcqw_2_2"/>
      <w:bookmarkStart w:id="8" w:name="Tc_HbDfc4sLxE2zPybG8MsxsA_2_0"/>
      <w:bookmarkStart w:id="9" w:name="_4336db8f_4704_43aa_bff8_70aed0c8965c"/>
      <w:bookmarkStart w:id="10" w:name="Tc_od9Iqv64f0OGjEnUpQ9uDA_3_4"/>
      <w:bookmarkStart w:id="11" w:name="Tc_dbHmu8nMeUWQ-9L_HsXsRg_3_2"/>
      <w:bookmarkStart w:id="12" w:name="Tc_zKYN_BFnFUmw-RKkLtJW5w_3_0"/>
      <w:bookmarkStart w:id="13" w:name="Tc_Bl9TnKOW5EWobsPzoJq_xA_2_4"/>
      <w:bookmarkStart w:id="14" w:name="Tc_k06_X9yZfUW9JSoGMBBcqw_2_2"/>
      <w:bookmarkStart w:id="15" w:name="Tc_HbDfc4sLxE2zPybG8MsxsA_2_0"/>
      <w:bookmarkStart w:id="16" w:name="_4336db8f_4704_43aa_bff8_70aed0c8965c"/>
      <w:bookmarkEnd w:id="10"/>
      <w:bookmarkEnd w:id="11"/>
      <w:bookmarkEnd w:id="12"/>
      <w:bookmarkEnd w:id="13"/>
      <w:bookmarkEnd w:id="14"/>
      <w:bookmarkEnd w:id="15"/>
      <w:bookmarkEnd w:id="16"/>
    </w:p>
    <w:tbl>
      <w:tblPr>
        <w:tblW w:w="5450" w:type="dxa"/>
        <w:jc w:val="left"/>
        <w:tblInd w:w="0" w:type="dxa"/>
        <w:tblLayout w:type="fixed"/>
        <w:tblCellMar>
          <w:top w:w="0" w:type="dxa"/>
          <w:left w:w="0" w:type="dxa"/>
          <w:bottom w:w="0" w:type="dxa"/>
          <w:right w:w="0" w:type="dxa"/>
        </w:tblCellMar>
      </w:tblPr>
      <w:tblGrid>
        <w:gridCol w:w="2236"/>
        <w:gridCol w:w="346"/>
        <w:gridCol w:w="1066"/>
        <w:gridCol w:w="34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76910" cy="175260"/>
                      <wp:effectExtent l="0" t="0" r="0" b="0"/>
                      <wp:wrapNone/>
                      <wp:docPr id="4"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24560" cy="175260"/>
                      <wp:effectExtent l="0" t="0" r="0" b="0"/>
                      <wp:wrapNone/>
                      <wp:docPr id="6"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Utah</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0-18592</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87-0447695</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hGAJlxaU9ES393UKniNknQ_3_2"/>
      <w:bookmarkStart w:id="18" w:name="Tc_YXds6vUzQ0mvZynZ3Ir38A_3_0"/>
      <w:bookmarkStart w:id="19" w:name="Tc_hKpuNm1-n0StblS1fgx1wg_2_0"/>
      <w:bookmarkStart w:id="20" w:name="_a46fc64f_fd15_4263_b177_c3932843b5d7"/>
      <w:bookmarkStart w:id="21" w:name="Tc_hGAJlxaU9ES393UKniNknQ_3_2"/>
      <w:bookmarkStart w:id="22" w:name="Tc_YXds6vUzQ0mvZynZ3Ir38A_3_0"/>
      <w:bookmarkStart w:id="23" w:name="Tc_hKpuNm1-n0StblS1fgx1wg_2_0"/>
      <w:bookmarkStart w:id="24" w:name="_a46fc64f_fd15_4263_b177_c3932843b5d7"/>
      <w:bookmarkEnd w:id="21"/>
      <w:bookmarkEnd w:id="22"/>
      <w:bookmarkEnd w:id="23"/>
      <w:bookmarkEnd w:id="24"/>
    </w:p>
    <w:tbl>
      <w:tblPr>
        <w:tblW w:w="4203" w:type="dxa"/>
        <w:jc w:val="left"/>
        <w:tblInd w:w="0" w:type="dxa"/>
        <w:tblLayout w:type="fixed"/>
        <w:tblCellMar>
          <w:top w:w="0" w:type="dxa"/>
          <w:left w:w="0" w:type="dxa"/>
          <w:bottom w:w="0" w:type="dxa"/>
          <w:right w:w="0" w:type="dxa"/>
        </w:tblCellMar>
      </w:tblPr>
      <w:tblGrid>
        <w:gridCol w:w="2926"/>
        <w:gridCol w:w="34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858010" cy="175260"/>
                      <wp:effectExtent l="0" t="0" r="0" b="0"/>
                      <wp:wrapNone/>
                      <wp:docPr id="7" name="Frame6"/>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91185" cy="175260"/>
                      <wp:effectExtent l="0" t="0" r="0" b="0"/>
                      <wp:wrapNone/>
                      <wp:docPr id="9"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West Merit Parkway</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South Jordan, Utah</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84095</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(801) 253-1600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Written communications pursuant to Rule 425 under the Securities Act (17 CFR 230.425)</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Soliciting material pursuant to Rule 14a-12 under the Exchange Act (17 CFR 240.14a-12)</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Pre-commencement communications pursuant to Rule 14d-2(b) under the Exchange Act (17 CFR 240.14d-2(b))</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Pre-commencement communications pursuant to Rule 13e-4(c) under the Exchange Act (17 CFR 240.13e-4(c))</w:t>
      </w:r>
    </w:p>
    <w:p>
      <w:pPr>
        <w:pStyle w:val="TextBody"/>
        <w:pBdr/>
        <w:bidi w:val="0"/>
        <w:spacing w:before="0" w:after="0"/>
        <w:ind w:left="0" w:right="0" w:hanging="36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pBdr/>
        <w:bidi w:val="0"/>
        <w:spacing w:before="0" w:after="0"/>
        <w:ind w:left="0" w:right="0" w:hanging="360"/>
        <w:jc w:val="left"/>
        <w:rPr/>
      </w:pPr>
      <w:r>
        <w:rPr/>
        <w:t>​</w:t>
      </w:r>
    </w:p>
    <w:p>
      <w:pPr>
        <w:pStyle w:val="Normal"/>
        <w:bidi w:val="0"/>
        <w:spacing w:before="0" w:after="0"/>
        <w:jc w:val="left"/>
        <w:rPr>
          <w:sz w:val="4"/>
          <w:szCs w:val="4"/>
        </w:rPr>
      </w:pPr>
      <w:r>
        <w:rPr>
          <w:sz w:val="4"/>
          <w:szCs w:val="4"/>
        </w:rPr>
      </w:r>
      <w:bookmarkStart w:id="25" w:name="Tc_qTEmYxA59UiR_XwqnKJyRw_1_4"/>
      <w:bookmarkStart w:id="26" w:name="Tc_25H1AHrmXkWNEriF6ChYRA_0_4"/>
      <w:bookmarkStart w:id="27" w:name="Tc_k1tKVNEExEO5MknXtR0dFQ_0_2"/>
      <w:bookmarkStart w:id="28" w:name="Tc_adKQUXRpNE-muCtPdCvgWQ_0_0"/>
      <w:bookmarkStart w:id="29" w:name="_6100c6e9_d517_497c_a55b_abb2322aab5e"/>
      <w:bookmarkStart w:id="30" w:name="Tc_qTEmYxA59UiR_XwqnKJyRw_1_4"/>
      <w:bookmarkStart w:id="31" w:name="Tc_25H1AHrmXkWNEriF6ChYRA_0_4"/>
      <w:bookmarkStart w:id="32" w:name="Tc_k1tKVNEExEO5MknXtR0dFQ_0_2"/>
      <w:bookmarkStart w:id="33" w:name="Tc_adKQUXRpNE-muCtPdCvgWQ_0_0"/>
      <w:bookmarkStart w:id="34" w:name="_6100c6e9_d517_497c_a55b_abb2322aab5e"/>
      <w:bookmarkEnd w:id="30"/>
      <w:bookmarkEnd w:id="31"/>
      <w:bookmarkEnd w:id="32"/>
      <w:bookmarkEnd w:id="33"/>
      <w:bookmarkEnd w:id="34"/>
    </w:p>
    <w:tbl>
      <w:tblPr>
        <w:tblW w:w="7610" w:type="dxa"/>
        <w:jc w:val="left"/>
        <w:tblInd w:w="0" w:type="dxa"/>
        <w:tblLayout w:type="fixed"/>
        <w:tblCellMar>
          <w:top w:w="0" w:type="dxa"/>
          <w:left w:w="0" w:type="dxa"/>
          <w:bottom w:w="0" w:type="dxa"/>
          <w:right w:w="0" w:type="dxa"/>
        </w:tblCellMar>
      </w:tblPr>
      <w:tblGrid>
        <w:gridCol w:w="2191"/>
        <w:gridCol w:w="346"/>
        <w:gridCol w:w="1456"/>
        <w:gridCol w:w="346"/>
        <w:gridCol w:w="3271"/>
      </w:tblGrid>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46" w:type="dxa"/>
            <w:tcBorders/>
            <w:vAlign w:val="center"/>
          </w:tcPr>
          <w:p>
            <w:pPr>
              <w:pStyle w:val="TableContents"/>
              <w:bidi w:val="0"/>
              <w:spacing w:before="0" w:after="0"/>
              <w:ind w:left="0" w:right="0" w:hanging="0"/>
              <w:jc w:val="left"/>
              <w:rPr/>
            </w:pPr>
            <w:r>
              <w:rPr/>
              <w:t>  ​ ​ ​</w:t>
            </w:r>
          </w:p>
        </w:tc>
        <w:tc>
          <w:tcPr>
            <w:tcW w:w="32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19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MMSI</w:t>
            </w:r>
          </w:p>
        </w:tc>
        <w:tc>
          <w:tcPr>
            <w:tcW w:w="346" w:type="dxa"/>
            <w:tcBorders/>
            <w:vAlign w:val="center"/>
          </w:tcPr>
          <w:p>
            <w:pPr>
              <w:pStyle w:val="TableContents"/>
              <w:bidi w:val="0"/>
              <w:spacing w:before="0" w:after="0"/>
              <w:ind w:left="0" w:right="0" w:hanging="0"/>
              <w:jc w:val="left"/>
              <w:rPr/>
            </w:pPr>
            <w:r>
              <w:rPr/>
              <w:t>​</w:t>
            </w:r>
          </w:p>
        </w:tc>
        <w:tc>
          <w:tcPr>
            <w:tcW w:w="327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 System</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pBdr/>
        <w:bidi w:val="0"/>
        <w:spacing w:lineRule="atLeast" w:line="142"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8"/>
        </w:rPr>
      </w:pPr>
      <w:bookmarkStart w:id="35" w:name="_c9545e30_f8f2_4b79_8561_f4fba277c9d0"/>
      <w:bookmarkEnd w:id="35"/>
      <w:r>
        <w:rPr>
          <w:rFonts w:ascii="Times New Roman;Times;serif" w:hAnsi="Times New Roman;Times;serif"/>
          <w:b/>
          <w:sz w:val="19"/>
        </w:rPr>
        <w:t>Item 2.02.  Results of Operations and Financial Condition</w:t>
      </w:r>
      <w:r>
        <w:rPr>
          <w:rFonts w:ascii="Times New Roman;Times;serif" w:hAnsi="Times New Roman;Times;serif"/>
          <w:sz w:val="19"/>
        </w:rPr>
        <w:t>.</w:t>
      </w:r>
    </w:p>
    <w:p>
      <w:pPr>
        <w:pStyle w:val="TextBody"/>
        <w:bidi w:val="0"/>
        <w:spacing w:before="0" w:after="200"/>
        <w:ind w:left="0" w:right="0" w:hanging="0"/>
        <w:jc w:val="both"/>
        <w:rPr>
          <w:rFonts w:ascii="Times New Roman;Times;serif" w:hAnsi="Times New Roman;Times;serif"/>
          <w:sz w:val="19"/>
        </w:rPr>
      </w:pPr>
      <w:r>
        <w:rPr>
          <w:rFonts w:ascii="Times New Roman;Times;serif" w:hAnsi="Times New Roman;Times;serif"/>
          <w:sz w:val="19"/>
        </w:rPr>
        <w:t>On July 30, 2026, Merit Medical Systems, Inc. (“Merit”) issued a press release announcing its operating and financial results for the quarter ended June 30, 2026. A copy of the press release is furnished as Exhibit 99.1 to this report and incorporated herein by reference.</w:t>
      </w:r>
    </w:p>
    <w:p>
      <w:pPr>
        <w:pStyle w:val="TextBody"/>
        <w:pBdr/>
        <w:bidi w:val="0"/>
        <w:spacing w:before="0" w:after="0"/>
        <w:ind w:left="0" w:right="0" w:hanging="0"/>
        <w:jc w:val="left"/>
        <w:rPr>
          <w:rFonts w:ascii="Times New Roman;Times;serif" w:hAnsi="Times New Roman;Times;serif"/>
          <w:sz w:val="18"/>
        </w:rPr>
      </w:pPr>
      <w:r>
        <w:rPr>
          <w:rFonts w:ascii="Times New Roman;Times;serif" w:hAnsi="Times New Roman;Times;serif"/>
          <w:b/>
          <w:sz w:val="19"/>
        </w:rPr>
        <w:t>Item 7.01. Regulation FD Disclosure</w:t>
      </w:r>
      <w:r>
        <w:rPr>
          <w:rFonts w:ascii="Times New Roman;Times;serif" w:hAnsi="Times New Roman;Times;serif"/>
          <w:sz w:val="19"/>
        </w:rPr>
        <w:t>.</w:t>
      </w:r>
    </w:p>
    <w:p>
      <w:pPr>
        <w:pStyle w:val="TextBody"/>
        <w:pBdr/>
        <w:shd w:fill="FFFFFF" w:val="clear"/>
        <w:bidi w:val="0"/>
        <w:spacing w:before="80" w:after="0"/>
        <w:ind w:left="0" w:right="0" w:hanging="0"/>
        <w:jc w:val="both"/>
        <w:rPr>
          <w:rFonts w:ascii="Times New Roman;Times;serif" w:hAnsi="Times New Roman;Times;serif"/>
          <w:sz w:val="19"/>
        </w:rPr>
      </w:pPr>
      <w:r>
        <w:rPr>
          <w:rFonts w:ascii="Times New Roman;Times;serif" w:hAnsi="Times New Roman;Times;serif"/>
          <w:sz w:val="19"/>
        </w:rPr>
        <w:t>On July 30, 2026, Merit is conducting a conference call to discuss its operating and financial results for the quarter ended June 30, 2026. A live webcast and conference call presentation will also be available for the conference call at merit.com. A copy of the conference call presentation is furnished as Exhibit 99.2 to this report and incorporated herein by reference.</w:t>
      </w:r>
    </w:p>
    <w:p>
      <w:pPr>
        <w:pStyle w:val="TextBody"/>
        <w:pBdr/>
        <w:shd w:fill="FFFFFF" w:val="clear"/>
        <w:bidi w:val="0"/>
        <w:spacing w:before="0" w:after="0"/>
        <w:ind w:left="0" w:right="0" w:hanging="0"/>
        <w:jc w:val="both"/>
        <w:rPr>
          <w:rFonts w:ascii="Times New Roman;Times;serif" w:hAnsi="Times New Roman;Times;serif"/>
          <w:sz w:val="19"/>
        </w:rPr>
      </w:pPr>
      <w:r>
        <w:rPr>
          <w:rFonts w:ascii="Times New Roman;Times;serif" w:hAnsi="Times New Roman;Times;serif"/>
          <w:sz w:val="19"/>
        </w:rPr>
        <w:t>The information contained in Item 2.02 and Item 7.01 of this report (including the exhibits attached hereto) is furnished pursuant to General Instruction B.2. of Form 8-K and shall not be deemed to be “filed” for purposes of Section 18 of the Securities Exchange Act of 1934, as amended (the “Exchange Act”), or otherwise subject to the liabilities of that section, nor shall it be deemed incorporated by reference in any filing made by Merit under the Securities Act of 1933, as amended, or the Exchange Act.</w:t>
      </w:r>
    </w:p>
    <w:p>
      <w:pPr>
        <w:pStyle w:val="TextBody"/>
        <w:shd w:fill="FFFFFF" w:val="clear"/>
        <w:bidi w:val="0"/>
        <w:spacing w:before="0" w:after="200"/>
        <w:ind w:left="0" w:right="0" w:hanging="0"/>
        <w:jc w:val="both"/>
        <w:rPr>
          <w:rFonts w:ascii="Times New Roman;Times;serif" w:hAnsi="Times New Roman;Times;serif"/>
          <w:sz w:val="19"/>
        </w:rPr>
      </w:pPr>
      <w:r>
        <w:rPr>
          <w:rFonts w:ascii="Times New Roman;Times;serif" w:hAnsi="Times New Roman;Times;serif"/>
          <w:sz w:val="19"/>
        </w:rPr>
        <w:t>In addition to disclosing results that are determined in accordance with Generally Accepted Accounting Principles (“GAAP”), Merit is disclosing non-GAAP financial information in both the press release announcing its operating and financial results and the conference call presentation. Reconciliations of certain of these non-GAAP financial measures to the comparable GAAP financial measures are included in the press release and conference call presentation attached as Exhibit 99.1 and 99.2 to this report, respectively. 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items such as expenses related to acquisitions or other extraordinary transactions, non-cash expenses related to amortization or write-off of previously acquired tangible and intangible assets, certain severance expenses,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reasonably predict the amount and impact of these items and Merit believes inclusion of the most directly comparable GAAP financial measure, and a reconciliation of these forward-looking non-GAAP figures to their GAAP counterparts, could be confusing to investors or cause undue reliance.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10205" w:type="dxa"/>
        <w:jc w:val="left"/>
        <w:tblInd w:w="0" w:type="dxa"/>
        <w:tblLayout w:type="fixed"/>
        <w:tblCellMar>
          <w:top w:w="0" w:type="dxa"/>
          <w:left w:w="0" w:type="dxa"/>
          <w:bottom w:w="0" w:type="dxa"/>
          <w:right w:w="0" w:type="dxa"/>
        </w:tblCellMar>
      </w:tblPr>
      <w:tblGrid>
        <w:gridCol w:w="1576"/>
        <w:gridCol w:w="146"/>
        <w:gridCol w:w="8483"/>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00760" cy="175260"/>
                      <wp:effectExtent l="0" t="0" r="0" b="0"/>
                      <wp:wrapNone/>
                      <wp:docPr id="10" name="Frame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386705" cy="175260"/>
                      <wp:effectExtent l="0" t="0" r="0" b="0"/>
                      <wp:wrapNone/>
                      <wp:docPr id="11" name="Frame10"/>
                      <a:graphic xmlns:a="http://schemas.openxmlformats.org/drawingml/2006/main">
                        <a:graphicData uri="http://schemas.microsoft.com/office/word/2010/wordprocessingShape">
                          <wps:wsp>
                            <wps:cNvSpPr txBox="1"/>
                            <wps:spPr>
                              <a:xfrm>
                                <a:off x="0" y="0"/>
                                <a:ext cx="538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46" w:type="dxa"/>
            <w:tcBorders/>
            <w:vAlign w:val="center"/>
          </w:tcPr>
          <w:p>
            <w:pPr>
              <w:pStyle w:val="TableContents"/>
              <w:bidi w:val="0"/>
              <w:spacing w:before="0" w:after="0"/>
              <w:ind w:left="0" w:right="0" w:hanging="0"/>
              <w:jc w:val="left"/>
              <w:rPr/>
            </w:pPr>
            <w:r>
              <w:rPr/>
              <w:t> </w:t>
            </w:r>
          </w:p>
        </w:tc>
        <w:tc>
          <w:tcPr>
            <w:tcW w:w="84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15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120"/>
              <w:ind w:left="0" w:right="0" w:hanging="0"/>
              <w:jc w:val="left"/>
              <w:rPr/>
            </w:pPr>
            <w:hyperlink w:anchor="mmsi-20260730xex99d1.htm">
              <w:r>
                <w:rPr>
                  <w:rStyle w:val="InternetLink"/>
                  <w:rFonts w:ascii="Times New Roman;Times;serif" w:hAnsi="Times New Roman;Times;serif"/>
                  <w:b w:val="false"/>
                  <w:i w:val="false"/>
                  <w:caps w:val="false"/>
                  <w:smallCaps w:val="false"/>
                  <w:sz w:val="20"/>
                </w:rPr>
                <w:t>Press Release, dated July 30, 2026, entitled “Merit Medical Reports Second Quarter 2026 Results and Updates Full-Year 2026 Guidance” including unaudited financial information.</w:t>
              </w:r>
            </w:hyperlink>
          </w:p>
        </w:tc>
      </w:tr>
      <w:tr>
        <w:trPr/>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120"/>
              <w:ind w:left="0" w:right="0" w:hanging="0"/>
              <w:jc w:val="left"/>
              <w:rPr/>
            </w:pPr>
            <w:hyperlink w:anchor="mmsi-20260730xex99d2.htm">
              <w:r>
                <w:rPr>
                  <w:rStyle w:val="InternetLink"/>
                  <w:rFonts w:ascii="Times New Roman;Times;serif" w:hAnsi="Times New Roman;Times;serif"/>
                  <w:b w:val="false"/>
                  <w:i w:val="false"/>
                  <w:caps w:val="false"/>
                  <w:smallCaps w:val="false"/>
                  <w:sz w:val="20"/>
                </w:rPr>
                <w:t>Conference Call Presentation</w:t>
              </w:r>
            </w:hyperlink>
          </w:p>
        </w:tc>
      </w:tr>
      <w:tr>
        <w:trPr/>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pBdr/>
        <w:shd w:fill="FFFFFF" w:val="clear"/>
        <w:bidi w:val="0"/>
        <w:spacing w:before="0" w:after="0"/>
        <w:ind w:left="0" w:right="0" w:hanging="0"/>
        <w:jc w:val="both"/>
        <w:rPr/>
      </w:pPr>
      <w:r>
        <w:rPr/>
        <w:t>​</w:t>
      </w:r>
    </w:p>
    <w:p>
      <w:pPr>
        <w:pStyle w:val="TextBody"/>
        <w:shd w:fill="FFFFFF" w:val="clear"/>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6" w:name="_5b32d81a_1613_4fab_8570_227ce614c101"/>
      <w:bookmarkEnd w:id="36"/>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823" w:type="dxa"/>
        <w:jc w:val="left"/>
        <w:tblInd w:w="0" w:type="dxa"/>
        <w:tblLayout w:type="fixed"/>
        <w:tblCellMar>
          <w:top w:w="0" w:type="dxa"/>
          <w:left w:w="0" w:type="dxa"/>
          <w:bottom w:w="0" w:type="dxa"/>
          <w:right w:w="0" w:type="dxa"/>
        </w:tblCellMar>
      </w:tblPr>
      <w:tblGrid>
        <w:gridCol w:w="1711"/>
        <w:gridCol w:w="406"/>
        <w:gridCol w:w="3706"/>
      </w:tblGrid>
      <w:tr>
        <w:trPr/>
        <w:tc>
          <w:tcPr>
            <w:tcW w:w="1711" w:type="dxa"/>
            <w:tcBorders/>
            <w:vAlign w:val="center"/>
          </w:tcPr>
          <w:p>
            <w:pPr>
              <w:pStyle w:val="TableContents"/>
              <w:bidi w:val="0"/>
              <w:spacing w:before="0" w:after="0"/>
              <w:ind w:left="0" w:right="0" w:hanging="0"/>
              <w:jc w:val="left"/>
              <w:rPr/>
            </w:pPr>
            <w:r>
              <w:rPr/>
              <w:t>​</w:t>
            </w:r>
          </w:p>
        </w:tc>
        <w:tc>
          <w:tcPr>
            <w:tcW w:w="41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MERIT MEDICAL SYSTEMS, INC.</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G. Lloyd</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G. Lloyd</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right"/>
        <w:rPr>
          <w:rFonts w:ascii="Times New Roman;Times;serif" w:hAnsi="Times New Roman;Times;serif"/>
          <w:b/>
          <w:sz w:val="20"/>
        </w:rPr>
      </w:pPr>
      <w:bookmarkStart w:id="37" w:name="mmsi-20260730xex99d1.htm"/>
      <w:bookmarkStart w:id="38" w:name="ksmmsi20260730xex99d1"/>
      <w:bookmarkEnd w:id="37"/>
      <w:bookmarkEnd w:id="38"/>
      <w:r>
        <w:rPr>
          <w:rFonts w:ascii="Times New Roman;Times;serif" w:hAnsi="Times New Roman;Times;serif"/>
          <w:b/>
          <w:sz w:val="20"/>
        </w:rPr>
        <w:t>Exhibit 99.1</w:t>
      </w:r>
      <w:r>
        <w:br w:type="page"/>
      </w:r>
    </w:p>
    <w:tbl>
      <w:tblPr>
        <w:tblW w:w="10287" w:type="dxa"/>
        <w:jc w:val="center"/>
        <w:tblInd w:w="0" w:type="dxa"/>
        <w:tblLayout w:type="fixed"/>
        <w:tblCellMar>
          <w:top w:w="0" w:type="dxa"/>
          <w:left w:w="0" w:type="dxa"/>
          <w:bottom w:w="0" w:type="dxa"/>
          <w:right w:w="0" w:type="dxa"/>
        </w:tblCellMar>
      </w:tblPr>
      <w:tblGrid>
        <w:gridCol w:w="10287"/>
      </w:tblGrid>
      <w:tr>
        <w:trPr/>
        <w:tc>
          <w:tcPr>
            <w:tcW w:w="10287" w:type="dxa"/>
            <w:tcBorders/>
            <w:vAlign w:val="center"/>
          </w:tcPr>
          <w:p>
            <w:pPr>
              <w:pStyle w:val="TableContents"/>
              <w:bidi w:val="0"/>
              <w:spacing w:before="0" w:after="0"/>
              <w:ind w:left="0" w:right="0" w:hanging="0"/>
              <w:jc w:val="center"/>
              <w:rPr/>
            </w:pPr>
            <w:r>
              <w:rPr/>
              <w:drawing>
                <wp:inline distT="0" distB="0" distL="0" distR="0">
                  <wp:extent cx="6439535" cy="133477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6439535" cy="1334770"/>
                          </a:xfrm>
                          <a:prstGeom prst="rect">
                            <a:avLst/>
                          </a:prstGeom>
                        </pic:spPr>
                      </pic:pic>
                    </a:graphicData>
                  </a:graphic>
                </wp:inline>
              </w:drawing>
            </w:r>
          </w:p>
        </w:tc>
      </w:tr>
    </w:tbl>
    <w:p>
      <w:pPr>
        <w:pStyle w:val="TextBody"/>
        <w:shd w:fill="FFFFFF" w:val="clear"/>
        <w:bidi w:val="0"/>
        <w:spacing w:before="0" w:after="0"/>
        <w:ind w:left="0" w:right="0" w:hanging="0"/>
        <w:jc w:val="left"/>
        <w:rPr>
          <w:color w:val="0000FF"/>
        </w:rPr>
      </w:pPr>
      <w:bookmarkStart w:id="39" w:name="_Hlk173315855"/>
      <w:bookmarkEnd w:id="39"/>
      <w:r>
        <w:rPr>
          <w:color w:val="0000FF"/>
        </w:rPr>
        <w:t>​</w:t>
      </w:r>
    </w:p>
    <w:tbl>
      <w:tblPr>
        <w:tblW w:w="5575" w:type="dxa"/>
        <w:jc w:val="center"/>
        <w:tblInd w:w="0" w:type="dxa"/>
        <w:tblLayout w:type="fixed"/>
        <w:tblCellMar>
          <w:top w:w="0" w:type="dxa"/>
          <w:left w:w="0" w:type="dxa"/>
          <w:bottom w:w="0" w:type="dxa"/>
          <w:right w:w="0" w:type="dxa"/>
        </w:tblCellMar>
      </w:tblPr>
      <w:tblGrid>
        <w:gridCol w:w="124"/>
        <w:gridCol w:w="2341"/>
        <w:gridCol w:w="2956"/>
        <w:gridCol w:w="154"/>
      </w:tblGrid>
      <w:tr>
        <w:trPr/>
        <w:tc>
          <w:tcPr>
            <w:tcW w:w="12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Contacts:</w:t>
            </w:r>
          </w:p>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shd w:fill="FFFFFF" w:val="clear"/>
              <w:bidi w:val="0"/>
              <w:spacing w:before="0" w:after="0"/>
              <w:ind w:left="0" w:right="0" w:hanging="0"/>
              <w:jc w:val="center"/>
              <w:rPr/>
            </w:pPr>
            <w:r>
              <w:rPr/>
              <w:t>​</w:t>
            </w:r>
          </w:p>
        </w:tc>
        <w:tc>
          <w:tcPr>
            <w:tcW w:w="234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PR/Media Inquiries:</w:t>
            </w:r>
          </w:p>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Sarah Comstock </w:t>
            </w:r>
          </w:p>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Merit Medical</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 Inquiries: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Mike Piccinino, CFA, IRC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ICR Healthcare</w:t>
            </w:r>
          </w:p>
        </w:tc>
        <w:tc>
          <w:tcPr>
            <w:tcW w:w="154" w:type="dxa"/>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shd w:fill="FFFFFF" w:val="clear"/>
              <w:bidi w:val="0"/>
              <w:spacing w:before="0" w:after="0"/>
              <w:ind w:left="0" w:right="0" w:hanging="0"/>
              <w:jc w:val="left"/>
              <w:rPr/>
            </w:pPr>
            <w:r>
              <w:rPr/>
              <w:t>​</w:t>
            </w:r>
          </w:p>
        </w:tc>
        <w:tc>
          <w:tcPr>
            <w:tcW w:w="234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+1-801-432-2864</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+1-443-213-0509</w:t>
            </w:r>
          </w:p>
        </w:tc>
        <w:tc>
          <w:tcPr>
            <w:tcW w:w="154" w:type="dxa"/>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shd w:fill="FFFFFF" w:val="clear"/>
              <w:bidi w:val="0"/>
              <w:spacing w:before="0" w:after="0"/>
              <w:ind w:left="0" w:right="0" w:hanging="0"/>
              <w:jc w:val="left"/>
              <w:rPr>
                <w:color w:val="0000FF"/>
              </w:rPr>
            </w:pPr>
            <w:r>
              <w:rPr>
                <w:color w:val="0000FF"/>
              </w:rPr>
              <w:t>​</w:t>
            </w:r>
          </w:p>
        </w:tc>
        <w:tc>
          <w:tcPr>
            <w:tcW w:w="2341" w:type="dxa"/>
            <w:tcBorders/>
            <w:vAlign w:val="center"/>
          </w:tcPr>
          <w:p>
            <w:pPr>
              <w:pStyle w:val="TableContents"/>
              <w:shd w:fill="FFFFFF" w:val="clear"/>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sarah.comstock@merit.com</w:t>
            </w:r>
          </w:p>
        </w:tc>
        <w:tc>
          <w:tcPr>
            <w:tcW w:w="2956"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mike.piccinino@icrhealthcare.com</w:t>
            </w:r>
          </w:p>
        </w:tc>
        <w:tc>
          <w:tcPr>
            <w:tcW w:w="154" w:type="dxa"/>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shd w:fill="FFFFFF" w:val="clear"/>
              <w:bidi w:val="0"/>
              <w:spacing w:before="0" w:after="0"/>
              <w:ind w:left="0" w:right="0" w:hanging="0"/>
              <w:jc w:val="left"/>
              <w:rPr/>
            </w:pPr>
            <w:r>
              <w:rPr/>
              <w:t>​</w:t>
            </w:r>
          </w:p>
        </w:tc>
        <w:tc>
          <w:tcPr>
            <w:tcW w:w="2341" w:type="dxa"/>
            <w:tcBorders/>
            <w:vAlign w:val="center"/>
          </w:tcPr>
          <w:p>
            <w:pPr>
              <w:pStyle w:val="TableContents"/>
              <w:shd w:fill="FFFFFF" w:val="clear"/>
              <w:bidi w:val="0"/>
              <w:spacing w:before="0" w:after="0"/>
              <w:ind w:left="0" w:right="0" w:hanging="0"/>
              <w:jc w:val="left"/>
              <w:rPr/>
            </w:pPr>
            <w:r>
              <w:rPr/>
              <w:t>​</w:t>
            </w:r>
          </w:p>
        </w:tc>
        <w:tc>
          <w:tcPr>
            <w:tcW w:w="2956" w:type="dxa"/>
            <w:tcBorders/>
            <w:vAlign w:val="center"/>
          </w:tcPr>
          <w:p>
            <w:pPr>
              <w:pStyle w:val="TableContents"/>
              <w:shd w:fill="FFFFFF" w:val="clear"/>
              <w:bidi w:val="0"/>
              <w:spacing w:before="0" w:after="0"/>
              <w:ind w:left="0" w:right="0" w:hanging="0"/>
              <w:jc w:val="left"/>
              <w:rPr/>
            </w:pPr>
            <w:r>
              <w:rPr/>
              <w:t>​</w:t>
            </w:r>
          </w:p>
        </w:tc>
        <w:tc>
          <w:tcPr>
            <w:tcW w:w="154" w:type="dxa"/>
            <w:tcBorders/>
            <w:vAlign w:val="center"/>
          </w:tcPr>
          <w:p>
            <w:pPr>
              <w:pStyle w:val="TableContents"/>
              <w:shd w:fill="FFFFFF" w:val="clear"/>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MERIT MEDICAL REPORTS SECOND QUARTER 2026 RESULTS AND UPDATES FULL-YEAR 2026 GUIDANCE</w:t>
      </w:r>
    </w:p>
    <w:p>
      <w:pPr>
        <w:pStyle w:val="TextBody"/>
        <w:bidi w:val="0"/>
        <w:spacing w:before="0" w:after="120"/>
        <w:ind w:left="0" w:right="0" w:hanging="0"/>
        <w:jc w:val="both"/>
        <w:rPr>
          <w:rFonts w:ascii="Times New Roman;Times;serif" w:hAnsi="Times New Roman;Times;serif"/>
          <w:b/>
          <w:sz w:val="22"/>
        </w:rPr>
      </w:pPr>
      <w:bookmarkStart w:id="40" w:name="_Hlk180586665"/>
      <w:bookmarkEnd w:id="40"/>
      <w:r>
        <w:rPr>
          <w:rFonts w:ascii="Times New Roman;Times;serif" w:hAnsi="Times New Roman;Times;serif"/>
          <w:b/>
          <w:sz w:val="22"/>
        </w:rPr>
        <w:t>Financial Highlights†</w:t>
      </w:r>
    </w:p>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Reported revenue of $418.8 million, up 10%</w:t>
            </w:r>
          </w:p>
        </w:tc>
      </w:tr>
    </w:tbl>
    <w:tbl>
      <w:tblPr>
        <w:tblW w:w="9708" w:type="dxa"/>
        <w:jc w:val="left"/>
        <w:tblInd w:w="0" w:type="dxa"/>
        <w:tblLayout w:type="fixed"/>
        <w:tblCellMar>
          <w:top w:w="0" w:type="dxa"/>
          <w:left w:w="0" w:type="dxa"/>
          <w:bottom w:w="0" w:type="dxa"/>
          <w:right w:w="0" w:type="dxa"/>
        </w:tblCellMar>
      </w:tblPr>
      <w:tblGrid>
        <w:gridCol w:w="23"/>
        <w:gridCol w:w="170"/>
        <w:gridCol w:w="9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Constant currency revenue* and constant currency revenue, organic* up 9% and up 9%, respectively</w:t>
            </w:r>
          </w:p>
        </w:tc>
      </w:tr>
    </w:tbl>
    <w:tbl>
      <w:tblPr>
        <w:tblW w:w="7233" w:type="dxa"/>
        <w:jc w:val="left"/>
        <w:tblInd w:w="0" w:type="dxa"/>
        <w:tblLayout w:type="fixed"/>
        <w:tblCellMar>
          <w:top w:w="0" w:type="dxa"/>
          <w:left w:w="0" w:type="dxa"/>
          <w:bottom w:w="0" w:type="dxa"/>
          <w:right w:w="0" w:type="dxa"/>
        </w:tblCellMar>
      </w:tblPr>
      <w:tblGrid>
        <w:gridCol w:w="23"/>
        <w:gridCol w:w="17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GAAP operating margin of 14.4%, compared to 12.3% in prior year period</w:t>
            </w:r>
          </w:p>
        </w:tc>
      </w:tr>
    </w:tbl>
    <w:tbl>
      <w:tblPr>
        <w:tblW w:w="7833" w:type="dxa"/>
        <w:jc w:val="left"/>
        <w:tblInd w:w="0" w:type="dxa"/>
        <w:tblLayout w:type="fixed"/>
        <w:tblCellMar>
          <w:top w:w="0" w:type="dxa"/>
          <w:left w:w="0" w:type="dxa"/>
          <w:bottom w:w="0" w:type="dxa"/>
          <w:right w:w="0" w:type="dxa"/>
        </w:tblCellMar>
      </w:tblPr>
      <w:tblGrid>
        <w:gridCol w:w="23"/>
        <w:gridCol w:w="17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Non-GAAP operating margin* of 22.6%, compared to 21.2% in prior year period</w:t>
            </w:r>
          </w:p>
        </w:tc>
      </w:tr>
    </w:tbl>
    <w:tbl>
      <w:tblPr>
        <w:tblW w:w="2763" w:type="dxa"/>
        <w:jc w:val="left"/>
        <w:tblInd w:w="0" w:type="dxa"/>
        <w:tblLayout w:type="fixed"/>
        <w:tblCellMar>
          <w:top w:w="0" w:type="dxa"/>
          <w:left w:w="0" w:type="dxa"/>
          <w:bottom w:w="0" w:type="dxa"/>
          <w:right w:w="0" w:type="dxa"/>
        </w:tblCellMar>
      </w:tblPr>
      <w:tblGrid>
        <w:gridCol w:w="23"/>
        <w:gridCol w:w="170"/>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GAAP EPS $0.65, up 20% </w:t>
            </w:r>
          </w:p>
        </w:tc>
      </w:tr>
    </w:tbl>
    <w:tbl>
      <w:tblPr>
        <w:tblW w:w="3303" w:type="dxa"/>
        <w:jc w:val="left"/>
        <w:tblInd w:w="0" w:type="dxa"/>
        <w:tblLayout w:type="fixed"/>
        <w:tblCellMar>
          <w:top w:w="0" w:type="dxa"/>
          <w:left w:w="0" w:type="dxa"/>
          <w:bottom w:w="0" w:type="dxa"/>
          <w:right w:w="0" w:type="dxa"/>
        </w:tblCellMar>
      </w:tblPr>
      <w:tblGrid>
        <w:gridCol w:w="23"/>
        <w:gridCol w:w="17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Non-GAAP EPS* $1.19, up 18%</w:t>
            </w:r>
          </w:p>
        </w:tc>
      </w:tr>
    </w:tbl>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Cash flow from operations of $110.0 million year-to-date, down 11%</w:t>
            </w:r>
          </w:p>
        </w:tc>
      </w:tr>
    </w:tbl>
    <w:tbl>
      <w:tblPr>
        <w:tblW w:w="6633" w:type="dxa"/>
        <w:jc w:val="left"/>
        <w:tblInd w:w="0" w:type="dxa"/>
        <w:tblLayout w:type="fixed"/>
        <w:tblCellMar>
          <w:top w:w="0" w:type="dxa"/>
          <w:left w:w="0" w:type="dxa"/>
          <w:bottom w:w="0" w:type="dxa"/>
          <w:right w:w="0" w:type="dxa"/>
        </w:tblCellMar>
      </w:tblPr>
      <w:tblGrid>
        <w:gridCol w:w="23"/>
        <w:gridCol w:w="170"/>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Free cash flow* generation of $76.6 million year-to-date, down 14%</w:t>
            </w:r>
          </w:p>
        </w:tc>
      </w:tr>
    </w:tbl>
    <w:p>
      <w:pPr>
        <w:pStyle w:val="TextBody"/>
        <w:bidi w:val="0"/>
        <w:spacing w:before="0" w:after="120"/>
        <w:ind w:left="0" w:right="0" w:hanging="0"/>
        <w:jc w:val="both"/>
        <w:rPr/>
      </w:pPr>
      <w:r>
        <w:rPr/>
        <w:t xml:space="preserve">† </w:t>
      </w:r>
      <w:r>
        <w:rPr>
          <w:rFonts w:ascii="Times New Roman;Times;serif" w:hAnsi="Times New Roman;Times;serif"/>
          <w:i/>
          <w:sz w:val="20"/>
        </w:rPr>
        <w:t>Comparisons above are calculated for the current quarter compared with the second quarter of 2025, unless otherwise specified. Amounts stated in this release are rounded, while percentages are calculated from the underlying amounts.</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 Constant currency revenue; constant currency revenue, organic; non-GAAP gross profit and margin; non-GAAP operating income and margin; non-GAAP net income; non-GAAP EPS; and free cash flow figures (used here and below) are non-GAAP financial measures. A reconciliation of these financial measures to their most directly comparable GAAP financial measures is included under the heading “Non-GAAP Financial Measures” below.</w:t>
      </w:r>
    </w:p>
    <w:p>
      <w:pPr>
        <w:pStyle w:val="TextBody"/>
        <w:bidi w:val="0"/>
        <w:spacing w:before="120" w:after="200"/>
        <w:ind w:left="0" w:right="0" w:hanging="0"/>
        <w:jc w:val="both"/>
        <w:rPr>
          <w:rFonts w:ascii="Times New Roman;Times;serif" w:hAnsi="Times New Roman;Times;serif"/>
          <w:sz w:val="20"/>
        </w:rPr>
      </w:pPr>
      <w:bookmarkStart w:id="41" w:name="_Hlk54257290"/>
      <w:bookmarkEnd w:id="41"/>
      <w:r>
        <w:rPr>
          <w:rFonts w:ascii="Times New Roman;Times;serif" w:hAnsi="Times New Roman;Times;serif"/>
          <w:sz w:val="20"/>
        </w:rPr>
        <w:t>SOUTH JORDAN, Utah, July 30, 2026 -- Merit Medical Systems, Inc. (NASDAQ: MMSI), a leading global manufacturer and marketer of healthcare technology, today announced financial results for the three and six-month periods ended June 30, 2026.</w:t>
      </w:r>
    </w:p>
    <w:p>
      <w:pPr>
        <w:pStyle w:val="TextBody"/>
        <w:bidi w:val="0"/>
        <w:spacing w:before="200" w:after="200"/>
        <w:ind w:left="0" w:right="0" w:hanging="0"/>
        <w:jc w:val="both"/>
        <w:rPr/>
      </w:pPr>
      <w:r>
        <w:rPr/>
        <w:t>“</w:t>
      </w:r>
      <w:r>
        <w:rPr>
          <w:rFonts w:ascii="Times New Roman;Times;serif" w:hAnsi="Times New Roman;Times;serif"/>
          <w:sz w:val="20"/>
        </w:rPr>
        <w:t>Merit delivered second quarter financial results that exceeded the high end of our expectations, driven primarily by 9% organic, constant currency revenue growth, excluding the impact of a strategic divestiture,” said Martha G. Aronson, Merit’s President and CEO. “We experienced improving revenue growth trends across our global business in Q2, as expected, with notable strength in sales to customers in the U.S. which increased 10% year-over-year, well ahead of our expectations. We also delivered improvement in both our non-GAAP operating margin and our non-GAAP earnings per share, which increased by 140 basis points and 18%, respectively, year-over-year.”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Ms. Aronson continued: “We have increased our 2026 revenue and non-GAAP earnings per share guidance to reflect the stronger-than-expected results over the first half of 2026 and remain confident in our team’s ability to execute, with attractive constant currency growth, improving profitability, and solid cash flow generation this year. Our team remains focused on delivering our Continued Growth Initiative financial targets for the three-year period ending December 31, 2026, and, in parallel, we are developing our longer-term strategic plan focused on identifying opportunities to better position the company for sustainable growth, enhanced profitability and value creation for our shareholders.”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Merit’s revenue by product category for the three and six-month periods ended June 30, 2026 and 2025 was as follows (unaudited; in thousands, except for percentages):</w:t>
      </w:r>
    </w:p>
    <w:tbl>
      <w:tblPr>
        <w:tblW w:w="9147" w:type="dxa"/>
        <w:jc w:val="center"/>
        <w:tblInd w:w="0" w:type="dxa"/>
        <w:tblLayout w:type="fixed"/>
        <w:tblCellMar>
          <w:top w:w="0" w:type="dxa"/>
          <w:left w:w="0" w:type="dxa"/>
          <w:bottom w:w="0" w:type="dxa"/>
          <w:right w:w="0" w:type="dxa"/>
        </w:tblCellMar>
      </w:tblPr>
      <w:tblGrid>
        <w:gridCol w:w="1876"/>
        <w:gridCol w:w="346"/>
        <w:gridCol w:w="211"/>
        <w:gridCol w:w="781"/>
        <w:gridCol w:w="346"/>
        <w:gridCol w:w="211"/>
        <w:gridCol w:w="781"/>
        <w:gridCol w:w="109"/>
        <w:gridCol w:w="468"/>
        <w:gridCol w:w="403"/>
        <w:gridCol w:w="109"/>
        <w:gridCol w:w="323"/>
        <w:gridCol w:w="1057"/>
        <w:gridCol w:w="109"/>
        <w:gridCol w:w="211"/>
        <w:gridCol w:w="781"/>
        <w:gridCol w:w="109"/>
        <w:gridCol w:w="466"/>
        <w:gridCol w:w="450"/>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191260" cy="175260"/>
                      <wp:effectExtent l="0" t="0" r="0" b="0"/>
                      <wp:wrapNone/>
                      <wp:docPr id="13" name="Frame11"/>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14"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15"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95935" cy="175260"/>
                      <wp:effectExtent l="0" t="0" r="0" b="0"/>
                      <wp:wrapNone/>
                      <wp:docPr id="16"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17"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18"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5935" cy="175260"/>
                      <wp:effectExtent l="0" t="0" r="0" b="0"/>
                      <wp:wrapNone/>
                      <wp:docPr id="19" name="Frame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20"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97180" cy="175260"/>
                      <wp:effectExtent l="0" t="0" r="0" b="0"/>
                      <wp:wrapNone/>
                      <wp:docPr id="21" name="Frame19"/>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55905" cy="175260"/>
                      <wp:effectExtent l="0" t="0" r="0" b="0"/>
                      <wp:wrapNone/>
                      <wp:docPr id="22" name="Frame2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23"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5105" cy="175260"/>
                      <wp:effectExtent l="0" t="0" r="0" b="0"/>
                      <wp:wrapNone/>
                      <wp:docPr id="24" name="Frame2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71195" cy="175260"/>
                      <wp:effectExtent l="0" t="0" r="0" b="0"/>
                      <wp:wrapNone/>
                      <wp:docPr id="25" name="Frame23"/>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26"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27"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5935" cy="175260"/>
                      <wp:effectExtent l="0" t="0" r="0" b="0"/>
                      <wp:wrapNone/>
                      <wp:docPr id="28" name="Frame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29"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95910" cy="175260"/>
                      <wp:effectExtent l="0" t="0" r="0" b="0"/>
                      <wp:wrapNone/>
                      <wp:docPr id="30" name="Frame2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85750" cy="175260"/>
                      <wp:effectExtent l="0" t="0" r="0" b="0"/>
                      <wp:wrapNone/>
                      <wp:docPr id="31" name="Frame29"/>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2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109" w:type="dxa"/>
            <w:tcBorders/>
            <w:vAlign w:val="center"/>
          </w:tcPr>
          <w:p>
            <w:pPr>
              <w:pStyle w:val="TableContents"/>
              <w:bidi w:val="0"/>
              <w:spacing w:before="0" w:after="0"/>
              <w:ind w:left="0" w:right="0" w:hanging="0"/>
              <w:jc w:val="center"/>
              <w:rPr/>
            </w:pPr>
            <w:r>
              <w:rPr/>
              <w:t>​</w:t>
            </w:r>
          </w:p>
        </w:tc>
        <w:tc>
          <w:tcPr>
            <w:tcW w:w="323" w:type="dxa"/>
            <w:tcBorders/>
            <w:vAlign w:val="center"/>
          </w:tcPr>
          <w:p>
            <w:pPr>
              <w:pStyle w:val="TableContents"/>
              <w:bidi w:val="0"/>
              <w:spacing w:before="0" w:after="0"/>
              <w:ind w:left="0" w:right="0" w:hanging="0"/>
              <w:jc w:val="center"/>
              <w:rPr/>
            </w:pPr>
            <w:r>
              <w:rPr/>
              <w:t>​</w:t>
            </w:r>
          </w:p>
        </w:tc>
        <w:tc>
          <w:tcPr>
            <w:tcW w:w="105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Constant Currency*</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468"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Impact of foreign</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450" w:type="dxa"/>
            <w:tcBorders/>
            <w:vAlign w:val="center"/>
          </w:tcPr>
          <w:p>
            <w:pPr>
              <w:pStyle w:val="TableContents"/>
              <w:bidi w:val="0"/>
              <w:spacing w:before="0" w:after="0"/>
              <w:ind w:left="0" w:right="0" w:hanging="0"/>
              <w:jc w:val="center"/>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0"/>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exchange</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Foundational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161,786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152,122</w:t>
            </w:r>
          </w:p>
        </w:tc>
        <w:tc>
          <w:tcPr>
            <w:tcW w:w="109"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159,446</w:t>
            </w:r>
          </w:p>
        </w:tc>
        <w:tc>
          <w:tcPr>
            <w:tcW w:w="109"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OEM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48,338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43,218</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48,309</w:t>
            </w:r>
          </w:p>
        </w:tc>
        <w:tc>
          <w:tcPr>
            <w:tcW w:w="109"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Procedural Solutions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31,741</w:t>
            </w:r>
          </w:p>
        </w:tc>
        <w:tc>
          <w:tcPr>
            <w:tcW w:w="109"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28,089</w:t>
            </w:r>
          </w:p>
        </w:tc>
        <w:tc>
          <w:tcPr>
            <w:tcW w:w="109"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Vascular Intervention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41,652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34,955</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41,243</w:t>
            </w:r>
          </w:p>
        </w:tc>
        <w:tc>
          <w:tcPr>
            <w:tcW w:w="109"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109" w:type="dxa"/>
            <w:tcBorders/>
            <w:vAlign w:val="center"/>
          </w:tcPr>
          <w:p>
            <w:pPr>
              <w:pStyle w:val="TableContents"/>
              <w:bidi w:val="0"/>
              <w:spacing w:before="0" w:after="0"/>
              <w:ind w:left="0" w:right="0" w:hanging="0"/>
              <w:jc w:val="righ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Foundational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280,961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262,382</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279,425</w:t>
            </w:r>
          </w:p>
        </w:tc>
        <w:tc>
          <w:tcPr>
            <w:tcW w:w="109"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pPr>
            <w:r>
              <w:rPr/>
              <w:t>​</w:t>
            </w:r>
          </w:p>
        </w:tc>
        <w:tc>
          <w:tcPr>
            <w:tcW w:w="450"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Therapeutic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Cardiac Therapies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22,930</w:t>
            </w:r>
          </w:p>
        </w:tc>
        <w:tc>
          <w:tcPr>
            <w:tcW w:w="109"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28,031</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Endoscopy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18,400</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23,684</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OEM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9,735</w:t>
            </w:r>
          </w:p>
        </w:tc>
        <w:tc>
          <w:tcPr>
            <w:tcW w:w="109"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12,777</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Oncology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23,943</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25,603</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Renal Therapies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12,817</w:t>
            </w:r>
          </w:p>
        </w:tc>
        <w:tc>
          <w:tcPr>
            <w:tcW w:w="109"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12,549</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Vascular Intervention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32,255</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33,787</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Therapeutic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137,882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120,080</w:t>
            </w:r>
          </w:p>
        </w:tc>
        <w:tc>
          <w:tcPr>
            <w:tcW w:w="109" w:type="dxa"/>
            <w:tcBorders/>
            <w:vAlign w:val="center"/>
          </w:tcPr>
          <w:p>
            <w:pPr>
              <w:pStyle w:val="TableContents"/>
              <w:bidi w:val="0"/>
              <w:spacing w:before="0" w:after="0"/>
              <w:ind w:left="0" w:right="0" w:hanging="0"/>
              <w:jc w:val="right"/>
              <w:rPr/>
            </w:pPr>
            <w:r>
              <w:rPr/>
              <w:t>​</w:t>
            </w:r>
          </w:p>
        </w:tc>
        <w:tc>
          <w:tcPr>
            <w:tcW w:w="4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136,431</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0"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418,843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382,462</w:t>
            </w:r>
          </w:p>
        </w:tc>
        <w:tc>
          <w:tcPr>
            <w:tcW w:w="109" w:type="dxa"/>
            <w:tcBorders/>
            <w:vAlign w:val="center"/>
          </w:tcPr>
          <w:p>
            <w:pPr>
              <w:pStyle w:val="TableContents"/>
              <w:bidi w:val="0"/>
              <w:spacing w:before="0" w:after="0"/>
              <w:ind w:left="0" w:right="0" w:hanging="0"/>
              <w:jc w:val="right"/>
              <w:rPr/>
            </w:pPr>
            <w:r>
              <w:rPr/>
              <w:t>​</w:t>
            </w:r>
          </w:p>
        </w:tc>
        <w:tc>
          <w:tcPr>
            <w:tcW w:w="4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415,856</w:t>
            </w:r>
          </w:p>
        </w:tc>
        <w:tc>
          <w:tcPr>
            <w:tcW w:w="109" w:type="dxa"/>
            <w:tcBorders/>
            <w:vAlign w:val="center"/>
          </w:tcPr>
          <w:p>
            <w:pPr>
              <w:pStyle w:val="TableContents"/>
              <w:bidi w:val="0"/>
              <w:spacing w:before="0" w:after="0"/>
              <w:ind w:left="0" w:right="0" w:hanging="0"/>
              <w:jc w:val="right"/>
              <w:rPr/>
            </w:pPr>
            <w:r>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both"/>
        <w:rPr>
          <w:shd w:fill="FFFF00" w:val="clear"/>
        </w:rPr>
      </w:pPr>
      <w:r>
        <w:rPr>
          <w:shd w:fill="FFFF00" w:val="clear"/>
        </w:rPr>
        <w:t>​</w:t>
      </w:r>
    </w:p>
    <w:tbl>
      <w:tblPr>
        <w:tblW w:w="9147" w:type="dxa"/>
        <w:jc w:val="left"/>
        <w:tblInd w:w="0" w:type="dxa"/>
        <w:tblLayout w:type="fixed"/>
        <w:tblCellMar>
          <w:top w:w="0" w:type="dxa"/>
          <w:left w:w="0" w:type="dxa"/>
          <w:bottom w:w="0" w:type="dxa"/>
          <w:right w:w="0" w:type="dxa"/>
        </w:tblCellMar>
      </w:tblPr>
      <w:tblGrid>
        <w:gridCol w:w="1876"/>
        <w:gridCol w:w="346"/>
        <w:gridCol w:w="211"/>
        <w:gridCol w:w="781"/>
        <w:gridCol w:w="346"/>
        <w:gridCol w:w="211"/>
        <w:gridCol w:w="781"/>
        <w:gridCol w:w="109"/>
        <w:gridCol w:w="444"/>
        <w:gridCol w:w="427"/>
        <w:gridCol w:w="109"/>
        <w:gridCol w:w="289"/>
        <w:gridCol w:w="1091"/>
        <w:gridCol w:w="109"/>
        <w:gridCol w:w="211"/>
        <w:gridCol w:w="781"/>
        <w:gridCol w:w="109"/>
        <w:gridCol w:w="466"/>
        <w:gridCol w:w="450"/>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91260" cy="175260"/>
                      <wp:effectExtent l="0" t="0" r="0" b="0"/>
                      <wp:wrapNone/>
                      <wp:docPr id="32" name="Frame30"/>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33"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34"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95935" cy="175260"/>
                      <wp:effectExtent l="0" t="0" r="0" b="0"/>
                      <wp:wrapNone/>
                      <wp:docPr id="35" name="Frame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36"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37"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38" name="Frame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39"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81940" cy="175260"/>
                      <wp:effectExtent l="0" t="0" r="0" b="0"/>
                      <wp:wrapNone/>
                      <wp:docPr id="40" name="Frame38"/>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71145" cy="175260"/>
                      <wp:effectExtent l="0" t="0" r="0" b="0"/>
                      <wp:wrapNone/>
                      <wp:docPr id="41" name="Frame39"/>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42"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83515" cy="175260"/>
                      <wp:effectExtent l="0" t="0" r="0" b="0"/>
                      <wp:wrapNone/>
                      <wp:docPr id="43" name="Frame4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785" cy="175260"/>
                      <wp:effectExtent l="0" t="0" r="0" b="0"/>
                      <wp:wrapNone/>
                      <wp:docPr id="44" name="Frame42"/>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45"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46"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47"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48"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95910" cy="175260"/>
                      <wp:effectExtent l="0" t="0" r="0" b="0"/>
                      <wp:wrapNone/>
                      <wp:docPr id="49" name="Frame4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85750" cy="175260"/>
                      <wp:effectExtent l="0" t="0" r="0" b="0"/>
                      <wp:wrapNone/>
                      <wp:docPr id="50" name="Frame48"/>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92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1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109" w:type="dxa"/>
            <w:tcBorders/>
            <w:vAlign w:val="center"/>
          </w:tcPr>
          <w:p>
            <w:pPr>
              <w:pStyle w:val="TableContents"/>
              <w:bidi w:val="0"/>
              <w:spacing w:before="0" w:after="1"/>
              <w:ind w:left="0" w:right="0" w:hanging="0"/>
              <w:jc w:val="center"/>
              <w:rPr/>
            </w:pPr>
            <w:r>
              <w:rPr/>
              <w:t>​</w:t>
            </w:r>
          </w:p>
        </w:tc>
        <w:tc>
          <w:tcPr>
            <w:tcW w:w="289" w:type="dxa"/>
            <w:tcBorders/>
            <w:vAlign w:val="center"/>
          </w:tcPr>
          <w:p>
            <w:pPr>
              <w:pStyle w:val="TableContents"/>
              <w:bidi w:val="0"/>
              <w:spacing w:before="0" w:after="1"/>
              <w:ind w:left="0" w:right="0" w:hanging="0"/>
              <w:jc w:val="center"/>
              <w:rPr/>
            </w:pPr>
            <w:r>
              <w:rPr/>
              <w:t>​</w:t>
            </w:r>
          </w:p>
        </w:tc>
        <w:tc>
          <w:tcPr>
            <w:tcW w:w="10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0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Constant Currency *</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444"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3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Impact of foreign</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466" w:type="dxa"/>
            <w:tcBorders/>
            <w:vAlign w:val="center"/>
          </w:tcPr>
          <w:p>
            <w:pPr>
              <w:pStyle w:val="TableContents"/>
              <w:bidi w:val="0"/>
              <w:spacing w:before="0" w:after="1"/>
              <w:ind w:left="0" w:right="0" w:hanging="0"/>
              <w:jc w:val="center"/>
              <w:rPr/>
            </w:pPr>
            <w:r>
              <w:rPr/>
              <w:t>​</w:t>
            </w:r>
          </w:p>
        </w:tc>
        <w:tc>
          <w:tcPr>
            <w:tcW w:w="450" w:type="dxa"/>
            <w:tcBorders/>
            <w:vAlign w:val="center"/>
          </w:tcPr>
          <w:p>
            <w:pPr>
              <w:pStyle w:val="TableContents"/>
              <w:bidi w:val="0"/>
              <w:spacing w:before="0" w:after="1"/>
              <w:ind w:left="0" w:right="0" w:hanging="0"/>
              <w:jc w:val="center"/>
              <w:rPr/>
            </w:pPr>
            <w:r>
              <w:rPr/>
              <w:t>​</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1"/>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exchange</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Foundational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450"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312,910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286,520</w:t>
            </w:r>
          </w:p>
        </w:tc>
        <w:tc>
          <w:tcPr>
            <w:tcW w:w="109"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305,390</w:t>
            </w:r>
          </w:p>
        </w:tc>
        <w:tc>
          <w:tcPr>
            <w:tcW w:w="109"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OEM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87,878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86,641</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87,614</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Procedural Solutions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54,437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60,310</w:t>
            </w:r>
          </w:p>
        </w:tc>
        <w:tc>
          <w:tcPr>
            <w:tcW w:w="109"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54,419</w:t>
            </w:r>
          </w:p>
        </w:tc>
        <w:tc>
          <w:tcPr>
            <w:tcW w:w="109"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Vascular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80,690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67,804</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79,218</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w:t>
            </w:r>
          </w:p>
        </w:tc>
        <w:tc>
          <w:tcPr>
            <w:tcW w:w="109" w:type="dxa"/>
            <w:tcBorders/>
            <w:vAlign w:val="center"/>
          </w:tcPr>
          <w:p>
            <w:pPr>
              <w:pStyle w:val="TableContents"/>
              <w:bidi w:val="0"/>
              <w:spacing w:before="0" w:after="1"/>
              <w:ind w:left="0" w:right="0" w:hanging="0"/>
              <w:jc w:val="right"/>
              <w:rPr/>
            </w:pPr>
            <w:r>
              <w:rPr/>
              <w:t>​</w:t>
            </w:r>
          </w:p>
        </w:tc>
        <w:tc>
          <w:tcPr>
            <w:tcW w:w="4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3,274</w:t>
            </w:r>
          </w:p>
        </w:tc>
        <w:tc>
          <w:tcPr>
            <w:tcW w:w="109"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4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Foundational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536,440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502,764</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529,915</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pPr>
            <w:r>
              <w:rPr/>
              <w:t>​</w:t>
            </w:r>
          </w:p>
        </w:tc>
        <w:tc>
          <w:tcPr>
            <w:tcW w:w="42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pPr>
            <w:r>
              <w:rPr/>
              <w:t>​</w:t>
            </w:r>
          </w:p>
        </w:tc>
        <w:tc>
          <w:tcPr>
            <w:tcW w:w="450" w:type="dxa"/>
            <w:tcBorders/>
            <w:vAlign w:val="center"/>
          </w:tcPr>
          <w:p>
            <w:pPr>
              <w:pStyle w:val="TableContents"/>
              <w:bidi w:val="0"/>
              <w:spacing w:before="0" w:after="1"/>
              <w:ind w:left="0" w:right="0" w:hanging="0"/>
              <w:jc w:val="left"/>
              <w:rPr/>
            </w:pPr>
            <w:r>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Therapeutic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450"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Cardiac Therapies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55,914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43,489</w:t>
            </w:r>
          </w:p>
        </w:tc>
        <w:tc>
          <w:tcPr>
            <w:tcW w:w="109"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54,220</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Endoscopy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45,339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34,951</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45,359</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4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OEM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20,877</w:t>
            </w:r>
          </w:p>
        </w:tc>
        <w:tc>
          <w:tcPr>
            <w:tcW w:w="109"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20,226</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Oncology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49,282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45,994</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48,756</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Renal Therapies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24,225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26,206</w:t>
            </w:r>
          </w:p>
        </w:tc>
        <w:tc>
          <w:tcPr>
            <w:tcW w:w="109"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23,833</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Vascular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69,244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63,532</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67,488</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Therapeutic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264,280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235,049</w:t>
            </w:r>
          </w:p>
        </w:tc>
        <w:tc>
          <w:tcPr>
            <w:tcW w:w="109" w:type="dxa"/>
            <w:tcBorders/>
            <w:vAlign w:val="center"/>
          </w:tcPr>
          <w:p>
            <w:pPr>
              <w:pStyle w:val="TableContents"/>
              <w:bidi w:val="0"/>
              <w:spacing w:before="0" w:after="1"/>
              <w:ind w:left="0" w:right="0" w:hanging="0"/>
              <w:jc w:val="right"/>
              <w:rPr/>
            </w:pPr>
            <w:r>
              <w:rPr/>
              <w:t>​</w:t>
            </w:r>
          </w:p>
        </w:tc>
        <w:tc>
          <w:tcPr>
            <w:tcW w:w="4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259,882</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50"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800,720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737,813</w:t>
            </w:r>
          </w:p>
        </w:tc>
        <w:tc>
          <w:tcPr>
            <w:tcW w:w="109" w:type="dxa"/>
            <w:tcBorders/>
            <w:vAlign w:val="center"/>
          </w:tcPr>
          <w:p>
            <w:pPr>
              <w:pStyle w:val="TableContents"/>
              <w:bidi w:val="0"/>
              <w:spacing w:before="0" w:after="1"/>
              <w:ind w:left="0" w:right="0" w:hanging="0"/>
              <w:jc w:val="right"/>
              <w:rPr/>
            </w:pPr>
            <w:r>
              <w:rPr/>
              <w:t>​</w:t>
            </w:r>
          </w:p>
        </w:tc>
        <w:tc>
          <w:tcPr>
            <w:tcW w:w="44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789,797</w:t>
            </w:r>
          </w:p>
        </w:tc>
        <w:tc>
          <w:tcPr>
            <w:tcW w:w="109" w:type="dxa"/>
            <w:tcBorders/>
            <w:vAlign w:val="center"/>
          </w:tcPr>
          <w:p>
            <w:pPr>
              <w:pStyle w:val="TableContents"/>
              <w:bidi w:val="0"/>
              <w:spacing w:before="0" w:after="1"/>
              <w:ind w:left="0" w:right="0" w:hanging="0"/>
              <w:jc w:val="right"/>
              <w:rPr/>
            </w:pPr>
            <w:r>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Financial Summary: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GAAP gross margin was 51.4%, compared to 48.2% for the second quarter of 2025. Non-GAAP gross margin* was 55.8%, compared to 53.2% for the second quarter of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GAAP operating margin was 14.4%, compared to 12.3% for the second quarter of 2025. Non-GAAP operating margin* was 22.6%, compared to 21.2% for the second quarter of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GAAP net income was $38.8 million, or $0.65 per share, compared to $32.6 million, or $0.54 per share, for the second quarter of 2025. Non-GAAP net income* was $71.3 million, or $1.19 per share, compared to $61.0 million, or $1.01 per share, for the second quarter of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Merit had cash and cash equivalents of $448.7 million and total debt obligations of $747.5 million, compared to cash and cash equivalents of $446.4 million and total debt obligations of $747.5 million</w:t>
      </w:r>
      <w:r>
        <w:rPr>
          <w:rFonts w:ascii="Times New Roman;Times;serif" w:hAnsi="Times New Roman;Times;serif"/>
          <w:color w:val="212529"/>
          <w:sz w:val="20"/>
          <w:shd w:fill="FFFFFF" w:val="clear"/>
        </w:rPr>
        <w:t xml:space="preserve"> </w:t>
      </w:r>
      <w:r>
        <w:rPr>
          <w:rFonts w:ascii="Times New Roman;Times;serif" w:hAnsi="Times New Roman;Times;serif"/>
          <w:sz w:val="20"/>
        </w:rPr>
        <w:t>as of December 31, 2025. Merit had available borrowing capacity of approximately $697 million as of June 30, 2026.</w:t>
      </w:r>
    </w:p>
    <w:p>
      <w:pPr>
        <w:pStyle w:val="TextBody"/>
        <w:bidi w:val="0"/>
        <w:spacing w:before="0" w:after="120"/>
        <w:ind w:left="0" w:right="0" w:hanging="0"/>
        <w:jc w:val="left"/>
        <w:rPr>
          <w:rFonts w:ascii="Times New Roman;Times;serif" w:hAnsi="Times New Roman;Times;serif"/>
          <w:b w:val="false"/>
          <w:sz w:val="20"/>
          <w:u w:val="single"/>
        </w:rPr>
      </w:pPr>
      <w:bookmarkStart w:id="42" w:name="_Hlk164436110"/>
      <w:bookmarkEnd w:id="42"/>
      <w:r>
        <w:rPr>
          <w:rFonts w:ascii="Times New Roman;Times;serif" w:hAnsi="Times New Roman;Times;serif"/>
          <w:b w:val="false"/>
          <w:sz w:val="20"/>
          <w:u w:val="single"/>
        </w:rPr>
        <w:t>Fiscal Year 2026 Financial Guidance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upon the information currently available to Merit’s management, for the twelve-month period ending December 31, 2026, absent the potential impact of trade policies and related actions implemented by the U.S. and other countries subsequent to today’s date, material acquisitions, non-recurring transactions or other factors beyond Merit’s current expectations, Merit anticipates the following financial results:</w:t>
      </w:r>
    </w:p>
    <w:p>
      <w:pPr>
        <w:pStyle w:val="TextBody"/>
        <w:bidi w:val="0"/>
        <w:spacing w:before="0" w:after="0"/>
        <w:ind w:left="0" w:right="0" w:hanging="0"/>
        <w:jc w:val="both"/>
        <w:rPr>
          <w:shd w:fill="FFFF00" w:val="clear"/>
        </w:rPr>
      </w:pPr>
      <w:r>
        <w:rPr>
          <w:shd w:fill="FFFF00" w:val="clear"/>
        </w:rPr>
        <w:t>​</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 xml:space="preserve">Revenue and Earnings Guidance* </w:t>
      </w:r>
    </w:p>
    <w:tbl>
      <w:tblPr>
        <w:tblW w:w="8736" w:type="dxa"/>
        <w:jc w:val="center"/>
        <w:tblInd w:w="0" w:type="dxa"/>
        <w:tblLayout w:type="fixed"/>
        <w:tblCellMar>
          <w:top w:w="0" w:type="dxa"/>
          <w:left w:w="0" w:type="dxa"/>
          <w:bottom w:w="0" w:type="dxa"/>
          <w:right w:w="0" w:type="dxa"/>
        </w:tblCellMar>
      </w:tblPr>
      <w:tblGrid>
        <w:gridCol w:w="2731"/>
        <w:gridCol w:w="346"/>
        <w:gridCol w:w="1771"/>
        <w:gridCol w:w="1036"/>
        <w:gridCol w:w="1771"/>
        <w:gridCol w:w="108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34185" cy="175260"/>
                      <wp:effectExtent l="0" t="0" r="0" b="0"/>
                      <wp:wrapNone/>
                      <wp:docPr id="51" name="Frame49"/>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52"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124585" cy="175260"/>
                      <wp:effectExtent l="0" t="0" r="0" b="0"/>
                      <wp:wrapNone/>
                      <wp:docPr id="53" name="Frame5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57860" cy="175260"/>
                      <wp:effectExtent l="0" t="0" r="0" b="0"/>
                      <wp:wrapNone/>
                      <wp:docPr id="54" name="Frame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24585" cy="175260"/>
                      <wp:effectExtent l="0" t="0" r="0" b="0"/>
                      <wp:wrapNone/>
                      <wp:docPr id="55" name="Frame5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87070" cy="175260"/>
                      <wp:effectExtent l="0" t="0" r="0" b="0"/>
                      <wp:wrapNone/>
                      <wp:docPr id="56" name="Frame54"/>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807"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Updated Guidance</w:t>
            </w:r>
          </w:p>
        </w:tc>
        <w:tc>
          <w:tcPr>
            <w:tcW w:w="2852" w:type="dxa"/>
            <w:gridSpan w:val="2"/>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Prior Guidance</w:t>
            </w:r>
            <w:r>
              <w:rPr>
                <w:rFonts w:ascii="Times New Roman;Times;serif" w:hAnsi="Times New Roman;Times;serif"/>
                <w:b/>
                <w:sz w:val="15"/>
              </w:rPr>
              <w:t>(2)</w:t>
            </w:r>
          </w:p>
        </w:tc>
      </w:tr>
      <w:tr>
        <w:trPr/>
        <w:tc>
          <w:tcPr>
            <w:tcW w:w="27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Ending</w:t>
            </w:r>
          </w:p>
        </w:tc>
        <w:tc>
          <w:tcPr>
            <w:tcW w:w="1036" w:type="dxa"/>
            <w:tcBorders>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 Change </w:t>
            </w:r>
          </w:p>
        </w:tc>
        <w:tc>
          <w:tcPr>
            <w:tcW w:w="1771"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Ending</w:t>
            </w:r>
          </w:p>
        </w:tc>
        <w:tc>
          <w:tcPr>
            <w:tcW w:w="1081" w:type="dxa"/>
            <w:tcBorders>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 Change </w:t>
            </w:r>
          </w:p>
        </w:tc>
      </w:tr>
      <w:tr>
        <w:trPr/>
        <w:tc>
          <w:tcPr>
            <w:tcW w:w="27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Financial Measure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7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2026</w:t>
            </w:r>
          </w:p>
        </w:tc>
        <w:tc>
          <w:tcPr>
            <w:tcW w:w="103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Y/Y</w:t>
            </w:r>
          </w:p>
        </w:tc>
        <w:tc>
          <w:tcPr>
            <w:tcW w:w="177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2026</w:t>
            </w:r>
          </w:p>
        </w:tc>
        <w:tc>
          <w:tcPr>
            <w:tcW w:w="1081"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Y/Y</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771"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$1.631 - $1.643 billion</w:t>
            </w:r>
          </w:p>
        </w:tc>
        <w:tc>
          <w:tcPr>
            <w:tcW w:w="1036" w:type="dxa"/>
            <w:tcBorders>
              <w:right w:val="single" w:sz="2" w:space="0" w:color="000000"/>
            </w:tcBorders>
            <w:shd w:fill="CCEEFF" w:val="clear"/>
            <w:tcMar>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 - 8%</w:t>
            </w:r>
          </w:p>
        </w:tc>
        <w:tc>
          <w:tcPr>
            <w:tcW w:w="1771"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$1.612 - $1.634 billion</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 - 8%</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3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771"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Non-GAAP Earnings Per Share</w:t>
            </w:r>
            <w:r>
              <w:rPr>
                <w:rFonts w:ascii="Times New Roman;Times;serif" w:hAnsi="Times New Roman;Times;serif"/>
                <w:b/>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771"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$4.25 - $4.35</w:t>
            </w:r>
          </w:p>
        </w:tc>
        <w:tc>
          <w:tcPr>
            <w:tcW w:w="1036" w:type="dxa"/>
            <w:tcBorders>
              <w:right w:val="single" w:sz="2" w:space="0" w:color="000000"/>
            </w:tcBorders>
            <w:shd w:fill="CCEEFF" w:val="clear"/>
            <w:tcMar>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11% - 14%</w:t>
            </w:r>
          </w:p>
        </w:tc>
        <w:tc>
          <w:tcPr>
            <w:tcW w:w="1771"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$4.01 - $4.15</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 - 8%</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0" w:after="80"/>
        <w:ind w:left="0" w:right="0" w:hanging="0"/>
        <w:jc w:val="both"/>
        <w:rPr>
          <w:rFonts w:ascii="Times New Roman;Times;serif" w:hAnsi="Times New Roman;Times;serif"/>
          <w:i/>
          <w:sz w:val="14"/>
          <w:shd w:fill="FFFFFF" w:val="clear"/>
        </w:rPr>
      </w:pPr>
      <w:r>
        <w:rPr>
          <w:rFonts w:ascii="Times New Roman;Times;serif" w:hAnsi="Times New Roman;Times;serif"/>
          <w:i/>
          <w:sz w:val="14"/>
          <w:shd w:fill="FFFFFF" w:val="clear"/>
        </w:rPr>
        <w:t>*Percentage figures approximated; dollar figures may not foot due to rounding.</w:t>
      </w:r>
    </w:p>
    <w:p>
      <w:pPr>
        <w:pStyle w:val="TextBody"/>
        <w:bidi w:val="0"/>
        <w:spacing w:before="0" w:after="80"/>
        <w:ind w:left="0" w:right="0" w:hanging="0"/>
        <w:jc w:val="both"/>
        <w:rPr>
          <w:rFonts w:ascii="Times New Roman;Times;serif" w:hAnsi="Times New Roman;Times;serif"/>
          <w:i/>
          <w:sz w:val="14"/>
          <w:shd w:fill="FFFFFF" w:val="clear"/>
        </w:rPr>
      </w:pPr>
      <w:r>
        <w:rPr>
          <w:rFonts w:ascii="Times New Roman;Times;serif" w:hAnsi="Times New Roman;Times;serif"/>
          <w:i/>
          <w:sz w:val="14"/>
          <w:shd w:fill="FFFFFF" w:val="clear"/>
        </w:rPr>
        <w:t>(1) Merit’s non-GAAP earnings per share reflect the dilutive impact of its 3.00% Convertible Senior Notes due 2029 (the “Convertible Notes”) calculated using the if-converted method of approximately $0.03 per share for the year ending December 31, 2026. Any offsetting impacts of the capped call associated with the Convertible Notes are not considered.</w:t>
      </w:r>
    </w:p>
    <w:p>
      <w:pPr>
        <w:pStyle w:val="TextBody"/>
        <w:bidi w:val="0"/>
        <w:spacing w:before="0" w:after="80"/>
        <w:ind w:left="0" w:right="0" w:hanging="0"/>
        <w:jc w:val="both"/>
        <w:rPr>
          <w:rFonts w:ascii="Times New Roman;Times;serif" w:hAnsi="Times New Roman;Times;serif"/>
          <w:i/>
          <w:sz w:val="14"/>
          <w:shd w:fill="FFFFFF" w:val="clear"/>
        </w:rPr>
      </w:pPr>
      <w:r>
        <w:rPr>
          <w:rFonts w:ascii="Times New Roman;Times;serif" w:hAnsi="Times New Roman;Times;serif"/>
          <w:i/>
          <w:sz w:val="14"/>
          <w:shd w:fill="FFFFFF" w:val="clear"/>
        </w:rPr>
        <w:t>(2) “Prior Guidance” reflects Merit’s full-year 2026 financial guidance, previously introduced on April 30, 2026.</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various items which could impact Merit’s future financial results, such as expenses attributable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reasonably predict the amount and impact of these items and Merit believes inclusion of the most comparable GAAP financial measure, and a reconciliation of these forward-looking non-GAAP measures to their GAAP counterparts could be confusing to investors or cause undue reliance.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Merit’s financial guidance for the year ending December 31, 2026 is subject to risks and uncertainties identified in this release and Merit’s filings with the SEC. This guidance is based on information and estimates available to Merit as of July 30, 2026. Should known or unknown risks or uncertainties materialize or should underlying assumptions prove inaccurate, actual results will likely vary, and could vary materially, from past results and those anticipated, estimated or projected.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val="false"/>
          <w:sz w:val="20"/>
          <w:u w:val="single"/>
        </w:rPr>
      </w:pPr>
      <w:r>
        <w:rPr>
          <w:rFonts w:ascii="Times New Roman;Times;serif" w:hAnsi="Times New Roman;Times;serif"/>
          <w:b w:val="false"/>
          <w:sz w:val="20"/>
          <w:u w:val="single"/>
        </w:rPr>
        <w:t>CONFERENCE CALL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previously announced, Merit will hold its investor conference call today, Thursday, July 30, 2026, at 4:30 p.m., Eastern Time, to discuss its results for the second quarter and provide an operational update. </w:t>
      </w:r>
      <w:r>
        <w:rPr>
          <w:rFonts w:ascii="Times New Roman;Times;serif" w:hAnsi="Times New Roman;Times;serif"/>
          <w:b/>
          <w:sz w:val="20"/>
        </w:rPr>
        <w:t xml:space="preserve">To access the conference call, please pre-register using the following </w:t>
      </w:r>
      <w:r>
        <w:rPr>
          <w:rFonts w:ascii="Times New Roman;Times;serif" w:hAnsi="Times New Roman;Times;serif"/>
          <w:b/>
          <w:color w:val="4472C4"/>
          <w:sz w:val="20"/>
        </w:rPr>
        <w:t>link</w:t>
      </w:r>
      <w:r>
        <w:rPr>
          <w:rFonts w:ascii="Times New Roman;Times;serif" w:hAnsi="Times New Roman;Times;serif"/>
          <w:sz w:val="20"/>
        </w:rPr>
        <w:t>.</w:t>
      </w:r>
      <w:r>
        <w:rPr>
          <w:rFonts w:ascii="Times New Roman;Times;serif" w:hAnsi="Times New Roman;Times;serif"/>
          <w:color w:val="4472C4"/>
          <w:sz w:val="20"/>
        </w:rPr>
        <w:t xml:space="preserve"> </w:t>
      </w:r>
      <w:r>
        <w:rPr>
          <w:rFonts w:ascii="Times New Roman;Times;serif" w:hAnsi="Times New Roman;Times;serif"/>
          <w:b/>
          <w:sz w:val="20"/>
        </w:rPr>
        <w:t xml:space="preserve">Registrants will receive confirmation with dial-in details. </w:t>
      </w:r>
      <w:r>
        <w:rPr>
          <w:rFonts w:ascii="Times New Roman;Times;serif" w:hAnsi="Times New Roman;Times;serif"/>
          <w:sz w:val="20"/>
        </w:rPr>
        <w:t>A live webcast and slide deck will also be available at merit.com.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240"/>
        <w:ind w:left="0" w:right="0" w:hanging="0"/>
        <w:jc w:val="both"/>
        <w:rPr/>
      </w:pPr>
      <w:r>
        <w:rPr/>
        <w:t>​</w:t>
      </w:r>
    </w:p>
    <w:tbl>
      <w:tblPr>
        <w:tblW w:w="7002" w:type="dxa"/>
        <w:jc w:val="center"/>
        <w:tblInd w:w="0" w:type="dxa"/>
        <w:tblLayout w:type="fixed"/>
        <w:tblCellMar>
          <w:top w:w="0" w:type="dxa"/>
          <w:left w:w="0" w:type="dxa"/>
          <w:bottom w:w="0" w:type="dxa"/>
          <w:right w:w="0" w:type="dxa"/>
        </w:tblCellMar>
      </w:tblPr>
      <w:tblGrid>
        <w:gridCol w:w="4321"/>
        <w:gridCol w:w="146"/>
        <w:gridCol w:w="211"/>
        <w:gridCol w:w="931"/>
        <w:gridCol w:w="146"/>
        <w:gridCol w:w="211"/>
        <w:gridCol w:w="103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743835" cy="175260"/>
                      <wp:effectExtent l="0" t="0" r="0" b="0"/>
                      <wp:wrapNone/>
                      <wp:docPr id="57" name="Frame55"/>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92710" cy="175260"/>
                      <wp:effectExtent l="0" t="0" r="0" b="0"/>
                      <wp:wrapNone/>
                      <wp:docPr id="58" name="Frame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59"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91185" cy="175260"/>
                      <wp:effectExtent l="0" t="0" r="0" b="0"/>
                      <wp:wrapNone/>
                      <wp:docPr id="60" name="Frame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2710" cy="175260"/>
                      <wp:effectExtent l="0" t="0" r="0" b="0"/>
                      <wp:wrapNone/>
                      <wp:docPr id="61" name="Frame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62"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8495" cy="175260"/>
                      <wp:effectExtent l="0" t="0" r="0" b="0"/>
                      <wp:wrapNone/>
                      <wp:docPr id="63" name="Frame61"/>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1"/>
              <w:ind w:left="0" w:right="0" w:hanging="0"/>
              <w:jc w:val="left"/>
              <w:rPr/>
            </w:pPr>
            <w:r>
              <w:rPr/>
              <w:t> </w:t>
            </w:r>
          </w:p>
        </w:tc>
        <w:tc>
          <w:tcPr>
            <w:tcW w:w="1142"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448,699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446,404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 net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224,237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203,710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374,112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333,705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33,496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1,112,238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1,040,154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436,749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428,401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612,026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537,654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539,772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506,837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83,776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71,859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78,227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2,863,620</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2,685,922</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70,737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60,551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172,185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159,486</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264,933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239,764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736,258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734,038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credits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72,942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76,658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47,087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1,183,816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1,101,619</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783,892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763,909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903,828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824,030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(7,916)</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1,679,804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1,584,303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2,863,620</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2,685,922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INCOME</w:t>
      </w:r>
    </w:p>
    <w:p>
      <w:pPr>
        <w:pStyle w:val="TextBody"/>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(Unaudited, in thousands except per share amounts)</w:t>
      </w:r>
    </w:p>
    <w:p>
      <w:pPr>
        <w:pStyle w:val="TextBody"/>
        <w:bidi w:val="0"/>
        <w:spacing w:before="0" w:after="240"/>
        <w:ind w:left="0" w:right="0" w:hanging="0"/>
        <w:jc w:val="both"/>
        <w:rPr/>
      </w:pPr>
      <w:r>
        <w:rPr/>
        <w:t>​</w:t>
      </w:r>
    </w:p>
    <w:tbl>
      <w:tblPr>
        <w:tblW w:w="9088" w:type="dxa"/>
        <w:jc w:val="center"/>
        <w:tblInd w:w="0" w:type="dxa"/>
        <w:tblLayout w:type="fixed"/>
        <w:tblCellMar>
          <w:top w:w="0" w:type="dxa"/>
          <w:left w:w="0" w:type="dxa"/>
          <w:bottom w:w="0" w:type="dxa"/>
          <w:right w:w="0" w:type="dxa"/>
        </w:tblCellMar>
      </w:tblPr>
      <w:tblGrid>
        <w:gridCol w:w="3646"/>
        <w:gridCol w:w="346"/>
        <w:gridCol w:w="211"/>
        <w:gridCol w:w="796"/>
        <w:gridCol w:w="346"/>
        <w:gridCol w:w="211"/>
        <w:gridCol w:w="781"/>
        <w:gridCol w:w="346"/>
        <w:gridCol w:w="211"/>
        <w:gridCol w:w="796"/>
        <w:gridCol w:w="346"/>
        <w:gridCol w:w="211"/>
        <w:gridCol w:w="84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315210" cy="175260"/>
                      <wp:effectExtent l="0" t="0" r="0" b="0"/>
                      <wp:wrapNone/>
                      <wp:docPr id="64" name="Frame62"/>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65"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66"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05460" cy="175260"/>
                      <wp:effectExtent l="0" t="0" r="0" b="0"/>
                      <wp:wrapNone/>
                      <wp:docPr id="67" name="Frame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68"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69"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70"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71"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72"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5460" cy="175260"/>
                      <wp:effectExtent l="0" t="0" r="0" b="0"/>
                      <wp:wrapNone/>
                      <wp:docPr id="73" name="Frame7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74"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75"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4670" cy="175260"/>
                      <wp:effectExtent l="0" t="0" r="0" b="0"/>
                      <wp:wrapNone/>
                      <wp:docPr id="76" name="Frame74"/>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  ​ ​ ​</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418,843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382,462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737,813</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203,677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400,757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381,306</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184,487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399,963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356,507</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247,439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220,583</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46,845</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expense (benefit)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295,403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268,594</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87,913</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7,551</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(13,343)</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(6,576)</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81,337</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18,609</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62,728</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59,019</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60,945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43" w:name="CASHFLOWS"/>
      <w:bookmarkEnd w:id="43"/>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290"/>
        <w:gridCol w:w="346"/>
        <w:gridCol w:w="211"/>
        <w:gridCol w:w="877"/>
        <w:gridCol w:w="346"/>
        <w:gridCol w:w="211"/>
        <w:gridCol w:w="924"/>
      </w:tblGrid>
      <w:tr>
        <w:trPr/>
        <w:tc>
          <w:tcPr>
            <w:tcW w:w="7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629150" cy="175260"/>
                      <wp:effectExtent l="0" t="0" r="0" b="0"/>
                      <wp:wrapNone/>
                      <wp:docPr id="77" name="Frame75"/>
                      <a:graphic xmlns:a="http://schemas.openxmlformats.org/drawingml/2006/main">
                        <a:graphicData uri="http://schemas.microsoft.com/office/word/2010/wordprocessingShape">
                          <wps:wsp>
                            <wps:cNvSpPr txBox="1"/>
                            <wps:spPr>
                              <a:xfrm>
                                <a:off x="0" y="0"/>
                                <a:ext cx="4629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78"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79"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56895" cy="175260"/>
                      <wp:effectExtent l="0" t="0" r="0" b="0"/>
                      <wp:wrapNone/>
                      <wp:docPr id="80" name="Frame78"/>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81"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82"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86740" cy="175260"/>
                      <wp:effectExtent l="0" t="0" r="0" b="0"/>
                      <wp:wrapNone/>
                      <wp:docPr id="83" name="Frame81"/>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6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2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2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088" w:type="dxa"/>
            <w:gridSpan w:val="2"/>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35" w:type="dxa"/>
            <w:gridSpan w:val="2"/>
            <w:tcBorders/>
            <w:shd w:fill="CCEEFF" w:val="clear"/>
            <w:vAlign w:val="center"/>
          </w:tcPr>
          <w:p>
            <w:pPr>
              <w:pStyle w:val="TableContents"/>
              <w:bidi w:val="0"/>
              <w:spacing w:before="0" w:after="1"/>
              <w:ind w:left="0" w:right="0" w:hanging="0"/>
              <w:jc w:val="center"/>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62,728</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  ​</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60,313</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 business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operating lease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5,766</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adjustments related to contingent consideration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19,951</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3,173</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 net of acquisitions and divestitures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(28,969)</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61,151</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123,879</w:t>
            </w:r>
          </w:p>
        </w:tc>
      </w:tr>
      <w:tr>
        <w:trPr/>
        <w:tc>
          <w:tcPr>
            <w:tcW w:w="72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  ​</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 for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(34,812)</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asset and business dispositions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notes receivable and other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(14,617)</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in acquisitions, net of cash acquired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(122,555)</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investing,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(172,986)</w:t>
            </w:r>
          </w:p>
        </w:tc>
      </w:tr>
      <w:tr>
        <w:trPr/>
        <w:tc>
          <w:tcPr>
            <w:tcW w:w="72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vAlign w:val="center"/>
          </w:tcPr>
          <w:p>
            <w:pPr>
              <w:pStyle w:val="TableContents"/>
              <w:bidi w:val="0"/>
              <w:spacing w:before="0" w:after="1"/>
              <w:ind w:left="0" w:right="0" w:hanging="0"/>
              <w:jc w:val="left"/>
              <w:rPr/>
            </w:pPr>
            <w:r>
              <w:rPr/>
              <w:t> </w:t>
            </w:r>
          </w:p>
        </w:tc>
        <w:tc>
          <w:tcPr>
            <w:tcW w:w="1088"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35" w:type="dxa"/>
            <w:gridSpan w:val="2"/>
            <w:tcBorders/>
            <w:vAlign w:val="center"/>
          </w:tcPr>
          <w:p>
            <w:pPr>
              <w:pStyle w:val="TableContents"/>
              <w:bidi w:val="0"/>
              <w:spacing w:before="0" w:after="1"/>
              <w:ind w:left="0" w:right="0" w:hanging="0"/>
              <w:jc w:val="center"/>
              <w:rPr/>
            </w:pPr>
            <w:r>
              <w:rPr/>
              <w:t>​</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20,014</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payments related to acquisitions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(2,567)</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taxes related to an exchange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(6,145)</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provided by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11,302</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rates on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2,953</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(34,852)</w:t>
            </w:r>
          </w:p>
        </w:tc>
      </w:tr>
      <w:tr>
        <w:trPr/>
        <w:tc>
          <w:tcPr>
            <w:tcW w:w="72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  ​</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448,549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378,767</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450,906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343,915</w:t>
            </w:r>
          </w:p>
        </w:tc>
      </w:tr>
      <w:tr>
        <w:trPr/>
        <w:tc>
          <w:tcPr>
            <w:tcW w:w="72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RECONCILIATION OF CASH, CASH EQUIVALENTS AND RESTRICTED CASH TO THE CONSOLIDATED BALANCE SHEETS: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448,699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341,819</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reported in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cash, cash equivalents and restricted cash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450,906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343,915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u w:val="single"/>
        </w:rPr>
      </w:pPr>
      <w:bookmarkStart w:id="44" w:name="_Hlk179819966"/>
      <w:bookmarkEnd w:id="44"/>
      <w:r>
        <w:rPr>
          <w:rFonts w:ascii="Times New Roman;Times;serif" w:hAnsi="Times New Roman;Times;serif"/>
          <w:sz w:val="20"/>
          <w:u w:val="single"/>
        </w:rPr>
        <w:t>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Merit’s financial statements are prepared in accordance with accounting principles generally accepted in the United States of America (“GAAP”), Merit’s management believes that the non-GAAP financial measures referenced in this release may provide investors with useful information regarding the underlying business trends and performance of Merit’s ongoing operations and can be useful for period-over-period comparisons of such operations. Non-GAAP financial measures used in this release include:</w:t>
      </w:r>
    </w:p>
    <w:tbl>
      <w:tblPr>
        <w:tblW w:w="2403" w:type="dxa"/>
        <w:jc w:val="left"/>
        <w:tblInd w:w="0" w:type="dxa"/>
        <w:tblLayout w:type="fixed"/>
        <w:tblCellMar>
          <w:top w:w="0" w:type="dxa"/>
          <w:left w:w="0" w:type="dxa"/>
          <w:bottom w:w="0" w:type="dxa"/>
          <w:right w:w="0" w:type="dxa"/>
        </w:tblCellMar>
      </w:tblPr>
      <w:tblGrid>
        <w:gridCol w:w="23"/>
        <w:gridCol w:w="17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revenue;</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revenue, organic;</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and margin;</w:t>
            </w:r>
          </w:p>
        </w:tc>
      </w:tr>
    </w:tbl>
    <w:tbl>
      <w:tblPr>
        <w:tblW w:w="3588" w:type="dxa"/>
        <w:jc w:val="left"/>
        <w:tblInd w:w="0" w:type="dxa"/>
        <w:tblLayout w:type="fixed"/>
        <w:tblCellMar>
          <w:top w:w="0" w:type="dxa"/>
          <w:left w:w="0" w:type="dxa"/>
          <w:bottom w:w="0" w:type="dxa"/>
          <w:right w:w="0" w:type="dxa"/>
        </w:tblCellMar>
      </w:tblPr>
      <w:tblGrid>
        <w:gridCol w:w="23"/>
        <w:gridCol w:w="170"/>
        <w:gridCol w:w="3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and margin;</w:t>
            </w:r>
          </w:p>
        </w:tc>
      </w:tr>
    </w:tbl>
    <w:tbl>
      <w:tblPr>
        <w:tblW w:w="2148" w:type="dxa"/>
        <w:jc w:val="left"/>
        <w:tblInd w:w="0" w:type="dxa"/>
        <w:tblLayout w:type="fixed"/>
        <w:tblCellMar>
          <w:top w:w="0" w:type="dxa"/>
          <w:left w:w="0" w:type="dxa"/>
          <w:bottom w:w="0" w:type="dxa"/>
          <w:right w:w="0" w:type="dxa"/>
        </w:tblCellMar>
      </w:tblPr>
      <w:tblGrid>
        <w:gridCol w:w="23"/>
        <w:gridCol w:w="17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income; </w:t>
            </w:r>
          </w:p>
        </w:tc>
      </w:tr>
    </w:tbl>
    <w:tbl>
      <w:tblPr>
        <w:tblW w:w="3003" w:type="dxa"/>
        <w:jc w:val="left"/>
        <w:tblInd w:w="0" w:type="dxa"/>
        <w:tblLayout w:type="fixed"/>
        <w:tblCellMar>
          <w:top w:w="0" w:type="dxa"/>
          <w:left w:w="0" w:type="dxa"/>
          <w:bottom w:w="0" w:type="dxa"/>
          <w:right w:w="0" w:type="dxa"/>
        </w:tblCellMar>
      </w:tblPr>
      <w:tblGrid>
        <w:gridCol w:w="23"/>
        <w:gridCol w:w="170"/>
        <w:gridCol w:w="2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earnings per share; and</w:t>
            </w:r>
          </w:p>
        </w:tc>
      </w:tr>
    </w:tbl>
    <w:tbl>
      <w:tblPr>
        <w:tblW w:w="1368" w:type="dxa"/>
        <w:jc w:val="left"/>
        <w:tblInd w:w="0" w:type="dxa"/>
        <w:tblLayout w:type="fixed"/>
        <w:tblCellMar>
          <w:top w:w="0" w:type="dxa"/>
          <w:left w:w="0" w:type="dxa"/>
          <w:bottom w:w="0" w:type="dxa"/>
          <w:right w:w="0" w:type="dxa"/>
        </w:tblCellMar>
      </w:tblPr>
      <w:tblGrid>
        <w:gridCol w:w="23"/>
        <w:gridCol w:w="170"/>
        <w:gridCol w:w="1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Merit’s management team uses these non-GAAP financial measures to evaluate Merit’s profitability and efficiency, to compare operating and financial results to prior periods, to evaluate changes in the results of its operating segments, and to measure and allocate financial resources internally. However, Merit’s management does not consider such non-GAAP measures in isolation or as an alternative to measures determined in accordance with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Readers should consider non-GAAP measures used in this release in addition to, not as a substitute for, financial reporting measures prepared in accordance with GAAP. These non-GAAP financial measures generally exclude some, but not all, items that may affect Merit’s net income. In addition, they are subject to inherent limitations as they reflect the exercise of judgment by management about which items are excluded. Merit believes it is useful to exclude such items in the calculation of non-GAAP gross profit and margin, non-GAAP operating income and margin, non-GAAP net income, and non-GAAP earnings per share (in each case, as further illustrated in the reconciliation tables below) because such amounts in any specific period may not directly correlate to the underlying performance of Merit’s business operations and can vary significantly between periods as a result of factors such as acquisition or other extraordinary transactions, non-cash expenses related to amortization or write-off of previously acquired tangible and intangible assets, certain employee termination benefits, expenses resulting from non-ordinary course litigation or administrative proceedings and resulting settlements, governmental proceedings or changes in tax or industry regulations, gains or losses on disposal of certain assets, equity method investment loss (income) from equity investees, and debt issuance costs. Merit may incur similar types of expenses in the future, and the non-GAAP financial information included in this release should not be viewed as a statement or indication that these types of expenses will not recur. Additionally, the non-GAAP financial measures used in this release may not be comparable with similarly titled measures of other companies. Merit urges readers to review the reconciliations of its non-GAAP financial measures to their most directly comparable GAAP financial measures included herein, and not to rely on any single financial measure to evaluate Merit’s business or results of operations.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Constant Currency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Merit’s constant currency revenue is prepared by converting the current-period reported revenue of subsidiaries whose functional currency is a currency other than the U.S. dollar at the applicable foreign exchange rates in effect during the comparable prior-year period and adjusting for the effects of hedging transactions on reported revenue, which are recorded in the U.S. dollar. The constant currency revenue adjustment of $(3.0) million and $(10.9) million to reported revenue for the three and six-month periods ended June 30, 2026 was calculated using the applicable average foreign exchange rates for the three and six-month periods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Constant Currency Revenue, Organic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Merit’s constant currency revenue, organic, is defined, with respect to prior fiscal year periods, as GAAP revenue less revenue from certain divestitures. For the three and six-month periods ended June 30, 2025, Merit’s constant currency revenue, organic, excludes revenues attributable to the DualCap® product line which Merit sold to Health Line International Corporation (“Health Line”) on February 17, 2026 (the “DualCap Divestiture”).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 respect to current fiscal year periods, constant currency revenue, organic, is defined as constant currency revenue (as defined above), less revenue from certain acquisitions and divestitures. For the three and six-month periods ended June 30, 2026, Merit’s constant currency revenue, organic, excludes revenues attributable to products acquired in connection with (i) Merit’s acquisition of View Point Medical, Inc. (“View Point”) in April 2026 (the “View Point Merger”), (ii) the assets acquired from Pentax of America, Inc. related to the </w:t>
      </w:r>
      <w:r>
        <w:rPr>
          <w:rFonts w:ascii="Times New Roman;Times;serif" w:hAnsi="Times New Roman;Times;serif"/>
          <w:sz w:val="20"/>
          <w:shd w:fill="FFFFFF" w:val="clear"/>
        </w:rPr>
        <w:t xml:space="preserve">C2 CryoBalloon™ device in November 2025 (the “C2 Acquisition”) and (iii) </w:t>
      </w:r>
      <w:r>
        <w:rPr>
          <w:rFonts w:ascii="Times New Roman;Times;serif" w:hAnsi="Times New Roman;Times;serif"/>
          <w:sz w:val="20"/>
        </w:rPr>
        <w:t>Merit’s acquisition of Biolife Delaware, L.L.C. (“Biolife”) in May 2025 (the “Biolife Merger”). For the six-month period ended June 30, 2026, Merit’s constant currency revenue, organic, excludes revenues attributable to the DualCap Divestiture.</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Non-GAAP Gross Profit and Margin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Non-GAAP gross profit is calculated by reducing GAAP cost of sales by amounts recorded for amortization of intangible assets and inventory mark-up related to acquisitions. Non-GAAP gross margin is calculated by dividing non-GAAP gross profit by reported net sales.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Non-GAAP</w:t>
      </w:r>
      <w:r>
        <w:rPr>
          <w:rFonts w:ascii="Times New Roman;Times;serif" w:hAnsi="Times New Roman;Times;serif"/>
          <w:i/>
          <w:caps w:val="false"/>
          <w:smallCaps w:val="false"/>
          <w:sz w:val="20"/>
        </w:rPr>
        <w:t xml:space="preserve"> </w:t>
      </w:r>
      <w:r>
        <w:rPr>
          <w:rFonts w:ascii="Times New Roman;Times;serif" w:hAnsi="Times New Roman;Times;serif"/>
          <w:i/>
          <w:sz w:val="20"/>
        </w:rPr>
        <w:t>Operating Income and Margin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operating income is calculated by adjusting GAAP operating income for certain items which are deemed by Merit’s management to be outside of core operations and vary in amount and frequency among periods, such as expenses related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as well as other items referenced in the tables below. Non-GAAP operating margin is calculated by dividing non-GAAP operating income by reported net sales.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Non-GAAP Net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net income is calculated by adjusting GAAP net income for the items set forth in the definition of non-GAAP operating income above, as well as for expenses related to Merit’s long-term debt, gains or losses on disposal of certain assets, equity method investment loss (income) from equity investees, and other items set forth in the tables below.</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Non-GAAP EPS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EPS is defined as non-GAAP net income divided by the diluted shares outstanding for the corresponding period.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Free Cash Flow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Free cash flow is defined as cash flow from operations calculated in accordance with GAAP, less capital expenditures for property and equipment calculated in accordance with GAAP, as set forth in the consolidated statement of cash flows.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Other Non-GAAP Financial Measure Reconciliations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supplemental financial data and corresponding reconciliations of non-GAAP financial measures to Merit’s corresponding financial measures prepared in accordance with GAAP, in each case, for the three and six-month periods ended June 30, 2026 and 2025. The non-GAAP income adjustments referenced in the following tables do not reflect non-performance-based stock compensation expense of $6.3 million and $5.0 million for the three-month periods ended June 30, 2026 and 2025, respectively, and $9.5 million and $9.3 million for the six-month periods ended June 30, 2026 and 2025, respectively.</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GAAP Net Income to Non-GAAP Net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(Unaudited, in thousands except per share amounts)</w:t>
      </w:r>
    </w:p>
    <w:p>
      <w:pPr>
        <w:pStyle w:val="TextBody"/>
        <w:bidi w:val="0"/>
        <w:spacing w:before="0" w:after="0"/>
        <w:ind w:left="0" w:right="0" w:hanging="0"/>
        <w:jc w:val="left"/>
        <w:rPr/>
      </w:pPr>
      <w:r>
        <w:rPr/>
        <w:t>​</w:t>
      </w:r>
    </w:p>
    <w:tbl>
      <w:tblPr>
        <w:tblW w:w="8787" w:type="dxa"/>
        <w:jc w:val="left"/>
        <w:tblInd w:w="0" w:type="dxa"/>
        <w:tblLayout w:type="fixed"/>
        <w:tblCellMar>
          <w:top w:w="0" w:type="dxa"/>
          <w:left w:w="0" w:type="dxa"/>
          <w:bottom w:w="0" w:type="dxa"/>
          <w:right w:w="0" w:type="dxa"/>
        </w:tblCellMar>
      </w:tblPr>
      <w:tblGrid>
        <w:gridCol w:w="3556"/>
        <w:gridCol w:w="346"/>
        <w:gridCol w:w="196"/>
        <w:gridCol w:w="601"/>
        <w:gridCol w:w="346"/>
        <w:gridCol w:w="196"/>
        <w:gridCol w:w="721"/>
        <w:gridCol w:w="346"/>
        <w:gridCol w:w="196"/>
        <w:gridCol w:w="601"/>
        <w:gridCol w:w="346"/>
        <w:gridCol w:w="290"/>
        <w:gridCol w:w="10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58060" cy="175260"/>
                      <wp:effectExtent l="0" t="0" r="0" b="0"/>
                      <wp:wrapNone/>
                      <wp:docPr id="84" name="Frame82"/>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85"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86" name="Frame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81635" cy="175260"/>
                      <wp:effectExtent l="0" t="0" r="0" b="0"/>
                      <wp:wrapNone/>
                      <wp:docPr id="87" name="Frame8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88"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89"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57835" cy="175260"/>
                      <wp:effectExtent l="0" t="0" r="0" b="0"/>
                      <wp:wrapNone/>
                      <wp:docPr id="90" name="Frame8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91"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92" name="Frame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81635" cy="175260"/>
                      <wp:effectExtent l="0" t="0" r="0" b="0"/>
                      <wp:wrapNone/>
                      <wp:docPr id="93" name="Frame9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94"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4150" cy="175260"/>
                      <wp:effectExtent l="0" t="0" r="0" b="0"/>
                      <wp:wrapNone/>
                      <wp:docPr id="95" name="Frame93"/>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64210" cy="175260"/>
                      <wp:effectExtent l="0" t="0" r="0" b="0"/>
                      <wp:wrapNone/>
                      <wp:docPr id="96" name="Frame94"/>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8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8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2026</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Pre-Tax</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Tax Impact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After-Tax</w:t>
            </w:r>
          </w:p>
        </w:tc>
        <w:tc>
          <w:tcPr>
            <w:tcW w:w="346" w:type="dxa"/>
            <w:tcBorders/>
            <w:vAlign w:val="center"/>
          </w:tcPr>
          <w:p>
            <w:pPr>
              <w:pStyle w:val="TableContents"/>
              <w:bidi w:val="0"/>
              <w:spacing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 Share Impact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38,803</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0.65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Non-GAAP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0.24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1,907</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0.03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0.10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1,649</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0.03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2,374</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0.04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0.02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costs (e)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0.08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non-operating loss (f)</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71,279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60,006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787" w:type="dxa"/>
        <w:jc w:val="left"/>
        <w:tblInd w:w="0" w:type="dxa"/>
        <w:tblLayout w:type="fixed"/>
        <w:tblCellMar>
          <w:top w:w="0" w:type="dxa"/>
          <w:left w:w="0" w:type="dxa"/>
          <w:bottom w:w="0" w:type="dxa"/>
          <w:right w:w="0" w:type="dxa"/>
        </w:tblCellMar>
      </w:tblPr>
      <w:tblGrid>
        <w:gridCol w:w="3556"/>
        <w:gridCol w:w="346"/>
        <w:gridCol w:w="196"/>
        <w:gridCol w:w="601"/>
        <w:gridCol w:w="346"/>
        <w:gridCol w:w="196"/>
        <w:gridCol w:w="721"/>
        <w:gridCol w:w="346"/>
        <w:gridCol w:w="196"/>
        <w:gridCol w:w="601"/>
        <w:gridCol w:w="346"/>
        <w:gridCol w:w="290"/>
        <w:gridCol w:w="10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58060" cy="175260"/>
                      <wp:effectExtent l="0" t="0" r="0" b="0"/>
                      <wp:wrapNone/>
                      <wp:docPr id="97" name="Frame95"/>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98"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99" name="Frame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81635" cy="175260"/>
                      <wp:effectExtent l="0" t="0" r="0" b="0"/>
                      <wp:wrapNone/>
                      <wp:docPr id="100" name="Frame9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01"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02" name="Frame1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57835" cy="175260"/>
                      <wp:effectExtent l="0" t="0" r="0" b="0"/>
                      <wp:wrapNone/>
                      <wp:docPr id="103" name="Frame10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04"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05"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81635" cy="175260"/>
                      <wp:effectExtent l="0" t="0" r="0" b="0"/>
                      <wp:wrapNone/>
                      <wp:docPr id="106" name="Frame10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07"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84150" cy="175260"/>
                      <wp:effectExtent l="0" t="0" r="0" b="0"/>
                      <wp:wrapNone/>
                      <wp:docPr id="108" name="Frame10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64210" cy="175260"/>
                      <wp:effectExtent l="0" t="0" r="0" b="0"/>
                      <wp:wrapNone/>
                      <wp:docPr id="109" name="Frame107"/>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8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8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2025</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Pre-Tax</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Tax Impact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After-Tax</w:t>
            </w:r>
          </w:p>
        </w:tc>
        <w:tc>
          <w:tcPr>
            <w:tcW w:w="346" w:type="dxa"/>
            <w:tcBorders/>
            <w:vAlign w:val="center"/>
          </w:tcPr>
          <w:p>
            <w:pPr>
              <w:pStyle w:val="TableContents"/>
              <w:bidi w:val="0"/>
              <w:spacing w:before="0" w:after="0"/>
              <w:ind w:left="0" w:right="0" w:hanging="0"/>
              <w:jc w:val="left"/>
              <w:rPr/>
            </w:pPr>
            <w:r>
              <w:rPr/>
              <w:t>​</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 Share Impact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GAAP net income</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43,379</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(10,798)</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32,581</w:t>
            </w:r>
          </w:p>
        </w:tc>
        <w:tc>
          <w:tcPr>
            <w:tcW w:w="346" w:type="dxa"/>
            <w:tcBorders/>
            <w:shd w:fill="CCEEFF" w:val="clear"/>
            <w:vAlign w:val="center"/>
          </w:tcPr>
          <w:p>
            <w:pPr>
              <w:pStyle w:val="TableContents"/>
              <w:bidi w:val="0"/>
              <w:spacing w:before="0" w:after="0"/>
              <w:ind w:left="0" w:right="0" w:hanging="0"/>
              <w:jc w:val="left"/>
              <w:rPr/>
            </w:pPr>
            <w:r>
              <w:rPr/>
              <w:t>  ​ ​ ​</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0.54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Non-GAAP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18,980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14,495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0.24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mark-up related to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2,543</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1,942</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0.03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5,879</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5,534</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0.09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2,587</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0.03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2,140</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2,126</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0.04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1,634</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0.02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costs (e)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0.02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disposal of business unit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60,991</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60,611</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 Certain per-share impacts may not sum to totals due to rounding.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GAAP Net Income to Non-GAAP Net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(Unaudited, in thousands except per share amounts)</w:t>
      </w:r>
    </w:p>
    <w:p>
      <w:pPr>
        <w:pStyle w:val="TextBody"/>
        <w:bidi w:val="0"/>
        <w:spacing w:before="0" w:after="0"/>
        <w:ind w:left="0" w:right="0" w:hanging="0"/>
        <w:jc w:val="left"/>
        <w:rPr/>
      </w:pPr>
      <w:r>
        <w:rPr/>
        <w:t>​</w:t>
      </w:r>
    </w:p>
    <w:tbl>
      <w:tblPr>
        <w:tblW w:w="9027" w:type="dxa"/>
        <w:jc w:val="left"/>
        <w:tblInd w:w="0" w:type="dxa"/>
        <w:tblLayout w:type="fixed"/>
        <w:tblCellMar>
          <w:top w:w="0" w:type="dxa"/>
          <w:left w:w="0" w:type="dxa"/>
          <w:bottom w:w="0" w:type="dxa"/>
          <w:right w:w="0" w:type="dxa"/>
        </w:tblCellMar>
      </w:tblPr>
      <w:tblGrid>
        <w:gridCol w:w="3556"/>
        <w:gridCol w:w="346"/>
        <w:gridCol w:w="196"/>
        <w:gridCol w:w="721"/>
        <w:gridCol w:w="346"/>
        <w:gridCol w:w="196"/>
        <w:gridCol w:w="721"/>
        <w:gridCol w:w="346"/>
        <w:gridCol w:w="196"/>
        <w:gridCol w:w="721"/>
        <w:gridCol w:w="346"/>
        <w:gridCol w:w="290"/>
        <w:gridCol w:w="10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58060" cy="175260"/>
                      <wp:effectExtent l="0" t="0" r="0" b="0"/>
                      <wp:wrapNone/>
                      <wp:docPr id="110" name="Frame108"/>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11"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12"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57835" cy="175260"/>
                      <wp:effectExtent l="0" t="0" r="0" b="0"/>
                      <wp:wrapNone/>
                      <wp:docPr id="113" name="Frame11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14"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15"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57835" cy="175260"/>
                      <wp:effectExtent l="0" t="0" r="0" b="0"/>
                      <wp:wrapNone/>
                      <wp:docPr id="116" name="Frame11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17"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18" name="Frame1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57835" cy="175260"/>
                      <wp:effectExtent l="0" t="0" r="0" b="0"/>
                      <wp:wrapNone/>
                      <wp:docPr id="119" name="Frame11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20"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4150" cy="175260"/>
                      <wp:effectExtent l="0" t="0" r="0" b="0"/>
                      <wp:wrapNone/>
                      <wp:docPr id="121" name="Frame11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64210" cy="175260"/>
                      <wp:effectExtent l="0" t="0" r="0" b="0"/>
                      <wp:wrapNone/>
                      <wp:docPr id="122" name="Frame12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Six Months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2026</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Pre-Tax</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Tax Impact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After-Tax</w:t>
            </w:r>
          </w:p>
        </w:tc>
        <w:tc>
          <w:tcPr>
            <w:tcW w:w="346" w:type="dxa"/>
            <w:tcBorders/>
            <w:vAlign w:val="center"/>
          </w:tcPr>
          <w:p>
            <w:pPr>
              <w:pStyle w:val="TableContents"/>
              <w:bidi w:val="0"/>
              <w:spacing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 Share Impact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104,860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79,798</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Non-GAAP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28,223</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3,782</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11,367</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0.19</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1,649</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1,582</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costs (e)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disposal of business unit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(10,982)</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(0.18)</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non-operating loss (f)</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Non-GAAP net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166,404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127,942</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shares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60,010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67" w:type="dxa"/>
        <w:jc w:val="left"/>
        <w:tblInd w:w="0" w:type="dxa"/>
        <w:tblLayout w:type="fixed"/>
        <w:tblCellMar>
          <w:top w:w="0" w:type="dxa"/>
          <w:left w:w="0" w:type="dxa"/>
          <w:bottom w:w="0" w:type="dxa"/>
          <w:right w:w="0" w:type="dxa"/>
        </w:tblCellMar>
      </w:tblPr>
      <w:tblGrid>
        <w:gridCol w:w="3556"/>
        <w:gridCol w:w="346"/>
        <w:gridCol w:w="196"/>
        <w:gridCol w:w="691"/>
        <w:gridCol w:w="346"/>
        <w:gridCol w:w="196"/>
        <w:gridCol w:w="721"/>
        <w:gridCol w:w="346"/>
        <w:gridCol w:w="196"/>
        <w:gridCol w:w="691"/>
        <w:gridCol w:w="346"/>
        <w:gridCol w:w="290"/>
        <w:gridCol w:w="10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58060" cy="175260"/>
                      <wp:effectExtent l="0" t="0" r="0" b="0"/>
                      <wp:wrapNone/>
                      <wp:docPr id="123" name="Frame12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24"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4460" cy="175260"/>
                      <wp:effectExtent l="0" t="0" r="0" b="0"/>
                      <wp:wrapNone/>
                      <wp:docPr id="125"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8785" cy="175260"/>
                      <wp:effectExtent l="0" t="0" r="0" b="0"/>
                      <wp:wrapNone/>
                      <wp:docPr id="126"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27"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24460" cy="175260"/>
                      <wp:effectExtent l="0" t="0" r="0" b="0"/>
                      <wp:wrapNone/>
                      <wp:docPr id="128"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57835" cy="175260"/>
                      <wp:effectExtent l="0" t="0" r="0" b="0"/>
                      <wp:wrapNone/>
                      <wp:docPr id="129" name="Frame12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30"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31" name="Frame1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38785" cy="175260"/>
                      <wp:effectExtent l="0" t="0" r="0" b="0"/>
                      <wp:wrapNone/>
                      <wp:docPr id="132" name="Frame1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33"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4150" cy="175260"/>
                      <wp:effectExtent l="0" t="0" r="0" b="0"/>
                      <wp:wrapNone/>
                      <wp:docPr id="134" name="Frame132"/>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4210" cy="175260"/>
                      <wp:effectExtent l="0" t="0" r="0" b="0"/>
                      <wp:wrapNone/>
                      <wp:docPr id="135" name="Frame13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Six Months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2025</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Pre-Tax</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Tax Impact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After-Tax</w:t>
            </w:r>
          </w:p>
        </w:tc>
        <w:tc>
          <w:tcPr>
            <w:tcW w:w="346" w:type="dxa"/>
            <w:tcBorders/>
            <w:vAlign w:val="center"/>
          </w:tcPr>
          <w:p>
            <w:pPr>
              <w:pStyle w:val="TableContents"/>
              <w:bidi w:val="0"/>
              <w:spacing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 Share Impact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62,728</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Non-GAAP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36,586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27,941</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0.46</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mark-up related to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4,937</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3,770</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0.06</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10,653</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9,722</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0.16</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2,587</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2,156</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3,228</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costs (e)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2,828</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disposal of business unit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113,925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60,945</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 Certain per-share impacts may not sum to totals due to rounding.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Reported Operating Income to Non-GAAP Operating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(Unaudited, in thousands except percentages)</w:t>
      </w:r>
    </w:p>
    <w:p>
      <w:pPr>
        <w:pStyle w:val="TextBody"/>
        <w:bidi w:val="0"/>
        <w:spacing w:before="0" w:after="240"/>
        <w:ind w:left="0" w:right="0" w:hanging="0"/>
        <w:jc w:val="both"/>
        <w:rPr/>
      </w:pPr>
      <w:r>
        <w:rPr/>
        <w:t>​</w:t>
      </w:r>
    </w:p>
    <w:tbl>
      <w:tblPr>
        <w:tblW w:w="10525" w:type="dxa"/>
        <w:jc w:val="center"/>
        <w:tblInd w:w="0" w:type="dxa"/>
        <w:tblLayout w:type="fixed"/>
        <w:tblCellMar>
          <w:top w:w="0" w:type="dxa"/>
          <w:left w:w="0" w:type="dxa"/>
          <w:bottom w:w="0" w:type="dxa"/>
          <w:right w:w="0" w:type="dxa"/>
        </w:tblCellMar>
      </w:tblPr>
      <w:tblGrid>
        <w:gridCol w:w="1456"/>
        <w:gridCol w:w="346"/>
        <w:gridCol w:w="196"/>
        <w:gridCol w:w="691"/>
        <w:gridCol w:w="346"/>
        <w:gridCol w:w="421"/>
        <w:gridCol w:w="241"/>
        <w:gridCol w:w="346"/>
        <w:gridCol w:w="196"/>
        <w:gridCol w:w="691"/>
        <w:gridCol w:w="346"/>
        <w:gridCol w:w="421"/>
        <w:gridCol w:w="241"/>
        <w:gridCol w:w="346"/>
        <w:gridCol w:w="196"/>
        <w:gridCol w:w="691"/>
        <w:gridCol w:w="346"/>
        <w:gridCol w:w="421"/>
        <w:gridCol w:w="241"/>
        <w:gridCol w:w="346"/>
        <w:gridCol w:w="196"/>
        <w:gridCol w:w="691"/>
        <w:gridCol w:w="346"/>
        <w:gridCol w:w="421"/>
        <w:gridCol w:w="34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24560" cy="175260"/>
                      <wp:effectExtent l="0" t="0" r="0" b="0"/>
                      <wp:wrapNone/>
                      <wp:docPr id="136" name="Frame13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37"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4460" cy="175260"/>
                      <wp:effectExtent l="0" t="0" r="0" b="0"/>
                      <wp:wrapNone/>
                      <wp:docPr id="138" name="Frame1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8785" cy="175260"/>
                      <wp:effectExtent l="0" t="0" r="0" b="0"/>
                      <wp:wrapNone/>
                      <wp:docPr id="139" name="Frame1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40"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67335" cy="175260"/>
                      <wp:effectExtent l="0" t="0" r="0" b="0"/>
                      <wp:wrapNone/>
                      <wp:docPr id="141" name="Frame13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3035" cy="175260"/>
                      <wp:effectExtent l="0" t="0" r="0" b="0"/>
                      <wp:wrapNone/>
                      <wp:docPr id="142" name="Frame14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43"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24460" cy="175260"/>
                      <wp:effectExtent l="0" t="0" r="0" b="0"/>
                      <wp:wrapNone/>
                      <wp:docPr id="144" name="Frame1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38785" cy="175260"/>
                      <wp:effectExtent l="0" t="0" r="0" b="0"/>
                      <wp:wrapNone/>
                      <wp:docPr id="145" name="Frame1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46"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7335" cy="175260"/>
                      <wp:effectExtent l="0" t="0" r="0" b="0"/>
                      <wp:wrapNone/>
                      <wp:docPr id="147" name="Frame14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53035" cy="175260"/>
                      <wp:effectExtent l="0" t="0" r="0" b="0"/>
                      <wp:wrapNone/>
                      <wp:docPr id="148" name="Frame14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49"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50" name="Frame1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38785" cy="175260"/>
                      <wp:effectExtent l="0" t="0" r="0" b="0"/>
                      <wp:wrapNone/>
                      <wp:docPr id="151" name="Frame1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52"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67335" cy="175260"/>
                      <wp:effectExtent l="0" t="0" r="0" b="0"/>
                      <wp:wrapNone/>
                      <wp:docPr id="153" name="Frame15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3035" cy="175260"/>
                      <wp:effectExtent l="0" t="0" r="0" b="0"/>
                      <wp:wrapNone/>
                      <wp:docPr id="154" name="Frame15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55"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56"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57" name="Frame1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58"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67335" cy="175260"/>
                      <wp:effectExtent l="0" t="0" r="0" b="0"/>
                      <wp:wrapNone/>
                      <wp:docPr id="159" name="Frame15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60"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9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89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89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Six Months Ended </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30, 2026</w:t>
            </w:r>
          </w:p>
        </w:tc>
        <w:tc>
          <w:tcPr>
            <w:tcW w:w="346" w:type="dxa"/>
            <w:tcBorders/>
            <w:vAlign w:val="center"/>
          </w:tcPr>
          <w:p>
            <w:pPr>
              <w:pStyle w:val="TableContents"/>
              <w:bidi w:val="0"/>
              <w:spacing w:before="0" w:after="1"/>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30, 2025</w:t>
            </w:r>
          </w:p>
        </w:tc>
        <w:tc>
          <w:tcPr>
            <w:tcW w:w="346" w:type="dxa"/>
            <w:tcBorders/>
            <w:vAlign w:val="center"/>
          </w:tcPr>
          <w:p>
            <w:pPr>
              <w:pStyle w:val="TableContents"/>
              <w:bidi w:val="0"/>
              <w:spacing w:before="0" w:after="1"/>
              <w:ind w:left="0" w:right="0" w:hanging="0"/>
              <w:jc w:val="left"/>
              <w:rPr/>
            </w:pPr>
            <w:r>
              <w:rPr/>
              <w:t>​</w:t>
            </w:r>
          </w:p>
        </w:tc>
        <w:tc>
          <w:tcPr>
            <w:tcW w:w="1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30, 2026</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30, 2025</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Amounts</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Sales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Amounts</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Sales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Amounts</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Sales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Amounts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Sales</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Sales as Reported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418,843</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382,462</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800,720</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737,813</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GAAP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60,403</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46,880</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104,560</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87,913</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18,718</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18,980</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36,945</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36,586</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mark-up related to acquisitions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2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Contingent consideration expense (benefit)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2,496</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2,543</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4,950</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4,937</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6,621</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5,879</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12,429</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10,653</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2,159</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2,587</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2,159</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2,587</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2,568</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2,140</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6,811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2,156</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1,452</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1,634</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2,070</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w:t>
            </w:r>
          </w:p>
        </w:tc>
        <w:tc>
          <w:tcPr>
            <w:tcW w:w="2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3,228</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14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Non-GAAP Operating Income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94,562</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22.6 </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80,903</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21.2 </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169,890</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21.2 </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149,322</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20.2 </w:t>
            </w:r>
          </w:p>
        </w:tc>
        <w:tc>
          <w:tcPr>
            <w:tcW w:w="3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 Certain percentages may not sum to totals due to rounding.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8380" w:type="dxa"/>
        <w:jc w:val="left"/>
        <w:tblInd w:w="0" w:type="dxa"/>
        <w:tblLayout w:type="fixed"/>
        <w:tblCellMar>
          <w:top w:w="0" w:type="dxa"/>
          <w:left w:w="0" w:type="dxa"/>
          <w:bottom w:w="0" w:type="dxa"/>
          <w:right w:w="0" w:type="dxa"/>
        </w:tblCellMar>
      </w:tblPr>
      <w:tblGrid>
        <w:gridCol w:w="215"/>
        <w:gridCol w:w="8165"/>
      </w:tblGrid>
      <w:tr>
        <w:trPr/>
        <w:tc>
          <w:tcPr>
            <w:tcW w:w="21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performance-based share-based compensation expense, including stock-settled and cash-settled awards.</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employee termination benefits associated with activities related to corporate restructuring initiatives and costs to terminate certain distribution contracts from the Biolife Merger.</w:t>
            </w:r>
          </w:p>
        </w:tc>
      </w:tr>
    </w:tbl>
    <w:tbl>
      <w:tblPr>
        <w:tblW w:w="6940" w:type="dxa"/>
        <w:jc w:val="left"/>
        <w:tblInd w:w="0" w:type="dxa"/>
        <w:tblLayout w:type="fixed"/>
        <w:tblCellMar>
          <w:top w:w="0" w:type="dxa"/>
          <w:left w:w="0" w:type="dxa"/>
          <w:bottom w:w="0" w:type="dxa"/>
          <w:right w:w="0" w:type="dxa"/>
        </w:tblCellMar>
      </w:tblPr>
      <w:tblGrid>
        <w:gridCol w:w="215"/>
        <w:gridCol w:w="6725"/>
      </w:tblGrid>
      <w:tr>
        <w:trPr/>
        <w:tc>
          <w:tcPr>
            <w:tcW w:w="21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incremental expenses incurred to comply with the E.U. Medical Device Regulation.</w:t>
            </w:r>
          </w:p>
        </w:tc>
      </w:tr>
    </w:tbl>
    <w:tbl>
      <w:tblPr>
        <w:tblW w:w="7840" w:type="dxa"/>
        <w:jc w:val="left"/>
        <w:tblInd w:w="0" w:type="dxa"/>
        <w:tblLayout w:type="fixed"/>
        <w:tblCellMar>
          <w:top w:w="0" w:type="dxa"/>
          <w:left w:w="0" w:type="dxa"/>
          <w:bottom w:w="0" w:type="dxa"/>
          <w:right w:w="0" w:type="dxa"/>
        </w:tblCellMar>
      </w:tblPr>
      <w:tblGrid>
        <w:gridCol w:w="230"/>
        <w:gridCol w:w="7610"/>
      </w:tblGrid>
      <w:tr>
        <w:trPr/>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costs to comply with Merit’s corporate integrity agreement with the U.S. Department of Justice.</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100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costs associated with the Convertible Notes including the amortization of debt issuance costs and a one-time charge for additional interest incurred pursuant to Merit's obligation to remove restrictive legends.</w:t>
            </w:r>
          </w:p>
        </w:tc>
      </w:tr>
    </w:tbl>
    <w:tbl>
      <w:tblPr>
        <w:tblW w:w="4615" w:type="dxa"/>
        <w:jc w:val="left"/>
        <w:tblInd w:w="0" w:type="dxa"/>
        <w:tblLayout w:type="fixed"/>
        <w:tblCellMar>
          <w:top w:w="0" w:type="dxa"/>
          <w:left w:w="0" w:type="dxa"/>
          <w:bottom w:w="0" w:type="dxa"/>
          <w:right w:w="0" w:type="dxa"/>
        </w:tblCellMar>
      </w:tblPr>
      <w:tblGrid>
        <w:gridCol w:w="200"/>
        <w:gridCol w:w="4415"/>
      </w:tblGrid>
      <w:tr>
        <w:trPr/>
        <w:tc>
          <w:tcPr>
            <w:tcW w:w="20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4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equity method investment loss from equity investees.</w:t>
            </w:r>
          </w:p>
        </w:tc>
      </w:tr>
    </w:tbl>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Reconciliation of Reported Revenue to Constant Currency Revenue (Non-GAAP), and Constant Currency Revenue, Organic (Non-GAAP)</w:t>
      </w:r>
    </w:p>
    <w:p>
      <w:pPr>
        <w:pStyle w:val="TextBody"/>
        <w:bidi w:val="0"/>
        <w:spacing w:before="0" w:after="0"/>
        <w:ind w:left="0" w:right="0" w:hanging="0"/>
        <w:jc w:val="left"/>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(Unaudited, in thousands except percentages)</w:t>
      </w:r>
    </w:p>
    <w:p>
      <w:pPr>
        <w:pStyle w:val="TextBody"/>
        <w:bidi w:val="0"/>
        <w:spacing w:before="0" w:after="240"/>
        <w:ind w:left="0" w:right="0" w:hanging="0"/>
        <w:jc w:val="both"/>
        <w:rPr/>
      </w:pPr>
      <w:r>
        <w:rPr/>
        <w:t>​</w:t>
      </w:r>
    </w:p>
    <w:tbl>
      <w:tblPr>
        <w:tblW w:w="10205" w:type="dxa"/>
        <w:jc w:val="center"/>
        <w:tblInd w:w="0" w:type="dxa"/>
        <w:tblLayout w:type="fixed"/>
        <w:tblCellMar>
          <w:top w:w="0" w:type="dxa"/>
          <w:left w:w="0" w:type="dxa"/>
          <w:bottom w:w="0" w:type="dxa"/>
          <w:right w:w="0" w:type="dxa"/>
        </w:tblCellMar>
      </w:tblPr>
      <w:tblGrid>
        <w:gridCol w:w="2395"/>
        <w:gridCol w:w="346"/>
        <w:gridCol w:w="811"/>
        <w:gridCol w:w="361"/>
        <w:gridCol w:w="211"/>
        <w:gridCol w:w="781"/>
        <w:gridCol w:w="346"/>
        <w:gridCol w:w="211"/>
        <w:gridCol w:w="781"/>
        <w:gridCol w:w="346"/>
        <w:gridCol w:w="811"/>
        <w:gridCol w:w="361"/>
        <w:gridCol w:w="211"/>
        <w:gridCol w:w="789"/>
        <w:gridCol w:w="346"/>
        <w:gridCol w:w="211"/>
        <w:gridCol w:w="887"/>
      </w:tblGrid>
      <w:tr>
        <w:trPr/>
        <w:tc>
          <w:tcPr>
            <w:tcW w:w="2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r>
      <w:tr>
        <w:trPr/>
        <w:tc>
          <w:tcPr>
            <w:tcW w:w="2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444"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Six Months Ended </w:t>
            </w:r>
          </w:p>
        </w:tc>
      </w:tr>
      <w:tr>
        <w:trPr/>
        <w:tc>
          <w:tcPr>
            <w:tcW w:w="2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30, </w:t>
            </w:r>
          </w:p>
        </w:tc>
      </w:tr>
      <w:tr>
        <w:trPr/>
        <w:tc>
          <w:tcPr>
            <w:tcW w:w="2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Change</w:t>
            </w:r>
          </w:p>
        </w:tc>
        <w:tc>
          <w:tcPr>
            <w:tcW w:w="361"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Change</w:t>
            </w:r>
          </w:p>
        </w:tc>
        <w:tc>
          <w:tcPr>
            <w:tcW w:w="361" w:type="dxa"/>
            <w:tcBorders/>
            <w:vAlign w:val="center"/>
          </w:tcPr>
          <w:p>
            <w:pPr>
              <w:pStyle w:val="TableContents"/>
              <w:bidi w:val="0"/>
              <w:spacing w:before="0" w:after="1"/>
              <w:ind w:left="0" w:right="0" w:hanging="0"/>
              <w:jc w:val="left"/>
              <w:rPr/>
            </w:pPr>
            <w:r>
              <w:rPr/>
              <w:t>  ​ ​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vAlign w:val="center"/>
          </w:tcPr>
          <w:p>
            <w:pPr>
              <w:pStyle w:val="TableContents"/>
              <w:bidi w:val="0"/>
              <w:spacing w:before="0" w:after="1"/>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2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Reported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418,843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382,462</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737,813</w:t>
            </w:r>
          </w:p>
        </w:tc>
      </w:tr>
      <w:tr>
        <w:trPr/>
        <w:tc>
          <w:tcPr>
            <w:tcW w:w="2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r>
      <w:tr>
        <w:trPr/>
        <w:tc>
          <w:tcPr>
            <w:tcW w:w="2395"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Add: Impact of foreign exchange</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r>
      <w:tr>
        <w:trPr/>
        <w:tc>
          <w:tcPr>
            <w:tcW w:w="2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3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Constant Currency Revenue (a)</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415,856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382,462</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789,797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737,813</w:t>
            </w:r>
          </w:p>
        </w:tc>
      </w:tr>
      <w:tr>
        <w:trPr/>
        <w:tc>
          <w:tcPr>
            <w:tcW w:w="23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r>
      <w:tr>
        <w:trPr/>
        <w:tc>
          <w:tcPr>
            <w:tcW w:w="2395"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Less: Revenue from certain acquisitions</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r>
      <w:tr>
        <w:trPr/>
        <w:tc>
          <w:tcPr>
            <w:tcW w:w="2395"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Less: Revenue from divestitures (b)</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(5,296)</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(10,212)</w:t>
            </w:r>
          </w:p>
        </w:tc>
      </w:tr>
      <w:tr>
        <w:trPr/>
        <w:tc>
          <w:tcPr>
            <w:tcW w:w="23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23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Constant Currency Revenue, Organic (a)</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411,196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377,166</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774,449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727,601</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12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non-GAAP financial measure. For a definition of this and other non-GAAP financial measures, see the section of this release entitled “Non-GAAP Financial Measures.”</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On February 17, 2026, Merit sold certain assets relating to the DualCap product line to Health Line for $28 million, of which $25.5 million was paid to Merit at closing.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Reported Gross Margin to Non-GAAP Gross Margin (Non-GAAP)</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(Unaudited, as a percentage of reported revenue)</w:t>
      </w:r>
    </w:p>
    <w:tbl>
      <w:tblPr>
        <w:tblW w:w="7507" w:type="dxa"/>
        <w:jc w:val="center"/>
        <w:tblInd w:w="0" w:type="dxa"/>
        <w:tblLayout w:type="fixed"/>
        <w:tblCellMar>
          <w:top w:w="0" w:type="dxa"/>
          <w:left w:w="0" w:type="dxa"/>
          <w:bottom w:w="0" w:type="dxa"/>
          <w:right w:w="0" w:type="dxa"/>
        </w:tblCellMar>
      </w:tblPr>
      <w:tblGrid>
        <w:gridCol w:w="3481"/>
        <w:gridCol w:w="346"/>
        <w:gridCol w:w="466"/>
        <w:gridCol w:w="361"/>
        <w:gridCol w:w="109"/>
        <w:gridCol w:w="466"/>
        <w:gridCol w:w="361"/>
        <w:gridCol w:w="109"/>
        <w:gridCol w:w="466"/>
        <w:gridCol w:w="361"/>
        <w:gridCol w:w="109"/>
        <w:gridCol w:w="466"/>
        <w:gridCol w:w="40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10435" cy="175260"/>
                      <wp:effectExtent l="0" t="0" r="0" b="0"/>
                      <wp:wrapNone/>
                      <wp:docPr id="161" name="Frame15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62"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95910" cy="175260"/>
                      <wp:effectExtent l="0" t="0" r="0" b="0"/>
                      <wp:wrapNone/>
                      <wp:docPr id="163" name="Frame1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9235" cy="175260"/>
                      <wp:effectExtent l="0" t="0" r="0" b="0"/>
                      <wp:wrapNone/>
                      <wp:docPr id="164" name="Frame1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65"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95910" cy="175260"/>
                      <wp:effectExtent l="0" t="0" r="0" b="0"/>
                      <wp:wrapNone/>
                      <wp:docPr id="166" name="Frame16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29235" cy="175260"/>
                      <wp:effectExtent l="0" t="0" r="0" b="0"/>
                      <wp:wrapNone/>
                      <wp:docPr id="167" name="Frame1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68"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95910" cy="175260"/>
                      <wp:effectExtent l="0" t="0" r="0" b="0"/>
                      <wp:wrapNone/>
                      <wp:docPr id="169" name="Frame16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29235" cy="175260"/>
                      <wp:effectExtent l="0" t="0" r="0" b="0"/>
                      <wp:wrapNone/>
                      <wp:docPr id="170" name="Frame1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71"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95910" cy="175260"/>
                      <wp:effectExtent l="0" t="0" r="0" b="0"/>
                      <wp:wrapNone/>
                      <wp:docPr id="172" name="Frame17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57810" cy="175260"/>
                      <wp:effectExtent l="0" t="0" r="0" b="0"/>
                      <wp:wrapNone/>
                      <wp:docPr id="173" name="Frame17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63"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808"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Six Months Ended </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c>
          <w:tcPr>
            <w:tcW w:w="109" w:type="dxa"/>
            <w:tcBorders/>
            <w:vAlign w:val="center"/>
          </w:tcPr>
          <w:p>
            <w:pPr>
              <w:pStyle w:val="TableContents"/>
              <w:bidi w:val="0"/>
              <w:spacing w:before="0" w:after="0"/>
              <w:ind w:left="0" w:right="0" w:hanging="0"/>
              <w:jc w:val="left"/>
              <w:rPr/>
            </w:pPr>
            <w:r>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2026</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2026</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Reported Gross Margin</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Add back impact of:</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mark-up related to acquisitions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both"/>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 Certain percentages may not sum to totals due to rounding.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Reported Cash Flow from Operations to Free Cash Flow (Non-GAAP)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(Unaudited, in thousands)</w:t>
      </w:r>
    </w:p>
    <w:tbl>
      <w:tblPr>
        <w:tblW w:w="5902" w:type="dxa"/>
        <w:jc w:val="left"/>
        <w:tblInd w:w="0" w:type="dxa"/>
        <w:tblLayout w:type="fixed"/>
        <w:tblCellMar>
          <w:top w:w="0" w:type="dxa"/>
          <w:left w:w="0" w:type="dxa"/>
          <w:bottom w:w="0" w:type="dxa"/>
          <w:right w:w="0" w:type="dxa"/>
        </w:tblCellMar>
      </w:tblPr>
      <w:tblGrid>
        <w:gridCol w:w="3121"/>
        <w:gridCol w:w="346"/>
        <w:gridCol w:w="226"/>
        <w:gridCol w:w="796"/>
        <w:gridCol w:w="346"/>
        <w:gridCol w:w="226"/>
        <w:gridCol w:w="841"/>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981835" cy="175260"/>
                      <wp:effectExtent l="0" t="0" r="0" b="0"/>
                      <wp:wrapNone/>
                      <wp:docPr id="174" name="Frame172"/>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75"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12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243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Six Months Ended </w:t>
            </w:r>
          </w:p>
        </w:tc>
      </w:tr>
      <w:tr>
        <w:trPr/>
        <w:tc>
          <w:tcPr>
            <w:tcW w:w="312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30, </w:t>
            </w:r>
          </w:p>
        </w:tc>
      </w:tr>
      <w:tr>
        <w:trPr/>
        <w:tc>
          <w:tcPr>
            <w:tcW w:w="312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Reported Cash Flow from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109,957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123,879</w:t>
            </w:r>
          </w:p>
        </w:tc>
      </w:tr>
      <w:tr>
        <w:trPr/>
        <w:tc>
          <w:tcPr>
            <w:tcW w:w="3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Less: Capital Expenditures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(34,812)</w:t>
            </w:r>
          </w:p>
        </w:tc>
      </w:tr>
      <w:tr>
        <w:trPr/>
        <w:tc>
          <w:tcPr>
            <w:tcW w:w="3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76,617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89,067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Reconciliation of 2026 Net Sales Guidance - % Change from Prior Year (Constant Currency)</w:t>
      </w:r>
    </w:p>
    <w:p>
      <w:pPr>
        <w:pStyle w:val="TextBody"/>
        <w:bidi w:val="0"/>
        <w:spacing w:before="0" w:after="240"/>
        <w:ind w:left="0" w:right="0" w:hanging="0"/>
        <w:jc w:val="both"/>
        <w:rPr/>
      </w:pPr>
      <w:r>
        <w:rPr/>
        <w:t>​</w:t>
      </w:r>
    </w:p>
    <w:tbl>
      <w:tblPr>
        <w:tblW w:w="9053" w:type="dxa"/>
        <w:jc w:val="left"/>
        <w:tblInd w:w="0" w:type="dxa"/>
        <w:tblLayout w:type="fixed"/>
        <w:tblCellMar>
          <w:top w:w="0" w:type="dxa"/>
          <w:left w:w="0" w:type="dxa"/>
          <w:bottom w:w="0" w:type="dxa"/>
          <w:right w:w="0" w:type="dxa"/>
        </w:tblCellMar>
      </w:tblPr>
      <w:tblGrid>
        <w:gridCol w:w="5536"/>
        <w:gridCol w:w="109"/>
        <w:gridCol w:w="763"/>
        <w:gridCol w:w="138"/>
        <w:gridCol w:w="763"/>
        <w:gridCol w:w="109"/>
        <w:gridCol w:w="725"/>
        <w:gridCol w:w="131"/>
        <w:gridCol w:w="779"/>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515360" cy="175260"/>
                      <wp:effectExtent l="0" t="0" r="0" b="0"/>
                      <wp:wrapNone/>
                      <wp:docPr id="176" name="Frame174"/>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77"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84505" cy="175260"/>
                      <wp:effectExtent l="0" t="0" r="0" b="0"/>
                      <wp:wrapNone/>
                      <wp:docPr id="178" name="Frame176"/>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7630" cy="175260"/>
                      <wp:effectExtent l="0" t="0" r="0" b="0"/>
                      <wp:wrapNone/>
                      <wp:docPr id="179" name="Frame177"/>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84505" cy="175260"/>
                      <wp:effectExtent l="0" t="0" r="0" b="0"/>
                      <wp:wrapNone/>
                      <wp:docPr id="180" name="Frame178"/>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181"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60375" cy="175260"/>
                      <wp:effectExtent l="0" t="0" r="0" b="0"/>
                      <wp:wrapNone/>
                      <wp:docPr id="182" name="Frame180"/>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3185" cy="175260"/>
                      <wp:effectExtent l="0" t="0" r="0" b="0"/>
                      <wp:wrapNone/>
                      <wp:docPr id="183" name="Frame181"/>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94665" cy="175260"/>
                      <wp:effectExtent l="0" t="0" r="0" b="0"/>
                      <wp:wrapNone/>
                      <wp:docPr id="184" name="Frame18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6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Updated Guidance</w:t>
            </w:r>
          </w:p>
        </w:tc>
        <w:tc>
          <w:tcPr>
            <w:tcW w:w="109" w:type="dxa"/>
            <w:tcBorders/>
            <w:vAlign w:val="center"/>
          </w:tcPr>
          <w:p>
            <w:pPr>
              <w:pStyle w:val="TableContents"/>
              <w:bidi w:val="0"/>
              <w:spacing w:before="0" w:after="1"/>
              <w:ind w:left="0" w:right="0" w:hanging="0"/>
              <w:jc w:val="left"/>
              <w:rPr/>
            </w:pPr>
            <w:r>
              <w:rPr/>
              <w:t>​</w:t>
            </w:r>
          </w:p>
        </w:tc>
        <w:tc>
          <w:tcPr>
            <w:tcW w:w="163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b/>
                <w:sz w:val="20"/>
              </w:rPr>
              <w:t>Prior Guidance</w:t>
            </w:r>
            <w:r>
              <w:rPr>
                <w:rFonts w:ascii="Times New Roman;Times;serif" w:hAnsi="Times New Roman;Times;serif"/>
                <w:b/>
                <w:sz w:val="15"/>
              </w:rPr>
              <w:t>(1)</w:t>
            </w:r>
          </w:p>
        </w:tc>
      </w:tr>
      <w:tr>
        <w:trPr/>
        <w:tc>
          <w:tcPr>
            <w:tcW w:w="55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Low</w:t>
            </w:r>
          </w:p>
        </w:tc>
        <w:tc>
          <w:tcPr>
            <w:tcW w:w="138" w:type="dxa"/>
            <w:tcBorders/>
            <w:vAlign w:val="center"/>
          </w:tcPr>
          <w:p>
            <w:pPr>
              <w:pStyle w:val="TableContents"/>
              <w:bidi w:val="0"/>
              <w:spacing w:before="0" w:after="1"/>
              <w:ind w:left="0" w:right="0" w:hanging="0"/>
              <w:jc w:val="left"/>
              <w:rPr/>
            </w:pPr>
            <w:r>
              <w:rPr/>
              <w:t>​</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High</w:t>
            </w:r>
          </w:p>
        </w:tc>
        <w:tc>
          <w:tcPr>
            <w:tcW w:w="109" w:type="dxa"/>
            <w:tcBorders/>
            <w:vAlign w:val="center"/>
          </w:tcPr>
          <w:p>
            <w:pPr>
              <w:pStyle w:val="TableContents"/>
              <w:bidi w:val="0"/>
              <w:spacing w:before="0" w:after="1"/>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Low</w:t>
            </w:r>
          </w:p>
        </w:tc>
        <w:tc>
          <w:tcPr>
            <w:tcW w:w="131" w:type="dxa"/>
            <w:tcBorders/>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High</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2026 Net Sales Guidance - % Change from Prior Year (GAAP) </w:t>
            </w:r>
          </w:p>
        </w:tc>
        <w:tc>
          <w:tcPr>
            <w:tcW w:w="109" w:type="dxa"/>
            <w:tcBorders/>
            <w:shd w:fill="CCEEFF" w:val="clear"/>
            <w:vAlign w:val="center"/>
          </w:tcPr>
          <w:p>
            <w:pPr>
              <w:pStyle w:val="TableContents"/>
              <w:bidi w:val="0"/>
              <w:spacing w:before="0" w:after="1"/>
              <w:ind w:left="0" w:right="0" w:hanging="0"/>
              <w:jc w:val="center"/>
              <w:rPr/>
            </w:pPr>
            <w:r>
              <w:rPr/>
              <w:t>​</w:t>
            </w:r>
          </w:p>
        </w:tc>
        <w:tc>
          <w:tcPr>
            <w:tcW w:w="763"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7.6%</w:t>
            </w:r>
          </w:p>
        </w:tc>
        <w:tc>
          <w:tcPr>
            <w:tcW w:w="138" w:type="dxa"/>
            <w:tcBorders/>
            <w:shd w:fill="CCEEFF" w:val="clear"/>
            <w:vAlign w:val="center"/>
          </w:tcPr>
          <w:p>
            <w:pPr>
              <w:pStyle w:val="TableContents"/>
              <w:bidi w:val="0"/>
              <w:spacing w:before="0" w:after="1"/>
              <w:ind w:left="0" w:right="0" w:hanging="0"/>
              <w:jc w:val="center"/>
              <w:rPr/>
            </w:pPr>
            <w:r>
              <w:rPr/>
              <w:t>​</w:t>
            </w:r>
          </w:p>
        </w:tc>
        <w:tc>
          <w:tcPr>
            <w:tcW w:w="763"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8.4%</w:t>
            </w:r>
          </w:p>
        </w:tc>
        <w:tc>
          <w:tcPr>
            <w:tcW w:w="109" w:type="dxa"/>
            <w:tcBorders/>
            <w:shd w:fill="CCEEFF" w:val="clear"/>
            <w:vAlign w:val="center"/>
          </w:tcPr>
          <w:p>
            <w:pPr>
              <w:pStyle w:val="TableContents"/>
              <w:bidi w:val="0"/>
              <w:spacing w:before="0" w:after="1"/>
              <w:ind w:left="0" w:right="0" w:hanging="0"/>
              <w:jc w:val="center"/>
              <w:rPr/>
            </w:pPr>
            <w:r>
              <w:rPr/>
              <w:t>​</w:t>
            </w:r>
          </w:p>
        </w:tc>
        <w:tc>
          <w:tcPr>
            <w:tcW w:w="725"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6.3%</w:t>
            </w:r>
          </w:p>
        </w:tc>
        <w:tc>
          <w:tcPr>
            <w:tcW w:w="131" w:type="dxa"/>
            <w:tcBorders/>
            <w:shd w:fill="CCEEFF" w:val="clear"/>
            <w:vAlign w:val="center"/>
          </w:tcPr>
          <w:p>
            <w:pPr>
              <w:pStyle w:val="TableContents"/>
              <w:bidi w:val="0"/>
              <w:spacing w:before="0" w:after="1"/>
              <w:ind w:left="0" w:right="0" w:hanging="0"/>
              <w:jc w:val="center"/>
              <w:rPr/>
            </w:pPr>
            <w:r>
              <w:rPr/>
              <w:t>​</w:t>
            </w:r>
          </w:p>
        </w:tc>
        <w:tc>
          <w:tcPr>
            <w:tcW w:w="779"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7.8%</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Estimated impact of foreign currency exchange rate fluctuations</w:t>
            </w:r>
          </w:p>
        </w:tc>
        <w:tc>
          <w:tcPr>
            <w:tcW w:w="109" w:type="dxa"/>
            <w:tcBorders/>
            <w:vAlign w:val="center"/>
          </w:tcPr>
          <w:p>
            <w:pPr>
              <w:pStyle w:val="TableContents"/>
              <w:bidi w:val="0"/>
              <w:spacing w:before="0" w:after="1"/>
              <w:ind w:left="0" w:right="0" w:hanging="0"/>
              <w:jc w:val="left"/>
              <w:rPr/>
            </w:pPr>
            <w:r>
              <w:rPr/>
              <w:t>​</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(0.8%)</w:t>
            </w:r>
          </w:p>
        </w:tc>
        <w:tc>
          <w:tcPr>
            <w:tcW w:w="138" w:type="dxa"/>
            <w:tcBorders/>
            <w:vAlign w:val="center"/>
          </w:tcPr>
          <w:p>
            <w:pPr>
              <w:pStyle w:val="TableContents"/>
              <w:bidi w:val="0"/>
              <w:spacing w:before="0" w:after="1"/>
              <w:ind w:left="0" w:right="0" w:hanging="0"/>
              <w:jc w:val="center"/>
              <w:rPr/>
            </w:pPr>
            <w:r>
              <w:rPr/>
              <w:t>​</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(0.8%)</w:t>
            </w:r>
          </w:p>
        </w:tc>
        <w:tc>
          <w:tcPr>
            <w:tcW w:w="109" w:type="dxa"/>
            <w:tcBorders/>
            <w:vAlign w:val="center"/>
          </w:tcPr>
          <w:p>
            <w:pPr>
              <w:pStyle w:val="TableContents"/>
              <w:bidi w:val="0"/>
              <w:spacing w:before="0" w:after="1"/>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(0.8%)</w:t>
            </w:r>
          </w:p>
        </w:tc>
        <w:tc>
          <w:tcPr>
            <w:tcW w:w="131" w:type="dxa"/>
            <w:tcBorders/>
            <w:vAlign w:val="center"/>
          </w:tcPr>
          <w:p>
            <w:pPr>
              <w:pStyle w:val="TableContents"/>
              <w:bidi w:val="0"/>
              <w:spacing w:before="0" w:after="1"/>
              <w:ind w:left="0" w:right="0" w:hanging="0"/>
              <w:jc w:val="center"/>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(0.8%)</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2026 Net Sales Guidance - % Change from Prior Year (Constant Currency) </w:t>
            </w:r>
          </w:p>
        </w:tc>
        <w:tc>
          <w:tcPr>
            <w:tcW w:w="109" w:type="dxa"/>
            <w:tcBorders/>
            <w:shd w:fill="CCEEFF" w:val="clear"/>
            <w:vAlign w:val="center"/>
          </w:tcPr>
          <w:p>
            <w:pPr>
              <w:pStyle w:val="TableContents"/>
              <w:bidi w:val="0"/>
              <w:spacing w:before="0" w:after="1"/>
              <w:ind w:left="0" w:right="0" w:hanging="0"/>
              <w:jc w:val="center"/>
              <w:rPr/>
            </w:pPr>
            <w:r>
              <w:rPr/>
              <w:t>​</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6.8%</w:t>
            </w:r>
          </w:p>
        </w:tc>
        <w:tc>
          <w:tcPr>
            <w:tcW w:w="138" w:type="dxa"/>
            <w:tcBorders/>
            <w:shd w:fill="CCEEFF" w:val="clear"/>
            <w:vAlign w:val="center"/>
          </w:tcPr>
          <w:p>
            <w:pPr>
              <w:pStyle w:val="TableContents"/>
              <w:bidi w:val="0"/>
              <w:spacing w:before="0" w:after="1"/>
              <w:ind w:left="0" w:right="0" w:hanging="0"/>
              <w:jc w:val="center"/>
              <w:rPr/>
            </w:pPr>
            <w:r>
              <w:rPr/>
              <w:t>​</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7.6%</w:t>
            </w:r>
          </w:p>
        </w:tc>
        <w:tc>
          <w:tcPr>
            <w:tcW w:w="109" w:type="dxa"/>
            <w:tcBorders/>
            <w:shd w:fill="CCEEFF" w:val="clear"/>
            <w:vAlign w:val="center"/>
          </w:tcPr>
          <w:p>
            <w:pPr>
              <w:pStyle w:val="TableContents"/>
              <w:bidi w:val="0"/>
              <w:spacing w:before="0" w:after="1"/>
              <w:ind w:left="0" w:right="0" w:hanging="0"/>
              <w:jc w:val="center"/>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5.6%</w:t>
            </w:r>
          </w:p>
        </w:tc>
        <w:tc>
          <w:tcPr>
            <w:tcW w:w="131" w:type="dxa"/>
            <w:tcBorders/>
            <w:shd w:fill="CCEEFF" w:val="clear"/>
            <w:vAlign w:val="center"/>
          </w:tcPr>
          <w:p>
            <w:pPr>
              <w:pStyle w:val="TableContents"/>
              <w:bidi w:val="0"/>
              <w:spacing w:before="0" w:after="1"/>
              <w:ind w:left="0" w:right="0" w:hanging="0"/>
              <w:jc w:val="center"/>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7.0%</w:t>
            </w:r>
          </w:p>
        </w:tc>
      </w:tr>
    </w:tbl>
    <w:p>
      <w:pPr>
        <w:pStyle w:val="TextBody"/>
        <w:bidi w:val="0"/>
        <w:spacing w:before="0" w:after="240"/>
        <w:ind w:left="0" w:right="0" w:hanging="0"/>
        <w:jc w:val="both"/>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Note: Certain percentages may not sum to totals due to rounding.</w:t>
      </w:r>
    </w:p>
    <w:p>
      <w:pPr>
        <w:pStyle w:val="TextBody"/>
        <w:bidi w:val="0"/>
        <w:spacing w:before="0" w:after="0"/>
        <w:ind w:left="0" w:right="0" w:hanging="0"/>
        <w:jc w:val="both"/>
        <w:rPr>
          <w:rFonts w:ascii="Times New Roman;Times;serif" w:hAnsi="Times New Roman;Times;serif"/>
          <w:i/>
          <w:sz w:val="14"/>
          <w:shd w:fill="FFFFFF" w:val="clear"/>
        </w:rPr>
      </w:pPr>
      <w:r>
        <w:rPr>
          <w:rFonts w:ascii="Times New Roman;Times;serif" w:hAnsi="Times New Roman;Times;serif"/>
          <w:i/>
          <w:sz w:val="14"/>
          <w:shd w:fill="FFFFFF" w:val="clear"/>
        </w:rPr>
        <w:t>(1) “Prior Guidance” reflects Merit’s full-year 2026 financial guidance, previously introduced on April 30, 2026.</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b w:val="false"/>
          <w:sz w:val="20"/>
          <w:u w:val="single"/>
        </w:rPr>
      </w:pPr>
      <w:r>
        <w:rPr>
          <w:rFonts w:ascii="Times New Roman;Times;serif" w:hAnsi="Times New Roman;Times;serif"/>
          <w:b w:val="false"/>
          <w:sz w:val="20"/>
          <w:u w:val="single"/>
        </w:rPr>
        <w:t>ABOUT MERIT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Founded in 1987, Merit is engaged in the development, manufacture, and distribution of proprietary medical devices used in interventional, diagnostic, and therapeutic procedures, particularly in cardiology, radiology, oncology, critical care, and endoscopy. Merit serves customers worldwide with a domestic and international sales force and clinical support team totaling more than 800 individuals. Merit employs approximately 7,500 people worldwide.</w:t>
      </w:r>
    </w:p>
    <w:p>
      <w:pPr>
        <w:pStyle w:val="TextBody"/>
        <w:bidi w:val="0"/>
        <w:spacing w:before="0" w:after="120"/>
        <w:ind w:left="0" w:right="0" w:hanging="0"/>
        <w:jc w:val="left"/>
        <w:rPr>
          <w:rFonts w:ascii="Times New Roman;Times;serif" w:hAnsi="Times New Roman;Times;serif"/>
          <w:b w:val="false"/>
          <w:sz w:val="20"/>
          <w:u w:val="single"/>
        </w:rPr>
      </w:pPr>
      <w:r>
        <w:rPr>
          <w:rFonts w:ascii="Times New Roman;Times;serif" w:hAnsi="Times New Roman;Times;serif"/>
          <w:b w:val="false"/>
          <w:sz w:val="20"/>
          <w:u w:val="single"/>
        </w:rPr>
        <w:t>CAUTIONARY STATEMENT REGARDING FORWARD-LOOKING STATEMENTS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This release contains forward-looking statements within the meaning of Section 27A of the Securities Act of 1933, as amended, and Section 21E of the Securities Exchange Act of 1934, as amended. Forward-looking statements include, among others: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that address Merit’s future operating performance or events or developments that Merit’s management expects or anticipates will occur, including, without limitation, any statements regarding Merit’s projected revenues, earnings or other future financial measures, Merit’s plans and objectives for future operations, Merit’s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Merit’s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w:t>
            </w:r>
          </w:p>
        </w:tc>
      </w:tr>
    </w:tbl>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forward-looking statements contained in this release are based on Merit management’s current expectations and assumptions regarding future events or outcomes. If underlying expectations or assumptions prove inaccurate, or risks or uncertainties materialize, actual results will likely differ, and may differ materially, from Merit’s expectations reflected in any forward-looking statements. Financial estimates are subject to change and are not intended to be relied upon as predictions of future operating results. Investors are cautioned not to unduly rely on any such 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are some of the important risks and uncertainties that could cause Merit’s actual results to differ from management’s expectations in any forward-looking statements: risks and uncertainties arising from the conflict among the United States, Israel and Iran and related geopolitical instability; risks and uncertainties associated with Merit’s acquisition of View Point and the OneMark® Detection Imaging System and related technology; risks and uncertainties associated with Merit’s integration of the View Point business, assets and operations into its operations and its ability to achieve anticipated financial results, product development and other anticipated benefits of the acquisition; uncertainties as to whether Merit will achieve revenue or other financial performance consistent with its forecasts projected for the View Point Merger; risks and uncertainties associated with Merit’s executive succession planning activities and leadership transition; risks and uncertainties regarding trade policies or related actions implemented by the U.S. or other countries, including existing, proposed, prospective or invalidated tariffs, duties or other measures; risks and uncertainties associated with Merit’s integration of businesses or assets acquired from third parties, including View Point in April 2026, the business and assets acquired in the C2 Acquisition in November 2025 and Biolife in May 2025, and Merit’s ability to achieve the anticipated financial results, product development and other anticipated benefits of such acquisitions; effects of the Convertible Notes on Merit’s net income and earnings per share performance; restrictions and limitations set forth in the Convertible Notes and Indenture, which could affect Merit’s ability to operate its business as well as its liquidity; disruptions in Merit’s supply chain, manufacturing or sterilization processes; U.S. and global political, economic, competitive, reimbursement and regulatory conditions;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prospective financial obligations or other uncertainties associated with the DualCap Divestiture completed in February 2026; fluctuations in interest or foreign currency exchange rates and inflation; cybersecurity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events; government scrutiny and regulation of the medical device industry; difficulties relating to development, testing and regulatory approval, clearance and maintenance of Merit’s products; the safety, efficacy and patient and physician adoption of Merit’s products; the ability to fully enroll and the outcomes of ongoing and future clinical trials and market studies relating to Merit’s products; litigation and other legal proceedings affecting Merit; risks and possible effects of Merit’s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and other factors that may affect Merit’s business, operations and financial condition, see Part I, Item 1A. “Risk Factors” in Merit’s Annual Report on Form 10-K for the year ended December 31, 2025 filed with the SEC, which Merit updated in Part II, Item 1A. “Risk Factors” in Merit’s Quarterly Reports on Form 10-Q for each of the quarters ended March 31, 2026 and June 30,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All subsequent forward-looking statements attributable to Merit or persons acting on its behalf are expressly qualified in their entirety by these cautionary statements. Actual results will likely differ, and may differ materially, from anticipated results. Financial estimates are subject to change and are not intended to be relied upon as predictions of future operating results. Those estimates and all other forward-looking statements included in this release are made only as of the date of this release, and except as otherwise required by applicable law, Merit assumes no obligation to update or disclose revisions to estimates and all other forward-looking statements.</w:t>
      </w:r>
    </w:p>
    <w:p>
      <w:pPr>
        <w:pStyle w:val="TextBody"/>
        <w:bidi w:val="0"/>
        <w:spacing w:before="0" w:after="120"/>
        <w:ind w:left="0" w:right="0" w:hanging="0"/>
        <w:jc w:val="left"/>
        <w:rPr>
          <w:rFonts w:ascii="Times New Roman;Times;serif" w:hAnsi="Times New Roman;Times;serif"/>
          <w:b w:val="false"/>
          <w:sz w:val="20"/>
          <w:u w:val="single"/>
        </w:rPr>
      </w:pPr>
      <w:r>
        <w:rPr>
          <w:rFonts w:ascii="Times New Roman;Times;serif" w:hAnsi="Times New Roman;Times;serif"/>
          <w:b w:val="false"/>
          <w:sz w:val="20"/>
          <w:u w:val="single"/>
        </w:rPr>
        <w:t>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noted otherwise, trademarks and registered trademarks used in this release are the property of Merit Medical Systems, Inc., its subsidiaries, or its licensors.</w:t>
      </w:r>
    </w:p>
    <w:p>
      <w:pPr>
        <w:pStyle w:val="TextBody"/>
        <w:pBdr/>
        <w:bidi w:val="0"/>
        <w:spacing w:before="0" w:after="240"/>
        <w:ind w:left="0" w:right="0" w:hanging="360"/>
        <w:jc w:val="both"/>
        <w:rPr/>
      </w:pPr>
      <w:r>
        <w:rPr/>
        <w:t>​</w:t>
      </w:r>
    </w:p>
    <w:p>
      <w:pPr>
        <w:pStyle w:val="TextBody"/>
        <w:pBdr/>
        <w:bidi w:val="0"/>
        <w:spacing w:before="0" w:after="240"/>
        <w:ind w:left="0" w:right="0" w:hanging="360"/>
        <w:jc w:val="both"/>
        <w:rPr/>
      </w:pPr>
      <w:r>
        <w:rPr/>
        <w:t>​</w:t>
      </w:r>
    </w:p>
    <w:p>
      <w:pPr>
        <w:pStyle w:val="TextBody"/>
        <w:pBdr/>
        <w:bidi w:val="0"/>
        <w:spacing w:before="0" w:after="240"/>
        <w:ind w:left="0" w:right="0" w:hanging="360"/>
        <w:jc w:val="center"/>
        <w:rPr>
          <w:rFonts w:ascii="Times New Roman;Times;serif" w:hAnsi="Times New Roman;Times;serif"/>
          <w:sz w:val="20"/>
        </w:rPr>
      </w:pPr>
      <w:r>
        <w:rPr>
          <w:rFonts w:ascii="Times New Roman;Times;serif" w:hAnsi="Times New Roman;Times;serif"/>
          <w:sz w:val="20"/>
        </w:rPr>
        <w:t># #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45" w:name="mmsi-20260730xex99d2.htm"/>
      <w:bookmarkStart w:id="46" w:name="ksmmsi20260730xex99d2"/>
      <w:bookmarkEnd w:id="45"/>
      <w:bookmarkEnd w:id="46"/>
      <w:r>
        <w:rPr>
          <w:rFonts w:ascii="Times New Roman" w:hAnsi="Times New Roman"/>
          <w:b/>
          <w:sz w:val="20"/>
        </w:rPr>
        <w:t>Exhibit 99.2</w:t>
      </w:r>
      <w:r>
        <w:br w:type="page"/>
      </w:r>
    </w:p>
    <w:tbl>
      <w:tblPr>
        <w:tblW w:w="16633" w:type="dxa"/>
        <w:jc w:val="center"/>
        <w:tblInd w:w="0" w:type="dxa"/>
        <w:tblLayout w:type="fixed"/>
        <w:tblCellMar>
          <w:top w:w="0" w:type="dxa"/>
          <w:left w:w="0" w:type="dxa"/>
          <w:bottom w:w="0" w:type="dxa"/>
          <w:right w:w="0" w:type="dxa"/>
        </w:tblCellMar>
      </w:tblPr>
      <w:tblGrid>
        <w:gridCol w:w="23"/>
        <w:gridCol w:w="16500"/>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Merit Medical Investor Call July 30, 2026 Second Quarter 2026 Results Martha Aronson President and CEO Raul Parra CFO</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CAUTIONARY STATEMENT REGARDING FORWARD-LOOKING STATEMENTS This presentation contains forward-looking statements within the meaning of Section 27A of the Securities Act of 1933, as amended, and Section 21E of the Securities Exchange Act of 1934, as amended. Forward-looking statements include, among others:  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  statements that address Merit’s future operating performance or events or developments that Merit’s management expects or anticipates will occur, including, without limitation, any statements regarding Merit’s projected revenues, earnings or other future financial measures, Merit’s plans and objectives for future operations, Merit’s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  statements regarding Merit’s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 The forward-looking statements contained in this presentation are based on Merit management’s current expectations and assumptions regarding future events or outcomes. If underlying expectations or assumptions prove inaccurate, or risks or uncertainties materialize, actual results will likely differ, and may differ materially, from Merit’s expectations reflected in any forward-looking statements. Financial estimates are subject to change and are not intended to be relied upon as predictions of future operating results. Investors are cautioned not to unduly rely on any such forward-looking statements. The following are some of the important risks and uncertainties that could cause Merit’s actual results to differ from management’s expectations in any forward-looking statements: risks and uncertainties arising from the conflict among the United States, Israel and Iran and related geopolitical instability; risks and uncertainties associated with Merit’s acquisition of View Point Medical, Inc. (“View Point”) and the OneMark® Detection Imaging System and related technology; risks and uncertainties associated with Merit’s integration of the View Point business, assets and operations into its operations and its ability to achieve anticipated financial results, product development and other anticipated benefits of the acquisition; uncertainties as to whether Merit will achieve revenue or other financial performance consistent with its forecasts projected for Merit’s acquisition of View Point in April 2026 (the “View Point Merger”); risks and uncertainties associated with Merit’s executive succession planning activities and leadership transition; risks and uncertainties regarding trade policies or related actions implemented by the U.S. or other countries, including existing, proposed, prospective or invalidated tariffs, duties or other measures; risks and uncertainties associated with Merit’s integration of businesses or assets acquired from third parties, including View Point in April 2026, the business and assets acquired from Pentax of America, Inc. related to the C2 CryoBalloon device in November 2025 (the “C2 Acquisition”) and Merit’s acquisition of Biolife Delaware, L.L.C. (“Biolife”) in May 2025 (the “Biolife Merger”), and Merit’s ability to achieve the anticipated financial results, product development and other anticipated benefits of such acquisitions; effects of the Convertible Notes on Merit’s net income and earnings per share performance; restrictions and limitations set forth in the Convertible Notes and Indenture, which could affect Merit’s ability to operate its business as well as its liquidity; disruptions in Merit’s supply chain, manufacturing or sterilization processes; U.S. and global political, economic, competitive, reimbursement and regulatory conditions;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prospective financial obligations or other uncertainties associated with the DualCap® product line which Merit sold to Health Line International Corporation (“Health Line”) on February 17, 2026 (the “DualCap Divestiture”); fluctuations in interest or foreign currency exchange rates and inflation; cybersecurity events; government scrutiny and regulation of the medical device industry; difficulties relating to development, testing and regulatory approval, clearance and maintenance of Merit’s products; the safety, efficacy and patient and physician adoption of Merit’s products; the ability to fully enroll and the outcomes of ongoing and future clinical trials and market studies relating to Merit’s products; litigation and other legal proceedings affecting Merit; risks and possible effects of Merit’s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and other factors that may affect Merit’s business, operations and financial condition, see Part I, Item 1A. “Risk Factors” in Merit’s Annual Report on Form 10-K for the year ended December 31, 2025 filed with the SEC, which Merit updated in Part II, Item 1A. “Risk Factors” in Merit’s Quarterly Reports on Form 10-Q for each of the quarters ended March 31, 2026 and June 30, 2026. All subsequent forward-looking statements attributable to Merit or persons acting on its behalf are expressly qualified in their entirety by these cautionary statements. Actual results will likely differ, and may differ materially, from anticipated results. Financial estimates are subject to change and are not intended to be relied upon as predictions of future operating results. Those estimates and all other forward-looking statements included in this presentation are made only as of the date of this presentation, and except as otherwise required by applicable law, Merit assumes no obligation to update or disclose revisions to estimates and all other forward-looking statements.</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NON-GAAP FINANCIAL MEASURES Although Merit’s financial statements are prepared in accordance with accounting principles generally accepted in the United States of America (“GAAP”), Merit’s management believes that certain non-GAAP financial measures provide investors with useful information regarding the underlying business trends and performance of Merit’s ongoing operations and can be useful for period-over-period comparisons of such operations. Certain financial measures included in this presentation, or which may be referenced in management’s discussion of Merit’s historical and future operations and financial results, have not been calculated in accordance with GAAP, and, therefore, are referenced as non-GAAP financial measures. Readers should consider non-GAAP measures used in this presentation in addition to, not as a substitute for, financial reporting measures prepared in accordance with GAAP. These non-GAAP financial measures generally exclude some, but not all, items that may affect Merit's net income. In addition, they are subject to inherent limitations as they reflect the exercise of judgment by management about which items are excluded. Additionally, non-GAAP financial measures used in this presentation may not be comparable with similarly titled measures of other companies. Merit urges readers to review the reconciliations of its non-GAAP financial measures to the comparable GAAP financial measures, and not to rely on any single financial measure to evaluate Merit’s business or results of operations. Please refer to “Notes to Non-GAAP Financial Measures” at the end of these materials for more information. TRADEMARKS Unless noted otherwise, trademarks and registered trademarks used in this presentation are the property of Merit Medical Systems, Inc., its subsidiaries, or its licensors.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Q2 2026 Q2 2025 % Change YTD 2026 YTD 2025 % Change Revenue $418.8M $382.5M 9.5% $800.7M $737.8M 8.5% Gross Margin 51.4% 48.2% 6.5% 50.0% 48.3% 3.4% Operating Margin 14.4% 12.3% 17.7% 13.1% 11.9% 9.6% Net Income $38.8M $32.6M 19.1% $79.8M $62.7M 27.2% Earnings per Share $0.65 $0.54 20.3% $1.33 $1.03 29.2% Financial Summary: GAAP 4 Note: Amounts in this presentation are rounded while percentages are calculated from the underlying amounts. In millions, except per share amounts and percentages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Q2 2026 Q2 2025 % Change YTD 2026 YTD 2025 % Change $411.2M $377.2M 9.0% $774.4M $727.6M 6.4% Constant Currency Revenue, Organic* Non-GAAP Gross Margin* 55.8% 53.2% 4.9% 54.6% 53.3% 2.4% Non-GAAP Operating Margin* 22.6% 21.2% 6.7% 21.2% 20.2% 4.8% Non-GAAP Net Income* $71.3M $61.0M 16.9% $127.9M $113.9M 12.3% Non-GAAP Earnings per Share* $1.19 $1.01 18.0% $2.13 $1.87 14.1% Financial Summary: Non-GAAP* 5 Note: Amounts in this presentation are rounded while percentages are calculated from the underlying amounts. * See "Notes to Non-GAAP Financial Measures" below for additional information regarding non-GAAP measures used in this presentation. In millions, except per share amounts and percentages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Revenue Breakdown – Q2 Region Q2 2026 Q2 2025 $ Change % Change CC % Change* Domestic $252,051 $227,082 $24,969 11.0% 11.5% International 166,792 155,380 11,412 7.3% 4.7% Total $418,843 $382,462 $36,381 9.5% 8.7% 6 * A non-GAAP financial measure, representing revenue growth on a constant currency (“CC”) basis. See "Notes to Non-GAAP Financial Measures" below for additional information regarding non-GAAP measures used in this presentation. In thousands, except percentages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Revenue Breakdown - YTD * A non-GAAP financial measure, representing revenue growth on a constant currency (“CC”) basis. See "Notes to Non-GAAP Financial Measures" below for additional information regarding non-GAAP measures used in this presentation. In thousands, except percentages Region YTD 2026 YTD 2025 $ Change % Change CC % Change* Domestic $478,567 $440,646 $37,921 8.6% 9.2% International 322,153 297,167 24,986 8.4% 3.8% Total $800,720 $737,813 $62,907 8.5% 7.0%</w:t>
            </w:r>
          </w:p>
        </w:tc>
      </w:tr>
    </w:tbl>
    <w:tbl>
      <w:tblPr>
        <w:tblW w:w="16753" w:type="dxa"/>
        <w:jc w:val="center"/>
        <w:tblInd w:w="0" w:type="dxa"/>
        <w:tblLayout w:type="fixed"/>
        <w:tblCellMar>
          <w:top w:w="0" w:type="dxa"/>
          <w:left w:w="0" w:type="dxa"/>
          <w:bottom w:w="0" w:type="dxa"/>
          <w:right w:w="0" w:type="dxa"/>
        </w:tblCellMar>
      </w:tblPr>
      <w:tblGrid>
        <w:gridCol w:w="23"/>
        <w:gridCol w:w="1650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Financial Metrics Metric Q2 2026 Q2 2025 YTD 2026 YTD 2025 Depreciation &amp; Amortization $31.0M $31.0M $61.5M $60.3M Stock Comp (performance-based) 6.6M 5.9M 12.4M 10.7M Stock Comp (not performance-based) 6.3M 5.0M 9.5M 9.3M Operating Cash Flow 69.3M 83.3M 110.0M 123.9M Capital Expenditures-Property and Equipment 17.3M 13.8M 33.3M 34.8M 8 In millions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1"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Fiscal Year 2026 Financial Guidance 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various items which could impact Merit’s future financial results, such as expenses related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reasonably predict the amount and impact of these items and Merit believes inclusion of the most comparable GAAP financial measure, and a reconciliation of these forward-looking non-GAAP measures to their GAAP counterparts could be confusing to investors or cause undue reliance. Merit’s financial guidance for the year ending December 31, 2026, is subject to risks and uncertainties identified in this presentation and Merit’s filings with the U.S. Securities and Exchange Commission (the “SEC”). This guidance is based on information and estimates available to Merit as of July 30, 2026. Should known or unknown risks or uncertainties materialize or should underlying assumptions prove inaccurate, actual results will likely vary, and could vary materially, from past results and those anticipated, estimated or projected. (1) “Prior Guidance” reflects Merit’s full-year 2026 financial guidance, previously introduced on April 30, 2026. * Percentage figures approximated; percentage and dollar figures may not foot due to rounding 2026 Net Sales Guidance - % Change from Prior Year (Constant Currency) Reconciliation* Revenue and Earnings Guidance* (1) Merit’s non-GAAP earnings per share reflect the dilutive impact of its 3.00% Convertible Senior Notes due 2029 calculated using the if-converted method of approximately $0.03 per share for the year ending December 31, 2026. Any offsetting impacts of the capped call associated with the Convertible Notes are not considered. (2) “Prior Guidance” reflects Merit’s full-year 2026 financial guidance, previously introduced on April 30, 2026. Year Ending % Change Year Ending % Change Financial Measure December 31, 2026 Y/Y December 31, 2026 Y/Y Total Revenue $1.631 - $1.643 billion 8% - 8% $1.612 - $1.634 billion 6% - 8% Non-GAAP Earnings Per Share(1) $4.25 - $4.35 11% - 14% $4.01 - $4.15 5% - 8% Updated Guidance Prior Guidance(2) Low High Low High 2026 Net Sales Guidance - % Change from Prior Year (GAAP) 7.6% 8.4% 6.3% 7.8% Estimated impact of foreign currency exchange rate fluctuations (0.8%) (0.8%) (0.8%) (0.8%) 2026 Net Sales Guidance - % Change from Prior Year (Constant Currency) 6.8% 7.6% 5.6% 7.0% Updated Guidance Prior Guidance(1)</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2"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Appendix</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3"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Notes to Non-GAAP Financial Measures For additional details, please see the accompanying press release and forward-looking statement disclosure. These presentation materials and associated commentary from Merit’s management, as well as the press release issued today, use non-GAAP financial measures, including: • constant currency revenue; • constant currency revenue, organic; • non-GAAP gross profit and margin; • non-GAAP operating income and margin; • non-GAAP net income; • non-GAAP earnings per share; and • free cash flow. Merit’s management team uses these non-GAAP financial measures to evaluate Merit’s profitability and efficiency, to compare operating and financial results to prior periods, to evaluate changes in the results of its operating segments, and to measure and allocate financial resources internally. However, Merit’s management does not consider such non-GAAP measures in isolation or as an alternative to measures determined in accordance with GAAP. Readers should consider non-GAAP measures used in this presentation in addition to, not as a substitute for, financial reporting measures prepared in accordance with GAAP. These non-GAAP financial measures generally exclude some, but not all, items that may affect Merit’s net income. In addition, they are subject to inherent limitations as they reflect the exercise of judgment by management about which items are excluded. Merit believes it is useful to exclude such items in the calculation of non-GAAP gross profit and margin, non-GAAP operating income and margin, non-GAAP net income, and non-GAAP earnings per share (in each case, as further illustrated in the reconciliation tables below) because such amounts in any specific period may not directly correlate to the underlying performance of Merit’s business operations and can vary significantly between periods as a result of factors such as acquisition or other extraordinary transactions, non-cash expenses related to amortization or write-off of previously acquired tangible and intangible assets, certain employee termination benefits, expenses resulting from non-ordinary course litigation or administrative proceedings and resulting settlements, governmental proceedings or changes in tax or industry regulations, gains or losses on disposal of certain assets, equity method investment loss (income) from equity investees, and debt issuance costs. Merit may incur similar types of expenses in the future, and the non-GAAP financial information included in this presentation should not be viewed as a statement or indication that these types of expenses will not recur. Additionally, the non-GAAP financial measures used in this presentation may not be comparable with similarly titled measures of other companies. Merit urges readers to review the reconciliations of its non-GAAP financial measures to their most directly comparable GAAP financial measures included herein, and not to rely on any single financial measure to evaluate Merit’s business or results of operations.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Notes to Non-GAAP Financial Measures (cont.) Constant Currency Revenue Merit’s constant currency revenue is prepared by converting the current-period reported revenue of subsidiaries whose functional currency is a currency other than the U.S. dollar at the applicable foreign exchange rates in effect during the comparable prior-year period and adjusting for the effects of hedging transactions on reported revenue, which are recorded in the U.S. dollar. The constant currency revenue adjustment of $(3.0) million and $(10.9) million to reported revenue for the three and six-month periods ended June 30, 2026 was calculated using the applicable average foreign exchange rates for the three and six-month periods ended June 30, 2025. Constant Currency Revenue, Organic Merit’s constant currency revenue, organic, is defined, with respect to prior fiscal year periods, as GAAP revenue less revenue from certain divestitures. For the three and six-month periods ended June 30, 2025, Merit’s constant currency revenue, organic, excludes revenues attributable to the DualCap Divestiture. With respect to current fiscal year periods, constant currency revenue, organic, is defined as constant currency revenue (as defined above), less revenue from certain acquisitions and divestitures. For the three and six-month periods ended June 30, 2026, Merit’s constant currency revenue, organic, excludes revenues attributable to products acquired in connection with (i) the View Point Merger, (ii) the C2 Acquisition and (iii) the Biolife Merger. For the six-month period ended June 30, 2026, Merit’s constant currency revenue, organic, excludes revenues attributable to the DualCap Divestiture. Non-GAAP Gross Profit and Margin Non-GAAP gross profit is calculated by reducing GAAP cost of sales by amounts recorded for amortization of intangible assets and inventory mark-up related to acquisitions. Non-GAAP gross margin is calculated by dividing non-GAAP gross profit by reported net sales. Non-GAAP Operating Income and Margin Non-GAAP operating income is calculated by adjusting GAAP operating income for certain items which are deemed by Merit’s management to be outside of core operations and vary in amount and frequency among periods, such as expenses related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as well as other items referenced in the tables below. Non-GAAP operating margin is calculated by dividing non-GAAP operating income by reported net sales.</w:t>
            </w:r>
          </w:p>
        </w:tc>
      </w:tr>
    </w:tbl>
    <w:tbl>
      <w:tblPr>
        <w:tblW w:w="16783" w:type="dxa"/>
        <w:jc w:val="center"/>
        <w:tblInd w:w="0" w:type="dxa"/>
        <w:tblLayout w:type="fixed"/>
        <w:tblCellMar>
          <w:top w:w="0" w:type="dxa"/>
          <w:left w:w="0" w:type="dxa"/>
          <w:bottom w:w="0" w:type="dxa"/>
          <w:right w:w="0" w:type="dxa"/>
        </w:tblCellMar>
      </w:tblPr>
      <w:tblGrid>
        <w:gridCol w:w="23"/>
        <w:gridCol w:w="16500"/>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Notes to Non-GAAP Financial Measures (cont.) Non-GAAP Net Income Non-GAAP net income is calculated by adjusting GAAP net income for the items set forth in the definition of non-GAAP operating income above, as well as for expenses related to our long-term debt, gains or losses on disposal of certain assets, equity method investment loss (income) from equity investees, and other items set forth in the tables below. Non-GAAP EPS Non-GAAP EPS is defined as non-GAAP net income divided by the diluted shares outstanding for the corresponding period. Free Cash Flow Free cash flow is defined as cash flow from operations calculated in accordance with GAAP, less capital expenditures for property and equipment calculated in accordance with GAAP, as set forth in the consolidated statement of cash flows. Other Non-GAAP Financial Measure Reconciliations The following tables set forth supplemental financial data and corresponding reconciliations of non-GAAP financial measures to Merit’s corresponding financial measures prepared in accordance with GAAP, in each case, for the three and six-month periods ended June 30, 2026 and 2025. The non-GAAP income adjustments referenced in the following tables do not reflect non-performance-based stock compensation expense of $6.3 million and $5.0 million for the three-month periods ended June 30, 2026 and 2025, respectively, and $9.5 million and $9.3 million for the six-month periods ended June 30, 2026 and 2025, respectively.</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Reconciliation of GAAP Net Income to Non-GAAP Net Income (Unaudited; in thousands except per share amounts) Note: Certain per-share impacts may not sum to totals due to rounding. GAAP net income $ 51,314 $ (12,511) $ 38,803 $ 0.65 $ 43,379 $ (10,798) $ 32,581 $ 0.54 Non-GAAP adjustments: Cost of Sales Amortization of intangibles 18,718 (4,419) 14,299 0.24 18,980 (4,485) 14,495 0.24 Inventory mark-up related to acquisitions — — — — 67 (16) 51 0.00 Operating Expenses Contingent consideration expense 145 (33) 112 0.00 143 25 168 0.00 Amortization of intangibles 2,496 (589) 1,907 0.03 2,543 (601) 1,942 0.03 Performance-based share-based compensation (a) 6,621 (756) 5,865 0.10 5,879 (345) 5,534 0.09 Corporate restructuring (b) 2,159 (510) 1,649 0.03 2,587 (611) 1,976 0.03 Acquisition-related 2,568 (194) 2,374 0.04 2,140 (14) 2,126 0.04 Medical Device Regulation expenses (c) 1,452 (342) 1,110 0.02 1,634 (385) 1,249 0.02 Other (d) — — — — 50 (12) 38 0.00 Other (Income) Expense Long-term debt costs (e) 6,477 (1,529) 4,948 0.08 1,414 (334) 1,080 0.02 Gain on disposal of business unit — — — — (249) — (249) (0.00) Other non-operating loss (f) 294 (82) 212 0.00 — — — — Non-GAAP net income $ 92,244 $ (20,965) $ 71,279 $ 1.19 $ 78,567 $ (17,576) $ 60,991 $ 1.01 Diluted shares 60,006 60,611 Pre-Tax Tax Impact After-Tax Per Share Impact Pre-Tax Tax Impact After-Tax Per Share Impact Three Months Ended Three Months Ended June 30, 2026 June 30, 2025</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Reconciliation of GAAP Net Income to Non-GAAP Net Income (Unaudited; in thousands except per share amounts) Note: Certain per-share impacts may not sum to totals due to rounding. GAAP net income $ 104,860 $ (25,062) $ 79,798 $ 1.33 $ 81,337 $ (18,609) $ 62,728 $ 1.03 Non-GAAP adjustments: Cost of Sales Amortization of intangibles 36,945 (8,722) 28,223 0.47 36,586 (8,645) 27,941 0.46 Inventory mark-up related to acquisitions — — — — 67 (16) 51 0.00 Operating Expenses Contingent consideration (benefit) expense (34) 5 (29) (0.00) 1,166 34 1,200 0.02 Amortization of intangibles 4,950 (1,168) 3,782 0.06 4,937 (1,167) 3,770 0.06 Performance-based share-based compensation (a) 12,429 (1,062) 11,367 0.19 10,653 (931) 9,722 0.16 Corporate restructuring (b) 2,159 (510) 1,649 0.03 2,587 (611) 1,976 0.03 Acquisition-related 6,811 (905) 5,906 0.10 2,156 (18) 2,138 0.04 Medical Device Regulation expenses (c) 2,070 (488) 1,582 0.03 3,228 (762) 2,466 0.04 Other (d) — — — — 29 (7) 22 0.00 Other (Income) Expense Long-term debt costs (e) 7,891 (1,863) 6,028 0.10 2,828 (668) 2,160 0.04 Gain on disposal of business unit (12,502) 1,520 (10,982) (0.18) (249) — (249) (0.00) Other non-operating loss (f) 825 (207) 618 0.01 — — — — Non-GAAP net income $ 166,404 $ (38,462) $ 127,942 $ 2.13 $ 145,325 $ (31,400) $ 113,925 $ 1.87 Diluted shares 60,010 60,945 Pre-Tax Tax Impact After-Tax Per Share Impact Pre-Tax Tax Impact After-Tax Per Share Impact Six Months Ended Six Months Ended June 30, 2026 June 30, 2025</w:t>
            </w:r>
          </w:p>
        </w:tc>
      </w:tr>
    </w:tbl>
    <w:tbl>
      <w:tblPr>
        <w:tblW w:w="16753" w:type="dxa"/>
        <w:jc w:val="center"/>
        <w:tblInd w:w="0" w:type="dxa"/>
        <w:tblLayout w:type="fixed"/>
        <w:tblCellMar>
          <w:top w:w="0" w:type="dxa"/>
          <w:left w:w="0" w:type="dxa"/>
          <w:bottom w:w="0" w:type="dxa"/>
          <w:right w:w="0" w:type="dxa"/>
        </w:tblCellMar>
      </w:tblPr>
      <w:tblGrid>
        <w:gridCol w:w="23"/>
        <w:gridCol w:w="1650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Reconciliation of GAAP Operating Income to Non-GAAP Operating Income (Unaudited; in thousands except percentages) Note: Certain percentages may not sum to totals due to rounding. Net Sales as Reported $ 418,843 $ 382,462 $ 800,720 $ 737,813 GAAP Operating Income 60,403 14.4 % 46,880 12.3 % 104,560 13.1 % 87,913 11.9 % Cost of Sales Amortization of intangibles 18,718 4.5 % 18,980 5.0 % 36,945 4.6 % 36,586 5.0 % Inventory mark-up related to acquisitions — — 67 0.0 % — — 67 0.0 % Operating Expenses Contingent consideration expense (benefit) 145 0.0 % 143 0.0 % (34) (0.0) % 1,166 0.2 % Amortization of intangibles 2,496 0.6 % 2,543 0.7 % 4,950 0.6 % 4,937 0.7 % Performance-based share-based compensation (a) 6,621 1.6 % 5,879 1.5 % 12,429 1.6 % 10,653 1.4 % Corporate restructuring (b) 2,159 0.5 % 2,587 0.7 % 2,159 0.3 % 2,587 0.4 % Acquisition-related 2,568 0.6 % 2,140 0.6 % 6,811 0.9 % 2,156 0.3 % Medical Device Regulation expenses (c) 1,452 0.3 % 1,634 0.4 % 2,070 0.3 % 3,228 0.4 % Other (d) — — 50 0.0 % — — 29 0.0 % Non-GAAP Operating Income $ 94,562 22.6 % $ 80,903 21.2 % $ 169,890 21.2 % $ 149,322 20.2 % Amounts % Sales Amounts % Sales Amounts % Sales Amounts % Sales Three Months Ended Three Months Ended Six Months Ended Six Months Ended June 30, 2026 June 30, 2025 June 30, 2026 June 30, 2025</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Footnotes to Reconciliations of GAAP Net Income to Non-GAAP Net Income and GAAP Operating Income to Non-GAAP Operating Income a) Represents performance-based share-based compensation expense, including stock-settled and cash-settled awards. b) Includes employee termination benefits associated with activities related to corporate restructuring initiatives and costs to terminate certain distribution contracts from our Biolife Merger. c) Represents incremental expenses incurred to comply with the E.U. Medical Device Regulation. d) Represents costs to comply with Merit’s corporate integrity agreement with the U.S. Department of Justice. e) Represents costs associated with our Convertible Notes including the amortization of debt issuance costs and a one-time charge for additional interest incurred pursuant to Merit's obligation to remove restrictive legends. f) Includes equity method investment loss from equity investees.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Reconciliation of Reported Revenue to Constant Currency Revenue (Non-GAAP), and Constant Currency Revenue, Organic (Non-GAAP) (Unaudited; in thousands except percentages) (a) A non-GAAP financial measure. For a definition of this and other non-GAAP financial measures, see the section of this presentation entitled “Notes to Non-GAAP Financial Measures.” (b) On February 17, 2026, Merit sold certain assets relating to the DualCap product line to Health Line for $28 million, of which $25.5 million was paid to Merit at closing. % Change % Change Reported Revenue 9.5 % $ 418,843 $ 382,462 8.5 % $ 800,720 $ 737,813 Add: Impact of foreign exchange (2,987) — (10,923) — Constant Currency Revenue (a) 8.7 % $ 415,856 $ 382,462 7.0 % $ 789,797 $ 737,813 Less: Revenue from certain acquisitions — (4,660) (13,704) — Less: Revenue from divestitures (b) (5,296) — (1,644) (10,212) Constant Currency Revenue, Organic (a) 9.0 % $ 411,196 $ 377,166 6.4 % $ 774,449 $ 727,601 Three Months Ended Six Months Ended June 30, June 30, 2026 2025 2026 2025</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1"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19 Reconciliation of GAAP Gross Margin to Non-GAAP Gross Margin (Unaudited; as a percentage of reported revenue) Note: Certain percentages may not sum to totals due to rounding. 2026 2025 2026 2025 Reported Gross Margin 51.4 % 48.2 % 50.0 % 48.3 % Add back impact of: Amortization of intangibles 4.5 % 5.0 % 4.6 % 5.0 % Inventory mark-up related to acquisitions — % 0.0 % — % 0.0 % Non-GAAP Gross Margin % 53.2 55.8 % 54.6 % 53.3 % June 30, Three Months Ended Six Months Ended June 30, </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2"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Reconciliation of Reported Cash Flow from Operations to Free Cash Flow (Unaudited; in thousands) Reported Cash Flow from Operations $ 109,957 $ 123,879 Less: Capital Expenditures (34,812) (33,340) Free Cash Flow $ 76,617 $ 89,067 Six Months Ended June 30, 2026 2025</w:t>
            </w:r>
          </w:p>
        </w:tc>
      </w:tr>
    </w:tbl>
    <w:tbl>
      <w:tblPr>
        <w:tblW w:w="16546" w:type="dxa"/>
        <w:jc w:val="center"/>
        <w:tblInd w:w="0" w:type="dxa"/>
        <w:tblLayout w:type="fixed"/>
        <w:tblCellMar>
          <w:top w:w="0" w:type="dxa"/>
          <w:left w:w="0" w:type="dxa"/>
          <w:bottom w:w="0" w:type="dxa"/>
          <w:right w:w="0" w:type="dxa"/>
        </w:tblCellMar>
      </w:tblPr>
      <w:tblGrid>
        <w:gridCol w:w="23"/>
        <w:gridCol w:w="1650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3"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11128</Words>
  <Characters>64318</Characters>
  <CharactersWithSpaces>77535</CharactersWithSpaces>
  <Paragraphs>4369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