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color w:val="auto"/>
        </w:rPr>
        <w:t>As filed with the Securities and Exchange Commission on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132715</wp:posOffset>
            </wp:positionH>
            <wp:positionV relativeFrom="paragraph">
              <wp:posOffset>146685</wp:posOffset>
            </wp:positionV>
            <wp:extent cx="5454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4015" cy="1714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180340</wp:posOffset>
            </wp:positionV>
            <wp:extent cx="54540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2355215</wp:posOffset>
            </wp:positionH>
            <wp:positionV relativeFrom="paragraph">
              <wp:posOffset>80010</wp:posOffset>
            </wp:positionV>
            <wp:extent cx="10179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905" cy="17145"/>
                    </a:xfrm>
                    <a:prstGeom prst="rect">
                      <a:avLst/>
                    </a:prstGeom>
                    <a:noFill/>
                  </pic:spPr>
                </pic:pic>
              </a:graphicData>
            </a:graphic>
          </wp:anchor>
        </w:drawing>
      </w:r>
    </w:p>
    <w:p>
      <w:pPr>
        <w:spacing w:after="0" w:line="164"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0"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Under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2355215</wp:posOffset>
            </wp:positionH>
            <wp:positionV relativeFrom="paragraph">
              <wp:posOffset>71120</wp:posOffset>
            </wp:positionV>
            <wp:extent cx="1017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MERIT MEDICAL SYSTEMS,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4" w:lineRule="exact"/>
        <w:rPr>
          <w:sz w:val="24"/>
          <w:szCs w:val="24"/>
          <w:color w:val="auto"/>
        </w:rPr>
      </w:pPr>
    </w:p>
    <w:tbl>
      <w:tblPr>
        <w:tblLayout w:type="fixed"/>
        <w:tblInd w:w="1560" w:type="dxa"/>
        <w:tblCellMar>
          <w:top w:w="0" w:type="dxa"/>
          <w:left w:w="0" w:type="dxa"/>
          <w:bottom w:w="0" w:type="dxa"/>
          <w:right w:w="0" w:type="dxa"/>
        </w:tblCellMar>
      </w:tblPr>
      <w:tr>
        <w:trPr>
          <w:trHeight w:val="209"/>
        </w:trPr>
        <w:tc>
          <w:tcPr>
            <w:tcW w:w="3140" w:type="dxa"/>
            <w:vAlign w:val="bottom"/>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Utah</w:t>
            </w:r>
          </w:p>
        </w:tc>
        <w:tc>
          <w:tcPr>
            <w:tcW w:w="2400" w:type="dxa"/>
            <w:vAlign w:val="bottom"/>
          </w:tcPr>
          <w:p>
            <w:pPr>
              <w:jc w:val="center"/>
              <w:ind w:left="1137"/>
              <w:spacing w:after="0"/>
              <w:rPr>
                <w:sz w:val="20"/>
                <w:szCs w:val="20"/>
                <w:color w:val="auto"/>
              </w:rPr>
            </w:pPr>
            <w:r>
              <w:rPr>
                <w:rFonts w:ascii="Times New Roman" w:cs="Times New Roman" w:eastAsia="Times New Roman" w:hAnsi="Times New Roman"/>
                <w:sz w:val="18"/>
                <w:szCs w:val="18"/>
                <w:b w:val="1"/>
                <w:bCs w:val="1"/>
                <w:color w:val="auto"/>
                <w:w w:val="98"/>
              </w:rPr>
              <w:t>87-0447695</w:t>
            </w:r>
          </w:p>
        </w:tc>
      </w:tr>
      <w:tr>
        <w:trPr>
          <w:trHeight w:val="209"/>
        </w:trPr>
        <w:tc>
          <w:tcPr>
            <w:tcW w:w="3140" w:type="dxa"/>
            <w:vAlign w:val="bottom"/>
          </w:tcPr>
          <w:p>
            <w:pPr>
              <w:jc w:val="center"/>
              <w:ind w:right="11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400" w:type="dxa"/>
            <w:vAlign w:val="bottom"/>
          </w:tcPr>
          <w:p>
            <w:pPr>
              <w:jc w:val="center"/>
              <w:ind w:left="1137"/>
              <w:spacing w:after="0"/>
              <w:rPr>
                <w:sz w:val="20"/>
                <w:szCs w:val="20"/>
                <w:color w:val="auto"/>
              </w:rPr>
            </w:pPr>
            <w:r>
              <w:rPr>
                <w:rFonts w:ascii="Times New Roman" w:cs="Times New Roman" w:eastAsia="Times New Roman" w:hAnsi="Times New Roman"/>
                <w:sz w:val="16"/>
                <w:szCs w:val="16"/>
                <w:color w:val="auto"/>
              </w:rPr>
              <w:t>(I.R.S. Employer</w:t>
            </w:r>
          </w:p>
        </w:tc>
      </w:tr>
      <w:tr>
        <w:trPr>
          <w:trHeight w:val="214"/>
        </w:trPr>
        <w:tc>
          <w:tcPr>
            <w:tcW w:w="3140" w:type="dxa"/>
            <w:vAlign w:val="bottom"/>
          </w:tcPr>
          <w:p>
            <w:pPr>
              <w:jc w:val="center"/>
              <w:ind w:right="114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2400" w:type="dxa"/>
            <w:vAlign w:val="bottom"/>
          </w:tcPr>
          <w:p>
            <w:pPr>
              <w:jc w:val="center"/>
              <w:ind w:left="1117"/>
              <w:spacing w:after="0"/>
              <w:rPr>
                <w:sz w:val="20"/>
                <w:szCs w:val="20"/>
                <w:color w:val="auto"/>
              </w:rPr>
            </w:pPr>
            <w:r>
              <w:rPr>
                <w:rFonts w:ascii="Times New Roman" w:cs="Times New Roman" w:eastAsia="Times New Roman" w:hAnsi="Times New Roman"/>
                <w:sz w:val="16"/>
                <w:szCs w:val="16"/>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2355215</wp:posOffset>
            </wp:positionH>
            <wp:positionV relativeFrom="paragraph">
              <wp:posOffset>147955</wp:posOffset>
            </wp:positionV>
            <wp:extent cx="1017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line="274"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1600 West Merit Parkway</w:t>
      </w:r>
    </w:p>
    <w:p>
      <w:pPr>
        <w:spacing w:after="0" w:line="26"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South Jordan, Utah 84095</w:t>
      </w:r>
    </w:p>
    <w:p>
      <w:pPr>
        <w:spacing w:after="0" w:line="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Telephone: (801) 253-1600</w:t>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including Zip Code)</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Merit Medical Systems,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2026 Employee Stock Purchase Plan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0"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4080" w:type="dxa"/>
            <w:vAlign w:val="bottom"/>
          </w:tcPr>
          <w:p>
            <w:pPr>
              <w:jc w:val="center"/>
              <w:ind w:right="553"/>
              <w:spacing w:after="0"/>
              <w:rPr>
                <w:sz w:val="20"/>
                <w:szCs w:val="20"/>
                <w:color w:val="auto"/>
              </w:rPr>
            </w:pPr>
            <w:r>
              <w:rPr>
                <w:rFonts w:ascii="Times New Roman" w:cs="Times New Roman" w:eastAsia="Times New Roman" w:hAnsi="Times New Roman"/>
                <w:sz w:val="18"/>
                <w:szCs w:val="18"/>
                <w:color w:val="auto"/>
                <w:w w:val="98"/>
              </w:rPr>
              <w:t>Brian G. Lloyd</w:t>
            </w:r>
          </w:p>
        </w:tc>
        <w:tc>
          <w:tcPr>
            <w:tcW w:w="2800" w:type="dxa"/>
            <w:vAlign w:val="bottom"/>
          </w:tcPr>
          <w:p>
            <w:pPr>
              <w:jc w:val="center"/>
              <w:ind w:left="552"/>
              <w:spacing w:after="0"/>
              <w:rPr>
                <w:sz w:val="20"/>
                <w:szCs w:val="20"/>
                <w:color w:val="auto"/>
              </w:rPr>
            </w:pPr>
            <w:r>
              <w:rPr>
                <w:rFonts w:ascii="Times New Roman" w:cs="Times New Roman" w:eastAsia="Times New Roman" w:hAnsi="Times New Roman"/>
                <w:sz w:val="16"/>
                <w:szCs w:val="16"/>
                <w:color w:val="auto"/>
              </w:rPr>
              <w:t>Copy to:</w:t>
            </w:r>
          </w:p>
        </w:tc>
      </w:tr>
      <w:tr>
        <w:trPr>
          <w:trHeight w:val="214"/>
        </w:trPr>
        <w:tc>
          <w:tcPr>
            <w:tcW w:w="408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Chief Legal Officer and Corporate Secretary</w:t>
            </w:r>
          </w:p>
        </w:tc>
        <w:tc>
          <w:tcPr>
            <w:tcW w:w="2800" w:type="dxa"/>
            <w:vAlign w:val="bottom"/>
          </w:tcPr>
          <w:p>
            <w:pPr>
              <w:spacing w:after="0"/>
              <w:rPr>
                <w:sz w:val="18"/>
                <w:szCs w:val="18"/>
                <w:color w:val="auto"/>
              </w:rPr>
            </w:pPr>
          </w:p>
        </w:tc>
      </w:tr>
      <w:tr>
        <w:trPr>
          <w:trHeight w:val="200"/>
        </w:trPr>
        <w:tc>
          <w:tcPr>
            <w:tcW w:w="4080" w:type="dxa"/>
            <w:vAlign w:val="bottom"/>
          </w:tcPr>
          <w:p>
            <w:pPr>
              <w:jc w:val="center"/>
              <w:ind w:right="533"/>
              <w:spacing w:after="0" w:line="201" w:lineRule="exact"/>
              <w:rPr>
                <w:sz w:val="20"/>
                <w:szCs w:val="20"/>
                <w:color w:val="auto"/>
              </w:rPr>
            </w:pPr>
            <w:r>
              <w:rPr>
                <w:rFonts w:ascii="Times New Roman" w:cs="Times New Roman" w:eastAsia="Times New Roman" w:hAnsi="Times New Roman"/>
                <w:sz w:val="18"/>
                <w:szCs w:val="18"/>
                <w:color w:val="auto"/>
                <w:w w:val="98"/>
              </w:rPr>
              <w:t>Merit Medical Systems, Inc.</w:t>
            </w:r>
          </w:p>
        </w:tc>
        <w:tc>
          <w:tcPr>
            <w:tcW w:w="2800" w:type="dxa"/>
            <w:vAlign w:val="bottom"/>
          </w:tcPr>
          <w:p>
            <w:pPr>
              <w:jc w:val="center"/>
              <w:ind w:left="552"/>
              <w:spacing w:after="0" w:line="201" w:lineRule="exact"/>
              <w:rPr>
                <w:sz w:val="20"/>
                <w:szCs w:val="20"/>
                <w:color w:val="auto"/>
              </w:rPr>
            </w:pPr>
            <w:r>
              <w:rPr>
                <w:rFonts w:ascii="Times New Roman" w:cs="Times New Roman" w:eastAsia="Times New Roman" w:hAnsi="Times New Roman"/>
                <w:sz w:val="18"/>
                <w:szCs w:val="18"/>
                <w:color w:val="auto"/>
                <w:w w:val="99"/>
              </w:rPr>
              <w:t>Bryan Allen</w:t>
            </w:r>
          </w:p>
        </w:tc>
      </w:tr>
      <w:tr>
        <w:trPr>
          <w:trHeight w:val="214"/>
        </w:trPr>
        <w:tc>
          <w:tcPr>
            <w:tcW w:w="408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1600 West Merit Parkway</w:t>
            </w:r>
          </w:p>
        </w:tc>
        <w:tc>
          <w:tcPr>
            <w:tcW w:w="28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Parr Brown Gee &amp; Loveless</w:t>
            </w:r>
          </w:p>
        </w:tc>
      </w:tr>
      <w:tr>
        <w:trPr>
          <w:trHeight w:val="214"/>
        </w:trPr>
        <w:tc>
          <w:tcPr>
            <w:tcW w:w="4080" w:type="dxa"/>
            <w:vAlign w:val="bottom"/>
          </w:tcPr>
          <w:p>
            <w:pPr>
              <w:jc w:val="center"/>
              <w:ind w:right="533"/>
              <w:spacing w:after="0"/>
              <w:rPr>
                <w:sz w:val="20"/>
                <w:szCs w:val="20"/>
                <w:color w:val="auto"/>
              </w:rPr>
            </w:pPr>
            <w:r>
              <w:rPr>
                <w:rFonts w:ascii="Times New Roman" w:cs="Times New Roman" w:eastAsia="Times New Roman" w:hAnsi="Times New Roman"/>
                <w:sz w:val="18"/>
                <w:szCs w:val="18"/>
                <w:color w:val="auto"/>
                <w:w w:val="98"/>
              </w:rPr>
              <w:t>South Jordan, Utah 84095</w:t>
            </w:r>
          </w:p>
        </w:tc>
        <w:tc>
          <w:tcPr>
            <w:tcW w:w="28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101 South 200 East, Suite 700</w:t>
            </w:r>
          </w:p>
        </w:tc>
      </w:tr>
      <w:tr>
        <w:trPr>
          <w:trHeight w:val="200"/>
        </w:trPr>
        <w:tc>
          <w:tcPr>
            <w:tcW w:w="4080" w:type="dxa"/>
            <w:vAlign w:val="bottom"/>
          </w:tcPr>
          <w:p>
            <w:pPr>
              <w:jc w:val="center"/>
              <w:ind w:right="493"/>
              <w:spacing w:after="0" w:line="201" w:lineRule="exact"/>
              <w:rPr>
                <w:sz w:val="20"/>
                <w:szCs w:val="20"/>
                <w:color w:val="auto"/>
              </w:rPr>
            </w:pPr>
            <w:r>
              <w:rPr>
                <w:rFonts w:ascii="Times New Roman" w:cs="Times New Roman" w:eastAsia="Times New Roman" w:hAnsi="Times New Roman"/>
                <w:sz w:val="18"/>
                <w:szCs w:val="18"/>
                <w:color w:val="auto"/>
                <w:w w:val="97"/>
              </w:rPr>
              <w:t>(801) 253-1600</w:t>
            </w:r>
          </w:p>
        </w:tc>
        <w:tc>
          <w:tcPr>
            <w:tcW w:w="2800" w:type="dxa"/>
            <w:vAlign w:val="bottom"/>
          </w:tcPr>
          <w:p>
            <w:pPr>
              <w:jc w:val="center"/>
              <w:ind w:left="552"/>
              <w:spacing w:after="0" w:line="201" w:lineRule="exact"/>
              <w:rPr>
                <w:sz w:val="20"/>
                <w:szCs w:val="20"/>
                <w:color w:val="auto"/>
              </w:rPr>
            </w:pPr>
            <w:r>
              <w:rPr>
                <w:rFonts w:ascii="Times New Roman" w:cs="Times New Roman" w:eastAsia="Times New Roman" w:hAnsi="Times New Roman"/>
                <w:sz w:val="18"/>
                <w:szCs w:val="18"/>
                <w:color w:val="auto"/>
                <w:w w:val="97"/>
              </w:rPr>
              <w:t>Salt Lake City, Utah 84111</w:t>
            </w:r>
          </w:p>
        </w:tc>
      </w:tr>
      <w:tr>
        <w:trPr>
          <w:trHeight w:val="218"/>
        </w:trPr>
        <w:tc>
          <w:tcPr>
            <w:tcW w:w="4080" w:type="dxa"/>
            <w:vAlign w:val="bottom"/>
          </w:tcPr>
          <w:p>
            <w:pPr>
              <w:jc w:val="center"/>
              <w:ind w:right="533"/>
              <w:spacing w:after="0"/>
              <w:rPr>
                <w:sz w:val="20"/>
                <w:szCs w:val="20"/>
                <w:color w:val="auto"/>
              </w:rPr>
            </w:pPr>
            <w:r>
              <w:rPr>
                <w:rFonts w:ascii="Times New Roman" w:cs="Times New Roman" w:eastAsia="Times New Roman" w:hAnsi="Times New Roman"/>
                <w:sz w:val="16"/>
                <w:szCs w:val="16"/>
                <w:color w:val="auto"/>
              </w:rPr>
              <w:t>(Name, address and telephone number, including area</w:t>
            </w:r>
          </w:p>
        </w:tc>
        <w:tc>
          <w:tcPr>
            <w:tcW w:w="280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9"/>
              </w:rPr>
              <w:t>(801) 532-7840</w:t>
            </w:r>
          </w:p>
        </w:tc>
      </w:tr>
      <w:tr>
        <w:trPr>
          <w:trHeight w:val="209"/>
        </w:trPr>
        <w:tc>
          <w:tcPr>
            <w:tcW w:w="4080" w:type="dxa"/>
            <w:vAlign w:val="bottom"/>
          </w:tcPr>
          <w:p>
            <w:pPr>
              <w:jc w:val="center"/>
              <w:ind w:right="553"/>
              <w:spacing w:after="0"/>
              <w:rPr>
                <w:sz w:val="20"/>
                <w:szCs w:val="20"/>
                <w:color w:val="auto"/>
              </w:rPr>
            </w:pPr>
            <w:r>
              <w:rPr>
                <w:rFonts w:ascii="Times New Roman" w:cs="Times New Roman" w:eastAsia="Times New Roman" w:hAnsi="Times New Roman"/>
                <w:sz w:val="16"/>
                <w:szCs w:val="16"/>
                <w:color w:val="auto"/>
              </w:rPr>
              <w:t>code, of agent for service)</w:t>
            </w:r>
          </w:p>
        </w:tc>
        <w:tc>
          <w:tcPr>
            <w:tcW w:w="280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2355215</wp:posOffset>
            </wp:positionH>
            <wp:positionV relativeFrom="paragraph">
              <wp:posOffset>224155</wp:posOffset>
            </wp:positionV>
            <wp:extent cx="10179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790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00" w:right="279" w:firstLine="641"/>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1" w:lineRule="exact"/>
        <w:rPr>
          <w:sz w:val="24"/>
          <w:szCs w:val="24"/>
          <w:color w:val="auto"/>
        </w:rPr>
      </w:pPr>
    </w:p>
    <w:tbl>
      <w:tblPr>
        <w:tblLayout w:type="fixed"/>
        <w:tblInd w:w="1180" w:type="dxa"/>
        <w:tblCellMar>
          <w:top w:w="0" w:type="dxa"/>
          <w:left w:w="0" w:type="dxa"/>
          <w:bottom w:w="0" w:type="dxa"/>
          <w:right w:w="0" w:type="dxa"/>
        </w:tblCellMar>
      </w:tblPr>
      <w:tr>
        <w:trPr>
          <w:trHeight w:val="301"/>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w w:val="97"/>
              </w:rPr>
              <w:t>Large accelerated filer</w:t>
            </w:r>
          </w:p>
        </w:tc>
        <w:tc>
          <w:tcPr>
            <w:tcW w:w="1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1"/>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w w:val="99"/>
              </w:rPr>
              <w:t xml:space="preserve">Smaller reporting company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2320" w:type="dxa"/>
            <w:vAlign w:val="bottom"/>
            <w:vMerge w:val="restart"/>
          </w:tcPr>
          <w:p>
            <w:pPr>
              <w:ind w:left="120"/>
              <w:spacing w:after="0" w:line="207" w:lineRule="exact"/>
              <w:rPr>
                <w:sz w:val="20"/>
                <w:szCs w:val="20"/>
                <w:color w:val="auto"/>
              </w:rPr>
            </w:pPr>
            <w:r>
              <w:rPr>
                <w:rFonts w:ascii="Times New Roman" w:cs="Times New Roman" w:eastAsia="Times New Roman" w:hAnsi="Times New Roman"/>
                <w:sz w:val="18"/>
                <w:szCs w:val="18"/>
                <w:color w:val="auto"/>
                <w:w w:val="99"/>
              </w:rPr>
              <w:t xml:space="preserve">Emerging growth company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2"/>
        </w:trPr>
        <w:tc>
          <w:tcPr>
            <w:tcW w:w="16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jc w:val="both"/>
        <w:ind w:left="200" w:right="2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registration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132715</wp:posOffset>
            </wp:positionH>
            <wp:positionV relativeFrom="paragraph">
              <wp:posOffset>645160</wp:posOffset>
            </wp:positionV>
            <wp:extent cx="54540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4015" cy="1714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119380</wp:posOffset>
            </wp:positionV>
            <wp:extent cx="54540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4015" cy="1714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153035</wp:posOffset>
            </wp:positionV>
            <wp:extent cx="54540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ectPr>
          <w:pgSz w:w="11900" w:h="16838" w:orient="portrait"/>
          <w:cols w:equalWidth="0" w:num="1">
            <w:col w:w="9019"/>
          </w:cols>
          <w:pgMar w:left="1440" w:top="660"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 Plan Information.</w:t>
      </w:r>
    </w:p>
    <w:p>
      <w:pPr>
        <w:spacing w:after="0" w:line="224"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1 is omitted from this registration statement and included in documents sent or given to participants in the plans covered by this registration statement pursuant to Rule 428(b)(1) of the Securities Act of 1933, as amended (the “Securities Act”) and the Note to Part I of Form S-8.</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4"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The written statement required by Item 2 is omitted from this registration statement and included in documents sent or given to participants in the plans covered by this registration statement pursuant to Rule 428(b)(1) of the Securities Act and the Note to Part I of Form S-8.</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left="200" w:right="219" w:firstLine="641"/>
        <w:spacing w:after="0" w:line="277" w:lineRule="auto"/>
        <w:rPr>
          <w:sz w:val="20"/>
          <w:szCs w:val="20"/>
          <w:color w:val="auto"/>
        </w:rPr>
      </w:pPr>
      <w:r>
        <w:rPr>
          <w:rFonts w:ascii="Times New Roman" w:cs="Times New Roman" w:eastAsia="Times New Roman" w:hAnsi="Times New Roman"/>
          <w:sz w:val="18"/>
          <w:szCs w:val="18"/>
          <w:color w:val="auto"/>
        </w:rPr>
        <w:t>The following documents filed by the Registrant with the Commission are hereby incorporated herein by reference:</w:t>
      </w:r>
    </w:p>
    <w:p>
      <w:pPr>
        <w:spacing w:after="0" w:line="163" w:lineRule="exact"/>
        <w:rPr>
          <w:sz w:val="20"/>
          <w:szCs w:val="20"/>
          <w:color w:val="auto"/>
        </w:rPr>
      </w:pPr>
    </w:p>
    <w:p>
      <w:pPr>
        <w:ind w:left="1500" w:right="239" w:hanging="651"/>
        <w:spacing w:after="0" w:line="277" w:lineRule="auto"/>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Form 10-K for the year ended December 31, 2025 filed with the Commission on </w:t>
      </w:r>
      <w:hyperlink r:id="rId17">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“2026 Annual Report”);</w:t>
      </w:r>
    </w:p>
    <w:p>
      <w:pPr>
        <w:spacing w:after="0" w:line="163" w:lineRule="exact"/>
        <w:rPr>
          <w:rFonts w:ascii="Times New Roman" w:cs="Times New Roman" w:eastAsia="Times New Roman" w:hAnsi="Times New Roman"/>
          <w:sz w:val="18"/>
          <w:szCs w:val="18"/>
          <w:color w:val="auto"/>
        </w:rPr>
      </w:pPr>
    </w:p>
    <w:p>
      <w:pPr>
        <w:jc w:val="both"/>
        <w:ind w:left="1500" w:right="219" w:hanging="651"/>
        <w:spacing w:after="0" w:line="262" w:lineRule="auto"/>
        <w:tabs>
          <w:tab w:leader="none" w:pos="15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referenced into the 2026 Annual Report from the </w:t>
      </w:r>
      <w:hyperlink r:id="rId18">
        <w:r>
          <w:rPr>
            <w:rFonts w:ascii="Times New Roman" w:cs="Times New Roman" w:eastAsia="Times New Roman" w:hAnsi="Times New Roman"/>
            <w:sz w:val="18"/>
            <w:szCs w:val="18"/>
            <w:color w:val="auto"/>
          </w:rPr>
          <w:t xml:space="preserve">Registrant’s Definitive Proxy Statement on Schedule 14A filed with the Commission on </w:t>
        </w:r>
        <w:r>
          <w:rPr>
            <w:rFonts w:ascii="Times New Roman" w:cs="Times New Roman" w:eastAsia="Times New Roman" w:hAnsi="Times New Roman"/>
            <w:sz w:val="18"/>
            <w:szCs w:val="18"/>
            <w:u w:val="single" w:color="auto"/>
            <w:color w:val="0000EE"/>
          </w:rPr>
          <w:t>March 31,</w:t>
        </w:r>
      </w:hyperlink>
      <w:r>
        <w:rPr>
          <w:rFonts w:ascii="Times New Roman" w:cs="Times New Roman" w:eastAsia="Times New Roman" w:hAnsi="Times New Roman"/>
          <w:sz w:val="18"/>
          <w:szCs w:val="18"/>
          <w:color w:val="auto"/>
        </w:rPr>
        <w:t xml:space="preserve"> </w:t>
      </w:r>
      <w:hyperlink r:id="rId18">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w:t>
        </w:r>
      </w:hyperlink>
    </w:p>
    <w:p>
      <w:pPr>
        <w:spacing w:after="0" w:line="177" w:lineRule="exact"/>
        <w:rPr>
          <w:rFonts w:ascii="Times New Roman" w:cs="Times New Roman" w:eastAsia="Times New Roman" w:hAnsi="Times New Roman"/>
          <w:sz w:val="18"/>
          <w:szCs w:val="18"/>
          <w:color w:val="0000EE"/>
        </w:rPr>
      </w:pPr>
    </w:p>
    <w:p>
      <w:pPr>
        <w:ind w:left="1500" w:right="219" w:hanging="651"/>
        <w:spacing w:after="0" w:line="277" w:lineRule="auto"/>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Form 10-Q for the fiscal quarter ended March 31, 2026, filed with the Commission on </w:t>
      </w:r>
      <w:hyperlink r:id="rId19">
        <w:r>
          <w:rPr>
            <w:rFonts w:ascii="Times New Roman" w:cs="Times New Roman" w:eastAsia="Times New Roman" w:hAnsi="Times New Roman"/>
            <w:sz w:val="18"/>
            <w:szCs w:val="18"/>
            <w:u w:val="single" w:color="auto"/>
            <w:color w:val="0000EE"/>
          </w:rPr>
          <w:t>April 30, 2026</w:t>
        </w:r>
      </w:hyperlink>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left="1500" w:right="239" w:hanging="651"/>
        <w:spacing w:after="0" w:line="262" w:lineRule="auto"/>
        <w:tabs>
          <w:tab w:leader="none" w:pos="150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Registrant’s Current Reports on Form 8-K, other than with respect to Items 2.02 or 7.01, filed </w:t>
      </w:r>
      <w:hyperlink r:id="rId20">
        <w:r>
          <w:rPr>
            <w:rFonts w:ascii="Times New Roman" w:cs="Times New Roman" w:eastAsia="Times New Roman" w:hAnsi="Times New Roman"/>
            <w:sz w:val="18"/>
            <w:szCs w:val="18"/>
            <w:color w:val="auto"/>
          </w:rPr>
          <w:t xml:space="preserve">with the Commission on </w:t>
        </w:r>
        <w:r>
          <w:rPr>
            <w:rFonts w:ascii="Times New Roman" w:cs="Times New Roman" w:eastAsia="Times New Roman" w:hAnsi="Times New Roman"/>
            <w:sz w:val="18"/>
            <w:szCs w:val="18"/>
            <w:u w:val="single" w:color="auto"/>
            <w:color w:val="0000EE"/>
          </w:rPr>
          <w:t>January 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24,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May 19, 2026</w:t>
        </w:r>
      </w:hyperlink>
      <w:hyperlink r:id="rId20">
        <w:r>
          <w:rPr>
            <w:rFonts w:ascii="Times New Roman" w:cs="Times New Roman" w:eastAsia="Times New Roman" w:hAnsi="Times New Roman"/>
            <w:sz w:val="18"/>
            <w:szCs w:val="18"/>
            <w:color w:val="000000"/>
          </w:rPr>
          <w:t>; and</w:t>
        </w:r>
      </w:hyperlink>
    </w:p>
    <w:p>
      <w:pPr>
        <w:spacing w:after="0" w:line="177" w:lineRule="exact"/>
        <w:rPr>
          <w:rFonts w:ascii="Times New Roman" w:cs="Times New Roman" w:eastAsia="Times New Roman" w:hAnsi="Times New Roman"/>
          <w:sz w:val="18"/>
          <w:szCs w:val="18"/>
          <w:color w:val="0000EE"/>
        </w:rPr>
      </w:pPr>
    </w:p>
    <w:p>
      <w:pPr>
        <w:jc w:val="both"/>
        <w:ind w:left="1500" w:right="239" w:hanging="651"/>
        <w:spacing w:after="0" w:line="262" w:lineRule="auto"/>
        <w:tabs>
          <w:tab w:leader="none" w:pos="1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Common Stock contained in the Registrant’s Registration Statement on Form 8-A filed with the Commission on May 11, 1990, including any amendment or report filed for the purpose of updating such description.</w:t>
      </w:r>
    </w:p>
    <w:p>
      <w:pPr>
        <w:spacing w:after="0" w:line="177" w:lineRule="exact"/>
        <w:rPr>
          <w:rFonts w:ascii="Times New Roman" w:cs="Times New Roman" w:eastAsia="Times New Roman" w:hAnsi="Times New Roman"/>
          <w:sz w:val="18"/>
          <w:szCs w:val="18"/>
          <w:color w:val="0000EE"/>
        </w:rPr>
      </w:pPr>
    </w:p>
    <w:p>
      <w:pPr>
        <w:jc w:val="both"/>
        <w:ind w:left="200" w:right="219" w:firstLine="641"/>
        <w:spacing w:after="0" w:line="251" w:lineRule="auto"/>
        <w:rPr>
          <w:sz w:val="20"/>
          <w:szCs w:val="20"/>
          <w:color w:val="auto"/>
        </w:rPr>
      </w:pPr>
      <w:r>
        <w:rPr>
          <w:rFonts w:ascii="Times New Roman" w:cs="Times New Roman" w:eastAsia="Times New Roman" w:hAnsi="Times New Roman"/>
          <w:sz w:val="18"/>
          <w:szCs w:val="18"/>
          <w:color w:val="auto"/>
        </w:rPr>
        <w:t>In addition, all documents subsequently filed by the Registrant pursuant to Sections 13(a), 13(c), 14 and 15(d) of the Securities Exchange Act of 1934, as amended (the “Exchange Act”), other than documents or information deemed to have been furnished and not filed in accordance with SEC rules,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of such documents. Any statement contained in a document incorporated by reference herein shall be deemed to be modified or superseded for purposes hereof to the extent that a statement contained herein (or in any other subsequently filed document which is also incorporated by reference herein) modifies or supersedes such statement. Any statement so modified or superseded shall not be deemed to constitute a part hereof except as so modified or superseded.</w:t>
      </w:r>
    </w:p>
    <w:p>
      <w:pPr>
        <w:spacing w:after="0" w:line="186" w:lineRule="exact"/>
        <w:rPr>
          <w:rFonts w:ascii="Times New Roman" w:cs="Times New Roman" w:eastAsia="Times New Roman" w:hAnsi="Times New Roman"/>
          <w:sz w:val="18"/>
          <w:szCs w:val="18"/>
          <w:color w:val="0000EE"/>
        </w:rPr>
      </w:pPr>
    </w:p>
    <w:p>
      <w:pPr>
        <w:jc w:val="both"/>
        <w:ind w:left="200" w:right="219" w:firstLine="641"/>
        <w:spacing w:after="0" w:line="277"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Items 2.02 or 7.01 of Form 8-K be deemed incorporated herein by reference unless such Form 8-K expressly provides to the contrary.</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132715</wp:posOffset>
            </wp:positionH>
            <wp:positionV relativeFrom="paragraph">
              <wp:posOffset>454660</wp:posOffset>
            </wp:positionV>
            <wp:extent cx="54540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331"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The Registrant is a Utah corporation subject to the provisions of the Utah Revised Business Corporation Act (the “Utah Act”), which includes provisions related to indemnification of directors and officers, the key terms of which are summarized below. Each of the sections identified below are sections of the Utah Code and part of the Utah Act.</w:t>
      </w:r>
    </w:p>
    <w:p>
      <w:pPr>
        <w:spacing w:after="0" w:line="70" w:lineRule="exact"/>
        <w:rPr>
          <w:sz w:val="20"/>
          <w:szCs w:val="20"/>
          <w:color w:val="auto"/>
        </w:rPr>
      </w:pPr>
    </w:p>
    <w:p>
      <w:pPr>
        <w:jc w:val="both"/>
        <w:ind w:left="200" w:right="219" w:firstLine="641"/>
        <w:spacing w:after="0" w:line="252" w:lineRule="auto"/>
        <w:rPr>
          <w:sz w:val="20"/>
          <w:szCs w:val="20"/>
          <w:color w:val="auto"/>
        </w:rPr>
      </w:pPr>
      <w:r>
        <w:rPr>
          <w:rFonts w:ascii="Times New Roman" w:cs="Times New Roman" w:eastAsia="Times New Roman" w:hAnsi="Times New Roman"/>
          <w:sz w:val="18"/>
          <w:szCs w:val="18"/>
          <w:color w:val="auto"/>
        </w:rPr>
        <w:t>Section 16-10a-902 allows a corporation to indemnify any individual made a party to a proceeding because he or she is or was a director of the corporation if (a) his or her conduct was in good faith, (b) he or she reasonably believed that his or her conduct was in, or not opposed to, the best interests of the corporation, and (c) in the case of any criminal proceeding, he or she had no reasonable cause to believe such conduct was unlawful. If the proceeding is by or in the right of the corporation, such indemnification is limited to reasonable expenses (including attorney’s fees) incurred in connection with any such proceeding. The above notwithstanding, Section 16-10a-902(4)-(5) provides that the corporation may not indemnify a director in connection with:</w:t>
      </w:r>
    </w:p>
    <w:p>
      <w:pPr>
        <w:spacing w:after="0" w:line="82" w:lineRule="exact"/>
        <w:rPr>
          <w:sz w:val="20"/>
          <w:szCs w:val="20"/>
          <w:color w:val="auto"/>
        </w:rPr>
      </w:pPr>
    </w:p>
    <w:p>
      <w:pPr>
        <w:ind w:left="1500" w:right="219" w:hanging="651"/>
        <w:spacing w:after="0" w:line="277"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brought by or in the right of the corporation (including any derivative actions) if that director was adjudged liable to the corporation; and</w:t>
      </w:r>
    </w:p>
    <w:p>
      <w:pPr>
        <w:spacing w:after="0" w:line="163" w:lineRule="exact"/>
        <w:rPr>
          <w:rFonts w:ascii="Times New Roman" w:cs="Times New Roman" w:eastAsia="Times New Roman" w:hAnsi="Times New Roman"/>
          <w:sz w:val="18"/>
          <w:szCs w:val="18"/>
          <w:color w:val="auto"/>
        </w:rPr>
      </w:pPr>
    </w:p>
    <w:p>
      <w:pPr>
        <w:jc w:val="both"/>
        <w:ind w:left="1500" w:right="219" w:hanging="651"/>
        <w:spacing w:after="0" w:line="26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proceeding charging that the director derived an improper personal benefit, whether or not involving action in his or her official capacity, in which proceeding he or she was adjudged liable on the basis that he or she derived an improper personal benefit.</w:t>
      </w:r>
    </w:p>
    <w:p>
      <w:pPr>
        <w:spacing w:after="0" w:line="70" w:lineRule="exact"/>
        <w:rPr>
          <w:sz w:val="20"/>
          <w:szCs w:val="20"/>
          <w:color w:val="auto"/>
        </w:rPr>
      </w:pPr>
    </w:p>
    <w:p>
      <w:pPr>
        <w:jc w:val="both"/>
        <w:ind w:left="200" w:right="219" w:firstLine="641"/>
        <w:spacing w:after="0" w:line="255" w:lineRule="auto"/>
        <w:rPr>
          <w:sz w:val="20"/>
          <w:szCs w:val="20"/>
          <w:color w:val="auto"/>
        </w:rPr>
      </w:pPr>
      <w:r>
        <w:rPr>
          <w:rFonts w:ascii="Times New Roman" w:cs="Times New Roman" w:eastAsia="Times New Roman" w:hAnsi="Times New Roman"/>
          <w:sz w:val="18"/>
          <w:szCs w:val="18"/>
          <w:color w:val="auto"/>
        </w:rPr>
        <w:t>Section 16-10a-903 provides that, unless limited by its articles of incorporation, a corporation must indemnify a director who is successful, on the merits or otherwise, in the defense of any proceeding, or in the defense of any claim, issue or matter in the proceeding, to which he or she was a party because he or she is or was a director of the corporation, against reasonable expenses (including attorneys’ fees) incurred in connection with the proceeding or claim with respect to which he or she has been successful.</w:t>
      </w:r>
    </w:p>
    <w:p>
      <w:pPr>
        <w:spacing w:after="0" w:line="76"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Section 16-10a-904 allows a corporation to pay for or reimburse the reasonable expenses (including attorneys’ fees) incurred by a director who is a party to a proceeding in advance of the final disposition of the proceeding upon certain affirmations, undertakings and determinations required thereunder.</w:t>
      </w:r>
    </w:p>
    <w:p>
      <w:pPr>
        <w:spacing w:after="0" w:line="70" w:lineRule="exact"/>
        <w:rPr>
          <w:sz w:val="20"/>
          <w:szCs w:val="20"/>
          <w:color w:val="auto"/>
        </w:rPr>
      </w:pPr>
    </w:p>
    <w:p>
      <w:pPr>
        <w:jc w:val="both"/>
        <w:ind w:left="200" w:right="219" w:firstLine="641"/>
        <w:spacing w:after="0" w:line="255" w:lineRule="auto"/>
        <w:rPr>
          <w:sz w:val="20"/>
          <w:szCs w:val="20"/>
          <w:color w:val="auto"/>
        </w:rPr>
      </w:pPr>
      <w:r>
        <w:rPr>
          <w:rFonts w:ascii="Times New Roman" w:cs="Times New Roman" w:eastAsia="Times New Roman" w:hAnsi="Times New Roman"/>
          <w:sz w:val="18"/>
          <w:szCs w:val="18"/>
          <w:color w:val="auto"/>
        </w:rPr>
        <w:t>Section 16-10a-905 provides that, unless otherwise limited by a corporation’s articles of incorporation, a director who is or was a party to a proceeding may apply for indemnification to the court conducting the proceeding or to another court of competent jurisdiction. The court may order such indemnification if it determines that the director is entitled to mandatory indemnification under Section 16-10a-903 or is otherwise fairly and reasonably entitled to indemnification in view of all the relevant circumstances.</w:t>
      </w:r>
    </w:p>
    <w:p>
      <w:pPr>
        <w:spacing w:after="0" w:line="76" w:lineRule="exact"/>
        <w:rPr>
          <w:sz w:val="20"/>
          <w:szCs w:val="20"/>
          <w:color w:val="auto"/>
        </w:rPr>
      </w:pPr>
    </w:p>
    <w:p>
      <w:pPr>
        <w:jc w:val="both"/>
        <w:ind w:left="200" w:right="219" w:firstLine="641"/>
        <w:spacing w:after="0" w:line="257" w:lineRule="auto"/>
        <w:rPr>
          <w:sz w:val="20"/>
          <w:szCs w:val="20"/>
          <w:color w:val="auto"/>
        </w:rPr>
      </w:pPr>
      <w:r>
        <w:rPr>
          <w:rFonts w:ascii="Times New Roman" w:cs="Times New Roman" w:eastAsia="Times New Roman" w:hAnsi="Times New Roman"/>
          <w:sz w:val="18"/>
          <w:szCs w:val="18"/>
          <w:color w:val="auto"/>
        </w:rPr>
        <w:t>Section 16-10a-906 provides a corporation may only indemnify a director pursuant to Section 16-10a-902 if a determination is made in the specific proceeding that indemnification is permissible in the circumstances and such indemnification is authorized by the corporation. Similarly, authorization is required for a corporation to advance expenses under Section 16-10a-904.</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16-10a-907 provides that, unless otherwise limited by a corporation’s articles of incorporation:</w:t>
      </w:r>
    </w:p>
    <w:p>
      <w:pPr>
        <w:spacing w:after="0" w:line="114" w:lineRule="exact"/>
        <w:rPr>
          <w:sz w:val="20"/>
          <w:szCs w:val="20"/>
          <w:color w:val="auto"/>
        </w:rPr>
      </w:pPr>
    </w:p>
    <w:p>
      <w:pPr>
        <w:jc w:val="both"/>
        <w:ind w:left="1500" w:right="219" w:hanging="651"/>
        <w:spacing w:after="0" w:line="26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of the corporation is entitled to mandatory indemnification under Section 16-10a-903 and is entitled to apply for court-ordered indemnification under Section 16-10a-905, in each case to the same extent as a director;</w:t>
      </w:r>
    </w:p>
    <w:p>
      <w:pPr>
        <w:spacing w:after="0" w:line="177" w:lineRule="exact"/>
        <w:rPr>
          <w:rFonts w:ascii="Times New Roman" w:cs="Times New Roman" w:eastAsia="Times New Roman" w:hAnsi="Times New Roman"/>
          <w:sz w:val="18"/>
          <w:szCs w:val="18"/>
          <w:color w:val="auto"/>
        </w:rPr>
      </w:pPr>
    </w:p>
    <w:p>
      <w:pPr>
        <w:ind w:left="1500" w:right="239" w:hanging="651"/>
        <w:spacing w:after="0" w:line="277"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indemnify and advance expenses to an officer, employee, fiduciary or agent of the corporation to the same extent as a director; and</w:t>
      </w:r>
    </w:p>
    <w:p>
      <w:pPr>
        <w:spacing w:after="0" w:line="163" w:lineRule="exact"/>
        <w:rPr>
          <w:rFonts w:ascii="Times New Roman" w:cs="Times New Roman" w:eastAsia="Times New Roman" w:hAnsi="Times New Roman"/>
          <w:sz w:val="18"/>
          <w:szCs w:val="18"/>
          <w:color w:val="auto"/>
        </w:rPr>
      </w:pPr>
    </w:p>
    <w:p>
      <w:pPr>
        <w:jc w:val="both"/>
        <w:ind w:left="1500" w:right="219" w:hanging="651"/>
        <w:spacing w:after="0" w:line="262" w:lineRule="auto"/>
        <w:tabs>
          <w:tab w:leader="none" w:pos="1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may also indemnify and advance expenses to an officer, employee, fiduciary or agent who is not a director to a greater extent than the right of indemnification granted to a director, if not inconsistent with public policy and if provided for by its articles of incorporation, bylaws,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327660</wp:posOffset>
            </wp:positionV>
            <wp:extent cx="54540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1500"/>
        <w:spacing w:after="0"/>
        <w:rPr>
          <w:sz w:val="20"/>
          <w:szCs w:val="20"/>
          <w:color w:val="auto"/>
        </w:rPr>
      </w:pPr>
      <w:r>
        <w:rPr>
          <w:rFonts w:ascii="Times New Roman" w:cs="Times New Roman" w:eastAsia="Times New Roman" w:hAnsi="Times New Roman"/>
          <w:sz w:val="18"/>
          <w:szCs w:val="18"/>
          <w:color w:val="auto"/>
        </w:rPr>
        <w:t>or specific action of its board of directors or contract.</w:t>
      </w:r>
    </w:p>
    <w:p>
      <w:pPr>
        <w:spacing w:after="0" w:line="114" w:lineRule="exact"/>
        <w:rPr>
          <w:sz w:val="20"/>
          <w:szCs w:val="20"/>
          <w:color w:val="auto"/>
        </w:rPr>
      </w:pPr>
    </w:p>
    <w:p>
      <w:pPr>
        <w:jc w:val="both"/>
        <w:ind w:left="200" w:right="219" w:firstLine="641"/>
        <w:spacing w:after="0" w:line="252" w:lineRule="auto"/>
        <w:rPr>
          <w:sz w:val="20"/>
          <w:szCs w:val="20"/>
          <w:color w:val="auto"/>
        </w:rPr>
      </w:pPr>
      <w:r>
        <w:rPr>
          <w:rFonts w:ascii="Times New Roman" w:cs="Times New Roman" w:eastAsia="Times New Roman" w:hAnsi="Times New Roman"/>
          <w:sz w:val="18"/>
          <w:szCs w:val="18"/>
          <w:color w:val="auto"/>
        </w:rPr>
        <w:t>Section 16-10a-908 allows a corporation to purchase and maintain liability insurance on behalf of a person who is or was a director, officer, employee, fiduciary or agent of the corporation or who, while serving in any such capacity, is or was serving at the request of the corporation as a director, officer, partner, trustee, employee, fiduciary, or agent of another foreign or domestic corporation or other person, or of an employee benefit plan, in each case, against liability asserted against or incurred by the individual in that capacity or arising from his or her status as such. Such insurance may be purchased and maintained whether or not the corporation would have the power to indemnify any such person against the same liability under Sections 16-10a-902, 903 or 907.</w:t>
      </w:r>
    </w:p>
    <w:p>
      <w:pPr>
        <w:spacing w:after="0" w:line="82" w:lineRule="exact"/>
        <w:rPr>
          <w:sz w:val="20"/>
          <w:szCs w:val="20"/>
          <w:color w:val="auto"/>
        </w:rPr>
      </w:pPr>
    </w:p>
    <w:p>
      <w:pPr>
        <w:jc w:val="both"/>
        <w:ind w:left="200" w:right="219" w:firstLine="641"/>
        <w:spacing w:after="0" w:line="253" w:lineRule="auto"/>
        <w:rPr>
          <w:sz w:val="20"/>
          <w:szCs w:val="20"/>
          <w:color w:val="auto"/>
        </w:rPr>
      </w:pPr>
      <w:r>
        <w:rPr>
          <w:rFonts w:ascii="Times New Roman" w:cs="Times New Roman" w:eastAsia="Times New Roman" w:hAnsi="Times New Roman"/>
          <w:sz w:val="18"/>
          <w:szCs w:val="18"/>
          <w:color w:val="auto"/>
        </w:rPr>
        <w:t>Under Section 16-10a-909, a provision treating a corporation’s indemnification of, or advance for expenses to, directors that is contained in its articles of incorporation or bylaws, in a resolution of its shareholders or board of directors or in a contract (except an insurance policy) or otherwise, will only be valid if and to the extent that provision is not inconsistent with Sections 16-10a-901 through 909. Additionally, if the articles of incorporation of a corporation limit indemnification or advancement of expenses, then such indemnification and advancement of expenses will be valid only to the extent not inconsistent with such articles.</w:t>
      </w:r>
    </w:p>
    <w:p>
      <w:pPr>
        <w:spacing w:after="0" w:line="80"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The Registrant’s Second Amended and Restated Articles of Incorporation (the “Articles”) require the Registrant to indemnify our directors and officers against liabilities incurred by them that result from acts performed by them in furtherance of the business of the corporation to the fullest extent permitted by Utah law.</w:t>
      </w:r>
    </w:p>
    <w:p>
      <w:pPr>
        <w:spacing w:after="0" w:line="70" w:lineRule="exact"/>
        <w:rPr>
          <w:sz w:val="20"/>
          <w:szCs w:val="20"/>
          <w:color w:val="auto"/>
        </w:rPr>
      </w:pPr>
    </w:p>
    <w:p>
      <w:pPr>
        <w:jc w:val="both"/>
        <w:ind w:left="200" w:right="219" w:firstLine="641"/>
        <w:spacing w:after="0" w:line="251" w:lineRule="auto"/>
        <w:rPr>
          <w:sz w:val="20"/>
          <w:szCs w:val="20"/>
          <w:color w:val="auto"/>
        </w:rPr>
      </w:pPr>
      <w:r>
        <w:rPr>
          <w:rFonts w:ascii="Times New Roman" w:cs="Times New Roman" w:eastAsia="Times New Roman" w:hAnsi="Times New Roman"/>
          <w:sz w:val="18"/>
          <w:szCs w:val="18"/>
          <w:color w:val="auto"/>
        </w:rPr>
        <w:t>The Registrant’s Fifth Amended and Restated Bylaws (the “Bylaws”) also include mandatory indemnification provisions with respect to our directors, and discretionary indemnification provisions with respect to officers, employees and agents, each subject to limitations generally reflecting the limitations on indemnification set forth in the Utah Act (as discussed above). The Bylaws also allow us to purchase and maintain insurance on behalf of any person who is or was one of our directors or officers (or is or was serving at our request as a director, officer, employee or agent of another corporation, partnership, joint venture, trust or other enterprise) against any liability asserted against, or incurred by, him or her in such capacity or arising out of his or her status in such capacity, whether or not we would have the power to indemnify him or her against such liability under the indemnification provisions of the Bylaws or Utah law. We maintain insurance from commercial carriers against certain liabilities that may be incurred by our directors and officers.</w:t>
      </w:r>
    </w:p>
    <w:p>
      <w:pPr>
        <w:spacing w:after="0" w:line="79" w:lineRule="exact"/>
        <w:rPr>
          <w:sz w:val="20"/>
          <w:szCs w:val="20"/>
          <w:color w:val="auto"/>
        </w:rPr>
      </w:pPr>
    </w:p>
    <w:p>
      <w:pPr>
        <w:jc w:val="both"/>
        <w:ind w:left="200" w:right="219" w:firstLine="641"/>
        <w:spacing w:after="0" w:line="250" w:lineRule="auto"/>
        <w:rPr>
          <w:sz w:val="20"/>
          <w:szCs w:val="20"/>
          <w:color w:val="auto"/>
        </w:rPr>
      </w:pPr>
      <w:r>
        <w:rPr>
          <w:rFonts w:ascii="Times New Roman" w:cs="Times New Roman" w:eastAsia="Times New Roman" w:hAnsi="Times New Roman"/>
          <w:sz w:val="18"/>
          <w:szCs w:val="18"/>
          <w:color w:val="auto"/>
        </w:rPr>
        <w:t>The Registrant has also entered into indemnification agreements with its directors and executive officers, pursuant to which we have, among other things, agreed to defend, indemnify and hold harmless each such person to the fullest extent permitted by the Utah Act if he or she is or was a party, or is threatened to be made a party, to any proceeding (other than derivative proceedings) by reason of his or her role as a director, officer or agent of the company or its subsidiaries. The Registrant has also agreed to defend, indemnify and hold harmless each such person to the fullest extent permitted by the Utah Act in connection with any derivative proceeding to which such person was or is, or is threatened to be made, a party if he or she acted in good faith and in a manner reasonably believed by him or her to be in the best interests of our company and shareholders, unless such person is found by a court to be liable to our company and shareholders in performance of his or her duties. Under these agreements, each person is presumed to have satisfied the applicable standard of conduct necessary to be indemnified by our company, a presumption that may only be rebutted by clear and convincing evidence to the contrary.</w:t>
      </w:r>
    </w:p>
    <w:p>
      <w:pPr>
        <w:spacing w:after="0" w:line="86" w:lineRule="exact"/>
        <w:rPr>
          <w:sz w:val="20"/>
          <w:szCs w:val="20"/>
          <w:color w:val="auto"/>
        </w:rPr>
      </w:pPr>
    </w:p>
    <w:p>
      <w:pPr>
        <w:jc w:val="both"/>
        <w:ind w:left="200" w:right="219" w:firstLine="641"/>
        <w:spacing w:after="0" w:line="277" w:lineRule="auto"/>
        <w:rPr>
          <w:sz w:val="20"/>
          <w:szCs w:val="20"/>
          <w:color w:val="auto"/>
        </w:rPr>
      </w:pPr>
      <w:r>
        <w:rPr>
          <w:rFonts w:ascii="Times New Roman" w:cs="Times New Roman" w:eastAsia="Times New Roman" w:hAnsi="Times New Roman"/>
          <w:sz w:val="18"/>
          <w:szCs w:val="18"/>
          <w:color w:val="auto"/>
        </w:rPr>
        <w:t>Indemnification may also be granted to our directors and officers in the future pursuant to other agreements, amendments to the Articles or Bylaws or by vote of our shareholders or directors.</w:t>
      </w:r>
    </w:p>
    <w:p>
      <w:pPr>
        <w:spacing w:after="0" w:line="57" w:lineRule="exact"/>
        <w:rPr>
          <w:sz w:val="20"/>
          <w:szCs w:val="20"/>
          <w:color w:val="auto"/>
        </w:rPr>
      </w:pPr>
    </w:p>
    <w:p>
      <w:pPr>
        <w:jc w:val="both"/>
        <w:ind w:left="200" w:right="219" w:firstLine="641"/>
        <w:spacing w:after="0" w:line="262" w:lineRule="auto"/>
        <w:rPr>
          <w:sz w:val="20"/>
          <w:szCs w:val="20"/>
          <w:color w:val="auto"/>
        </w:rPr>
      </w:pPr>
      <w:r>
        <w:rPr>
          <w:rFonts w:ascii="Times New Roman" w:cs="Times New Roman" w:eastAsia="Times New Roman" w:hAnsi="Times New Roman"/>
          <w:sz w:val="18"/>
          <w:szCs w:val="18"/>
          <w:color w:val="auto"/>
        </w:rPr>
        <w:t>The foregoing descriptions are summary in nature, do not describe all details regarding the indemnification of our officers, directors or controlling persons and are subject in its entirety by reference to the applicable provisions of the Utah Act, the Articles and Bylaws and such indemnification agreements.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626745</wp:posOffset>
            </wp:positionV>
            <wp:extent cx="54540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tbl>
      <w:tblPr>
        <w:tblLayout w:type="fixed"/>
        <w:tblInd w:w="200" w:type="dxa"/>
        <w:tblCellMar>
          <w:top w:w="0" w:type="dxa"/>
          <w:left w:w="0" w:type="dxa"/>
          <w:bottom w:w="0" w:type="dxa"/>
          <w:right w:w="0" w:type="dxa"/>
        </w:tblCellMar>
      </w:tblPr>
      <w:tr>
        <w:trPr>
          <w:trHeight w:val="237"/>
        </w:trPr>
        <w:tc>
          <w:tcPr>
            <w:tcW w:w="62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280" w:type="dxa"/>
            <w:vAlign w:val="bottom"/>
            <w:gridSpan w:val="11"/>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Description</w:t>
            </w:r>
          </w:p>
        </w:tc>
        <w:tc>
          <w:tcPr>
            <w:tcW w:w="1080" w:type="dxa"/>
            <w:vAlign w:val="bottom"/>
            <w:tcBorders>
              <w:bottom w:val="single" w:sz="8" w:color="auto"/>
            </w:tcBorders>
            <w:gridSpan w:val="4"/>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5280" w:type="dxa"/>
            <w:vAlign w:val="bottom"/>
            <w:gridSpan w:val="11"/>
            <w:vMerge w:val="continue"/>
          </w:tcPr>
          <w:p>
            <w:pPr>
              <w:spacing w:after="0"/>
              <w:rPr>
                <w:sz w:val="20"/>
                <w:szCs w:val="20"/>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Form Exhibit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94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vMerge w:val="continue"/>
          </w:tcPr>
          <w:p>
            <w:pPr>
              <w:spacing w:after="0"/>
              <w:rPr>
                <w:sz w:val="14"/>
                <w:szCs w:val="14"/>
                <w:color w:val="auto"/>
              </w:rPr>
            </w:pPr>
          </w:p>
        </w:tc>
        <w:tc>
          <w:tcPr>
            <w:tcW w:w="4180" w:type="dxa"/>
            <w:vAlign w:val="bottom"/>
            <w:tcBorders>
              <w:bottom w:val="single" w:sz="8" w:color="0000EE"/>
            </w:tcBorders>
            <w:gridSpan w:val="7"/>
          </w:tcPr>
          <w:p>
            <w:pPr>
              <w:spacing w:after="0" w:line="167"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Second Amended and Restated Articles of Incorporation.*</w:t>
              </w:r>
            </w:hyperlink>
          </w:p>
        </w:tc>
        <w:tc>
          <w:tcPr>
            <w:tcW w:w="880" w:type="dxa"/>
            <w:vAlign w:val="bottom"/>
            <w:gridSpan w:val="2"/>
          </w:tcPr>
          <w:p>
            <w:pPr>
              <w:spacing w:after="0"/>
              <w:rPr>
                <w:sz w:val="14"/>
                <w:szCs w:val="14"/>
                <w:color w:val="auto"/>
              </w:rPr>
            </w:pPr>
          </w:p>
        </w:tc>
        <w:tc>
          <w:tcPr>
            <w:tcW w:w="40" w:type="dxa"/>
            <w:vAlign w:val="bottom"/>
            <w:vMerge w:val="continue"/>
          </w:tcPr>
          <w:p>
            <w:pPr>
              <w:spacing w:after="0"/>
              <w:rPr>
                <w:sz w:val="14"/>
                <w:szCs w:val="14"/>
                <w:color w:val="auto"/>
              </w:rPr>
            </w:pPr>
          </w:p>
        </w:tc>
        <w:tc>
          <w:tcPr>
            <w:tcW w:w="42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rPr>
              <w:t>10-Q</w:t>
            </w:r>
          </w:p>
        </w:tc>
        <w:tc>
          <w:tcPr>
            <w:tcW w:w="40" w:type="dxa"/>
            <w:vAlign w:val="bottom"/>
            <w:vMerge w:val="continue"/>
          </w:tcPr>
          <w:p>
            <w:pPr>
              <w:spacing w:after="0"/>
              <w:rPr>
                <w:sz w:val="14"/>
                <w:szCs w:val="14"/>
                <w:color w:val="auto"/>
              </w:rPr>
            </w:pPr>
          </w:p>
        </w:tc>
        <w:tc>
          <w:tcPr>
            <w:tcW w:w="58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vMerge w:val="continue"/>
          </w:tcPr>
          <w:p>
            <w:pPr>
              <w:spacing w:after="0"/>
              <w:rPr>
                <w:sz w:val="14"/>
                <w:szCs w:val="14"/>
                <w:color w:val="auto"/>
              </w:rPr>
            </w:pPr>
          </w:p>
        </w:tc>
        <w:tc>
          <w:tcPr>
            <w:tcW w:w="1280" w:type="dxa"/>
            <w:vAlign w:val="bottom"/>
          </w:tcPr>
          <w:p>
            <w:pPr>
              <w:jc w:val="center"/>
              <w:spacing w:after="0" w:line="167" w:lineRule="exact"/>
              <w:rPr>
                <w:sz w:val="20"/>
                <w:szCs w:val="20"/>
                <w:color w:val="auto"/>
              </w:rPr>
            </w:pPr>
            <w:r>
              <w:rPr>
                <w:rFonts w:ascii="Times New Roman" w:cs="Times New Roman" w:eastAsia="Times New Roman" w:hAnsi="Times New Roman"/>
                <w:sz w:val="18"/>
                <w:szCs w:val="18"/>
                <w:color w:val="auto"/>
                <w:w w:val="97"/>
              </w:rPr>
              <w:t>August 9, 2018</w:t>
            </w:r>
          </w:p>
        </w:tc>
        <w:tc>
          <w:tcPr>
            <w:tcW w:w="0" w:type="dxa"/>
            <w:vAlign w:val="bottom"/>
          </w:tcPr>
          <w:p>
            <w:pPr>
              <w:spacing w:after="0"/>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1"/>
                <w:szCs w:val="21"/>
                <w:color w:val="auto"/>
              </w:rPr>
            </w:pPr>
          </w:p>
        </w:tc>
        <w:tc>
          <w:tcPr>
            <w:tcW w:w="27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Fifth Amended and Restated Bylaws.*</w:t>
              </w:r>
            </w:hyperlink>
          </w:p>
        </w:tc>
        <w:tc>
          <w:tcPr>
            <w:tcW w:w="2340" w:type="dxa"/>
            <w:vAlign w:val="bottom"/>
            <w:gridSpan w:val="6"/>
          </w:tcPr>
          <w:p>
            <w:pPr>
              <w:spacing w:after="0"/>
              <w:rPr>
                <w:sz w:val="21"/>
                <w:szCs w:val="21"/>
                <w:color w:val="auto"/>
              </w:rPr>
            </w:pPr>
          </w:p>
        </w:tc>
        <w:tc>
          <w:tcPr>
            <w:tcW w:w="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180" w:type="dxa"/>
            <w:vAlign w:val="bottom"/>
          </w:tcPr>
          <w:p>
            <w:pPr>
              <w:spacing w:after="0"/>
              <w:rPr>
                <w:sz w:val="21"/>
                <w:szCs w:val="21"/>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Opinion of Parr Brown Gee &amp; Loveless PC</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21"/>
                <w:szCs w:val="21"/>
                <w:color w:val="auto"/>
              </w:rPr>
            </w:pPr>
          </w:p>
        </w:tc>
        <w:tc>
          <w:tcPr>
            <w:tcW w:w="2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5"/>
              </w:rPr>
              <w:t>Consent of Deloitte &amp; Touche LLP</w:t>
            </w:r>
          </w:p>
        </w:tc>
        <w:tc>
          <w:tcPr>
            <w:tcW w:w="640" w:type="dxa"/>
            <w:vAlign w:val="bottom"/>
            <w:tcBorders>
              <w:top w:val="single" w:sz="8" w:color="0000EE"/>
            </w:tcBorders>
            <w:gridSpan w:val="3"/>
          </w:tcPr>
          <w:p>
            <w:pPr>
              <w:spacing w:after="0"/>
              <w:rPr>
                <w:sz w:val="21"/>
                <w:szCs w:val="21"/>
                <w:color w:val="auto"/>
              </w:rPr>
            </w:pPr>
          </w:p>
        </w:tc>
        <w:tc>
          <w:tcPr>
            <w:tcW w:w="2000" w:type="dxa"/>
            <w:vAlign w:val="bottom"/>
            <w:gridSpan w:val="4"/>
          </w:tcPr>
          <w:p>
            <w:pPr>
              <w:spacing w:after="0"/>
              <w:rPr>
                <w:sz w:val="21"/>
                <w:szCs w:val="21"/>
                <w:color w:val="auto"/>
              </w:rPr>
            </w:pP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21"/>
                <w:szCs w:val="21"/>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Consent of Parr Brown Gee &amp; Loveless </w:t>
            </w:r>
            <w:r>
              <w:rPr>
                <w:rFonts w:ascii="Times New Roman" w:cs="Times New Roman" w:eastAsia="Times New Roman" w:hAnsi="Times New Roman"/>
                <w:sz w:val="18"/>
                <w:szCs w:val="18"/>
                <w:color w:val="000000"/>
              </w:rPr>
              <w:t>(included in Exhibit 5.1)</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21"/>
                <w:szCs w:val="21"/>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Power of Attorney </w:t>
            </w:r>
            <w:r>
              <w:rPr>
                <w:rFonts w:ascii="Times New Roman" w:cs="Times New Roman" w:eastAsia="Times New Roman" w:hAnsi="Times New Roman"/>
                <w:sz w:val="18"/>
                <w:szCs w:val="18"/>
                <w:color w:val="000000"/>
              </w:rPr>
              <w:t>(including on signature page of this registration</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statement)</w:t>
            </w:r>
          </w:p>
        </w:tc>
        <w:tc>
          <w:tcPr>
            <w:tcW w:w="3800" w:type="dxa"/>
            <w:vAlign w:val="bottom"/>
            <w:gridSpan w:val="8"/>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tcPr>
          <w:p>
            <w:pPr>
              <w:spacing w:after="0"/>
              <w:rPr>
                <w:sz w:val="19"/>
                <w:szCs w:val="19"/>
                <w:color w:val="auto"/>
              </w:rPr>
            </w:pPr>
          </w:p>
        </w:tc>
        <w:tc>
          <w:tcPr>
            <w:tcW w:w="47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6"/>
              </w:rPr>
            </w:pPr>
            <w:hyperlink r:id="rId27">
              <w:r>
                <w:rPr>
                  <w:rFonts w:ascii="Times New Roman" w:cs="Times New Roman" w:eastAsia="Times New Roman" w:hAnsi="Times New Roman"/>
                  <w:sz w:val="18"/>
                  <w:szCs w:val="18"/>
                  <w:color w:val="0000EE"/>
                  <w:w w:val="96"/>
                </w:rPr>
                <w:t>Merit Medical Systems, Inc. 2026 Employee Stock Purchase Plan*†</w:t>
              </w:r>
            </w:hyperlink>
          </w:p>
        </w:tc>
        <w:tc>
          <w:tcPr>
            <w:tcW w:w="340" w:type="dxa"/>
            <w:vAlign w:val="bottom"/>
            <w:gridSpan w:val="2"/>
          </w:tcPr>
          <w:p>
            <w:pPr>
              <w:spacing w:after="0"/>
              <w:rPr>
                <w:sz w:val="19"/>
                <w:szCs w:val="19"/>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8-K   10.2</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19, 2026</w:t>
            </w:r>
          </w:p>
        </w:tc>
        <w:tc>
          <w:tcPr>
            <w:tcW w:w="0" w:type="dxa"/>
            <w:vAlign w:val="bottom"/>
          </w:tcPr>
          <w:p>
            <w:pPr>
              <w:spacing w:after="0"/>
              <w:rPr>
                <w:sz w:val="1"/>
                <w:szCs w:val="1"/>
                <w:color w:val="auto"/>
              </w:rPr>
            </w:pPr>
          </w:p>
        </w:tc>
      </w:tr>
      <w:tr>
        <w:trPr>
          <w:trHeight w:val="247"/>
        </w:trPr>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107</w:t>
            </w:r>
          </w:p>
        </w:tc>
        <w:tc>
          <w:tcPr>
            <w:tcW w:w="180" w:type="dxa"/>
            <w:vAlign w:val="bottom"/>
          </w:tcPr>
          <w:p>
            <w:pPr>
              <w:spacing w:after="0"/>
              <w:rPr>
                <w:sz w:val="21"/>
                <w:szCs w:val="21"/>
                <w:color w:val="auto"/>
              </w:rPr>
            </w:pPr>
          </w:p>
        </w:tc>
        <w:tc>
          <w:tcPr>
            <w:tcW w:w="51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Filing Fee Table</w:t>
            </w:r>
          </w:p>
        </w:tc>
        <w:tc>
          <w:tcPr>
            <w:tcW w:w="4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*These exhibits are incorporated herein by reference.</w:t>
      </w:r>
    </w:p>
    <w:p>
      <w:pPr>
        <w:spacing w:after="0" w:line="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9. Undertakings</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520" w:hanging="3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200" w:right="459" w:firstLine="52"/>
        <w:spacing w:after="0" w:line="277" w:lineRule="auto"/>
        <w:tabs>
          <w:tab w:leader="none" w:pos="49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7"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3" w:lineRule="exact"/>
        <w:rPr>
          <w:rFonts w:ascii="Times New Roman" w:cs="Times New Roman" w:eastAsia="Times New Roman" w:hAnsi="Times New Roman"/>
          <w:sz w:val="18"/>
          <w:szCs w:val="18"/>
          <w:color w:val="auto"/>
        </w:rPr>
      </w:pPr>
    </w:p>
    <w:p>
      <w:pPr>
        <w:ind w:left="200" w:right="339" w:firstLine="8"/>
        <w:spacing w:after="0" w:line="252" w:lineRule="auto"/>
        <w:tabs>
          <w:tab w:leader="none" w:pos="46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8" w:lineRule="exact"/>
        <w:rPr>
          <w:rFonts w:ascii="Times New Roman" w:cs="Times New Roman" w:eastAsia="Times New Roman" w:hAnsi="Times New Roman"/>
          <w:sz w:val="18"/>
          <w:szCs w:val="18"/>
          <w:color w:val="auto"/>
        </w:rPr>
      </w:pPr>
    </w:p>
    <w:p>
      <w:pPr>
        <w:ind w:left="200" w:right="939" w:firstLine="8"/>
        <w:spacing w:after="0" w:line="277" w:lineRule="auto"/>
        <w:tabs>
          <w:tab w:leader="none" w:pos="5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200" w:right="379"/>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of this item do not apply if the registration statement is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S-8, and the information required to be included in a post-effective amendment by those paragraphs is contained in reports filed with or furnished to the Commission by the registrant pursuant to Section 13 or 15(d) of the Securities Exchange Act of 1934 that are incorporated by reference in the registration statement.</w:t>
      </w:r>
    </w:p>
    <w:p>
      <w:pPr>
        <w:spacing w:after="0" w:line="74" w:lineRule="exact"/>
        <w:rPr>
          <w:sz w:val="20"/>
          <w:szCs w:val="20"/>
          <w:color w:val="auto"/>
        </w:rPr>
      </w:pPr>
    </w:p>
    <w:p>
      <w:pPr>
        <w:ind w:left="200" w:right="279" w:firstLine="8"/>
        <w:spacing w:after="0" w:line="26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0" w:lineRule="exact"/>
        <w:rPr>
          <w:rFonts w:ascii="Times New Roman" w:cs="Times New Roman" w:eastAsia="Times New Roman" w:hAnsi="Times New Roman"/>
          <w:sz w:val="18"/>
          <w:szCs w:val="18"/>
          <w:color w:val="auto"/>
        </w:rPr>
      </w:pPr>
    </w:p>
    <w:p>
      <w:pPr>
        <w:ind w:left="200" w:right="479" w:firstLine="8"/>
        <w:spacing w:after="0" w:line="277"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200" w:right="239" w:firstLine="8"/>
        <w:spacing w:after="0" w:line="253"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0" w:lineRule="exact"/>
        <w:rPr>
          <w:rFonts w:ascii="Times New Roman" w:cs="Times New Roman" w:eastAsia="Times New Roman" w:hAnsi="Times New Roman"/>
          <w:sz w:val="18"/>
          <w:szCs w:val="18"/>
          <w:color w:val="auto"/>
        </w:rPr>
      </w:pPr>
    </w:p>
    <w:p>
      <w:pPr>
        <w:ind w:left="200" w:right="479" w:firstLine="8"/>
        <w:spacing w:after="0" w:line="257" w:lineRule="auto"/>
        <w:tabs>
          <w:tab w:leader="none" w:pos="4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330835</wp:posOffset>
            </wp:positionV>
            <wp:extent cx="54540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 w:name="page6"/>
    <w:bookmarkEnd w:id="5"/>
    <w:p>
      <w:pPr>
        <w:ind w:left="200" w:right="279"/>
        <w:spacing w:after="0" w:line="253" w:lineRule="auto"/>
        <w:rPr>
          <w:sz w:val="20"/>
          <w:szCs w:val="20"/>
          <w:color w:val="auto"/>
        </w:rPr>
      </w:pPr>
      <w:r>
        <w:rPr>
          <w:rFonts w:ascii="Times New Roman" w:cs="Times New Roman" w:eastAsia="Times New Roman" w:hAnsi="Times New Roman"/>
          <w:sz w:val="18"/>
          <w:szCs w:val="18"/>
          <w:color w:val="auto"/>
        </w:rPr>
        <w:t>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469900</wp:posOffset>
            </wp:positionV>
            <wp:extent cx="54540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left="200" w:right="379" w:firstLine="641"/>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South Jordan, State of Utah, on June 29, 2026.</w:t>
      </w:r>
    </w:p>
    <w:p>
      <w:pPr>
        <w:spacing w:after="0" w:line="16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p>
      <w:pPr>
        <w:spacing w:after="0" w:line="22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artha g</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ronson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2906395</wp:posOffset>
            </wp:positionH>
            <wp:positionV relativeFrom="paragraph">
              <wp:posOffset>15875</wp:posOffset>
            </wp:positionV>
            <wp:extent cx="26377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637790" cy="8255"/>
                    </a:xfrm>
                    <a:prstGeom prst="rect">
                      <a:avLst/>
                    </a:prstGeom>
                    <a:noFill/>
                  </pic:spPr>
                </pic:pic>
              </a:graphicData>
            </a:graphic>
          </wp:anchor>
        </w:drawing>
      </w:r>
    </w:p>
    <w:p>
      <w:pPr>
        <w:spacing w:after="0" w:line="1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Martha G. Aronson</w:t>
      </w:r>
    </w:p>
    <w:p>
      <w:pPr>
        <w:spacing w:after="0" w:line="3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left="200" w:right="219" w:firstLine="721"/>
        <w:spacing w:after="0" w:line="250"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to this registration statement appears below hereby constitutes and appoints Martha G. Aronson (President and Chief Executive Officer), Raul Parra (Chief Financial Officer and Treasurer) and Brian G. Lloyd (Chief Legal Officer and Corporate Secretary), and each of them acting individually, as his or her true and lawful attorney-in-fact and agent, with full power of substitution, to sign on his or her behalf individually and in the capacity stated below and to perform any acts necessary to be done in order to file all amendments (including any post-effective amendments) to this registration statement, and any and all instruments or documents filed as part of or in connection with this registration statement or the amendments thereto, and to file the same with the Securities and Exchange Commission, granting unto say attorneys-in-fact and agents, and each of them, full power and authority to do and perform each and every act and thing requisite and necessary to be done in or about the premises, as fully to all intents and purposes as he or she might or could do in person, and each of the undersigned does hereby ratify and confirm all that such attorneys-in-fact and agents, or any of them or their respective substitutes, may lawfully do or cause to be done by virtue hereof.</w:t>
      </w:r>
    </w:p>
    <w:p>
      <w:pPr>
        <w:spacing w:after="0" w:line="191" w:lineRule="exact"/>
        <w:rPr>
          <w:sz w:val="20"/>
          <w:szCs w:val="20"/>
          <w:color w:val="auto"/>
        </w:rPr>
      </w:pPr>
    </w:p>
    <w:p>
      <w:pPr>
        <w:jc w:val="both"/>
        <w:ind w:left="200" w:right="219" w:firstLine="72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June 29, 2026. **</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60" w:type="dxa"/>
            <w:vAlign w:val="bottom"/>
          </w:tcPr>
          <w:p>
            <w:pPr>
              <w:spacing w:after="0"/>
              <w:rPr>
                <w:sz w:val="18"/>
                <w:szCs w:val="18"/>
                <w:color w:val="auto"/>
              </w:rPr>
            </w:pPr>
          </w:p>
        </w:tc>
        <w:tc>
          <w:tcPr>
            <w:tcW w:w="43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Capacity in Which Signed</w:t>
            </w:r>
          </w:p>
        </w:tc>
        <w:tc>
          <w:tcPr>
            <w:tcW w:w="200" w:type="dxa"/>
            <w:vAlign w:val="bottom"/>
          </w:tcPr>
          <w:p>
            <w:pPr>
              <w:spacing w:after="0"/>
              <w:rPr>
                <w:sz w:val="18"/>
                <w:szCs w:val="18"/>
                <w:color w:val="auto"/>
              </w:rPr>
            </w:pPr>
          </w:p>
        </w:tc>
      </w:tr>
      <w:tr>
        <w:trPr>
          <w:trHeight w:val="501"/>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MARTHA G. ARONSON</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Martha G. Aronson</w:t>
            </w:r>
          </w:p>
        </w:tc>
        <w:tc>
          <w:tcPr>
            <w:tcW w:w="160" w:type="dxa"/>
            <w:vAlign w:val="bottom"/>
          </w:tcPr>
          <w:p>
            <w:pPr>
              <w:spacing w:after="0"/>
              <w:rPr>
                <w:sz w:val="21"/>
                <w:szCs w:val="21"/>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0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RAUL PARRA</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Raul Parra</w:t>
            </w:r>
          </w:p>
        </w:tc>
        <w:tc>
          <w:tcPr>
            <w:tcW w:w="160" w:type="dxa"/>
            <w:vAlign w:val="bottom"/>
          </w:tcPr>
          <w:p>
            <w:pPr>
              <w:spacing w:after="0"/>
              <w:rPr>
                <w:sz w:val="21"/>
                <w:szCs w:val="21"/>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0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LONNY J. CARPENTER</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Lonny J. Carpenter</w:t>
            </w:r>
          </w:p>
        </w:tc>
        <w:tc>
          <w:tcPr>
            <w:tcW w:w="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50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LYNNE N. WARD</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Lynne N. Ward</w:t>
            </w:r>
          </w:p>
        </w:tc>
        <w:tc>
          <w:tcPr>
            <w:tcW w:w="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50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SCOTT R. WARD</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Scott R. Ward</w:t>
            </w:r>
          </w:p>
        </w:tc>
        <w:tc>
          <w:tcPr>
            <w:tcW w:w="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50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LAURA S. KAISER</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Laura S. Kaiser</w:t>
            </w:r>
          </w:p>
        </w:tc>
        <w:tc>
          <w:tcPr>
            <w:tcW w:w="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467"/>
        </w:trPr>
        <w:tc>
          <w:tcPr>
            <w:tcW w:w="3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SILVIA M. PEREZ</w:t>
            </w:r>
          </w:p>
        </w:tc>
        <w:tc>
          <w:tcPr>
            <w:tcW w:w="160" w:type="dxa"/>
            <w:vAlign w:val="bottom"/>
          </w:tcPr>
          <w:p>
            <w:pPr>
              <w:spacing w:after="0"/>
              <w:rPr>
                <w:sz w:val="24"/>
                <w:szCs w:val="24"/>
                <w:color w:val="auto"/>
              </w:rPr>
            </w:pPr>
          </w:p>
        </w:tc>
        <w:tc>
          <w:tcPr>
            <w:tcW w:w="4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248"/>
        </w:trPr>
        <w:tc>
          <w:tcPr>
            <w:tcW w:w="3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Silvia M. Perez</w:t>
            </w:r>
          </w:p>
        </w:tc>
        <w:tc>
          <w:tcPr>
            <w:tcW w:w="16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808"/>
        </w:trPr>
        <w:tc>
          <w:tcPr>
            <w:tcW w:w="3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 w:name="page8"/>
    <w:bookmarkEnd w:id="7"/>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880" w:type="dxa"/>
            <w:vAlign w:val="bottom"/>
          </w:tcPr>
          <w:p>
            <w:pPr>
              <w:ind w:left="15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90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Capa</w:t>
            </w:r>
          </w:p>
        </w:tc>
      </w:tr>
      <w:tr>
        <w:trPr>
          <w:trHeight w:val="226"/>
        </w:trPr>
        <w:tc>
          <w:tcPr>
            <w:tcW w:w="38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J. GUNDERSON</w:t>
            </w:r>
          </w:p>
        </w:tc>
        <w:tc>
          <w:tcPr>
            <w:tcW w:w="39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r>
      <w:tr>
        <w:trPr>
          <w:trHeight w:val="21"/>
        </w:trPr>
        <w:tc>
          <w:tcPr>
            <w:tcW w:w="3880" w:type="dxa"/>
            <w:vAlign w:val="bottom"/>
            <w:tcBorders>
              <w:bottom w:val="single" w:sz="8" w:color="auto"/>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8"/>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Thomas J. Gunderson</w:t>
            </w:r>
          </w:p>
        </w:tc>
        <w:tc>
          <w:tcPr>
            <w:tcW w:w="3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54"/>
        </w:trPr>
        <w:tc>
          <w:tcPr>
            <w:tcW w:w="3880" w:type="dxa"/>
            <w:vAlign w:val="bottom"/>
          </w:tcPr>
          <w:p>
            <w:pPr>
              <w:spacing w:after="0"/>
              <w:rPr>
                <w:sz w:val="24"/>
                <w:szCs w:val="24"/>
                <w:color w:val="auto"/>
              </w:rPr>
            </w:pPr>
          </w:p>
        </w:tc>
        <w:tc>
          <w:tcPr>
            <w:tcW w:w="4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 F. ANN MILLNER</w:t>
            </w:r>
          </w:p>
        </w:tc>
      </w:tr>
      <w:tr>
        <w:trPr>
          <w:trHeight w:val="26"/>
        </w:trPr>
        <w:tc>
          <w:tcPr>
            <w:tcW w:w="38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8"/>
        </w:trPr>
        <w:tc>
          <w:tcPr>
            <w:tcW w:w="3880" w:type="dxa"/>
            <w:vAlign w:val="bottom"/>
          </w:tcPr>
          <w:p>
            <w:pPr>
              <w:spacing w:after="0"/>
              <w:rPr>
                <w:sz w:val="21"/>
                <w:szCs w:val="21"/>
                <w:color w:val="auto"/>
              </w:rPr>
            </w:pPr>
          </w:p>
        </w:tc>
        <w:tc>
          <w:tcPr>
            <w:tcW w:w="4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 Ann Millner</w:t>
            </w:r>
          </w:p>
        </w:tc>
      </w:tr>
      <w:tr>
        <w:trPr>
          <w:trHeight w:val="454"/>
        </w:trPr>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R. MCDONNELL</w:t>
            </w:r>
          </w:p>
        </w:tc>
        <w:tc>
          <w:tcPr>
            <w:tcW w:w="39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8"/>
        </w:trPr>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McDonnell</w:t>
            </w:r>
          </w:p>
        </w:tc>
        <w:tc>
          <w:tcPr>
            <w:tcW w:w="3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468"/>
        </w:trPr>
        <w:tc>
          <w:tcPr>
            <w:tcW w:w="3880" w:type="dxa"/>
            <w:vAlign w:val="bottom"/>
          </w:tcPr>
          <w:p>
            <w:pPr>
              <w:spacing w:after="0"/>
              <w:rPr>
                <w:sz w:val="24"/>
                <w:szCs w:val="24"/>
                <w:color w:val="auto"/>
              </w:rPr>
            </w:pPr>
          </w:p>
        </w:tc>
        <w:tc>
          <w:tcPr>
            <w:tcW w:w="4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 STEPHEN C. EVANS</w:t>
            </w:r>
          </w:p>
        </w:tc>
      </w:tr>
      <w:tr>
        <w:trPr>
          <w:trHeight w:val="40"/>
        </w:trPr>
        <w:tc>
          <w:tcPr>
            <w:tcW w:w="388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48"/>
        </w:trPr>
        <w:tc>
          <w:tcPr>
            <w:tcW w:w="3880" w:type="dxa"/>
            <w:vAlign w:val="bottom"/>
          </w:tcPr>
          <w:p>
            <w:pPr>
              <w:spacing w:after="0"/>
              <w:rPr>
                <w:sz w:val="21"/>
                <w:szCs w:val="21"/>
                <w:color w:val="auto"/>
              </w:rPr>
            </w:pPr>
          </w:p>
        </w:tc>
        <w:tc>
          <w:tcPr>
            <w:tcW w:w="47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Stephen C. Evans</w:t>
            </w:r>
          </w:p>
        </w:tc>
      </w:tr>
      <w:tr>
        <w:trPr>
          <w:trHeight w:val="1021"/>
        </w:trPr>
        <w:tc>
          <w:tcPr>
            <w:tcW w:w="38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60" w:right="1440" w:bottom="1440" w:gutter="0" w:footer="0" w:header="0"/>
        </w:sectPr>
      </w:pPr>
    </w:p>
    <w:bookmarkStart w:id="8" w:name="page9"/>
    <w:bookmarkEnd w:id="8"/>
    <w:p>
      <w:pPr>
        <w:jc w:val="right"/>
        <w:ind w:right="219"/>
        <w:spacing w:after="0"/>
        <w:rPr>
          <w:sz w:val="20"/>
          <w:szCs w:val="20"/>
          <w:color w:val="auto"/>
        </w:rPr>
      </w:pPr>
      <w:r>
        <w:rPr>
          <w:rFonts w:ascii="Times New Roman" w:cs="Times New Roman" w:eastAsia="Times New Roman" w:hAnsi="Times New Roman"/>
          <w:sz w:val="18"/>
          <w:szCs w:val="18"/>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20"/>
          <w:szCs w:val="20"/>
          <w:color w:val="auto"/>
        </w:rPr>
        <w:t>June 29, 2026</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Merit Medical Systems, Inc.</w:t>
      </w:r>
    </w:p>
    <w:p>
      <w:pPr>
        <w:ind w:left="200"/>
        <w:spacing w:after="0" w:line="229" w:lineRule="auto"/>
        <w:rPr>
          <w:sz w:val="20"/>
          <w:szCs w:val="20"/>
          <w:color w:val="auto"/>
        </w:rPr>
      </w:pPr>
      <w:r>
        <w:rPr>
          <w:rFonts w:ascii="Times New Roman" w:cs="Times New Roman" w:eastAsia="Times New Roman" w:hAnsi="Times New Roman"/>
          <w:sz w:val="20"/>
          <w:szCs w:val="20"/>
          <w:color w:val="auto"/>
        </w:rPr>
        <w:t>1600 West Merit Parkway</w:t>
      </w:r>
    </w:p>
    <w:p>
      <w:pPr>
        <w:ind w:left="200"/>
        <w:spacing w:after="0"/>
        <w:rPr>
          <w:sz w:val="20"/>
          <w:szCs w:val="20"/>
          <w:color w:val="auto"/>
        </w:rPr>
      </w:pPr>
      <w:r>
        <w:rPr>
          <w:rFonts w:ascii="Times New Roman" w:cs="Times New Roman" w:eastAsia="Times New Roman" w:hAnsi="Times New Roman"/>
          <w:sz w:val="20"/>
          <w:szCs w:val="20"/>
          <w:color w:val="auto"/>
        </w:rPr>
        <w:t>South Jordan, Utah 84095</w:t>
      </w:r>
    </w:p>
    <w:p>
      <w:pPr>
        <w:sectPr>
          <w:pgSz w:w="11900" w:h="16838" w:orient="portrait"/>
          <w:cols w:equalWidth="0" w:num="1">
            <w:col w:w="9019"/>
          </w:cols>
          <w:pgMar w:left="1440" w:top="121" w:right="1440" w:bottom="1440" w:gutter="0" w:footer="0" w:header="0"/>
        </w:sectPr>
      </w:pP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Re: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439"/>
        <w:spacing w:after="0" w:line="262" w:lineRule="auto"/>
        <w:rPr>
          <w:sz w:val="20"/>
          <w:szCs w:val="20"/>
          <w:color w:val="auto"/>
        </w:rPr>
      </w:pPr>
      <w:r>
        <w:rPr>
          <w:rFonts w:ascii="Times New Roman" w:cs="Times New Roman" w:eastAsia="Times New Roman" w:hAnsi="Times New Roman"/>
          <w:sz w:val="20"/>
          <w:szCs w:val="20"/>
          <w:color w:val="auto"/>
        </w:rPr>
        <w:t>Registration Statement on Form S-8 filed by Merit Medical Systems, Inc. with respect to the Merit Medical Systems, Inc. 2026 Employee Stock Purchase Plan (the “Plan”)</w:t>
      </w:r>
    </w:p>
    <w:p>
      <w:pPr>
        <w:spacing w:after="0" w:line="193" w:lineRule="exact"/>
        <w:rPr>
          <w:sz w:val="20"/>
          <w:szCs w:val="20"/>
          <w:color w:val="auto"/>
        </w:rPr>
      </w:pPr>
    </w:p>
    <w:p>
      <w:pPr>
        <w:sectPr>
          <w:pgSz w:w="11900" w:h="16838" w:orient="portrait"/>
          <w:cols w:equalWidth="0" w:num="2">
            <w:col w:w="480" w:space="360"/>
            <w:col w:w="8179"/>
          </w:cols>
          <w:pgMar w:left="1440" w:top="121" w:right="1440"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38" w:lineRule="exact"/>
        <w:rPr>
          <w:sz w:val="20"/>
          <w:szCs w:val="20"/>
          <w:color w:val="auto"/>
        </w:rPr>
      </w:pPr>
    </w:p>
    <w:p>
      <w:pPr>
        <w:ind w:left="200" w:right="299"/>
        <w:spacing w:after="0" w:line="247" w:lineRule="auto"/>
        <w:rPr>
          <w:sz w:val="20"/>
          <w:szCs w:val="20"/>
          <w:color w:val="auto"/>
        </w:rPr>
      </w:pPr>
      <w:r>
        <w:rPr>
          <w:rFonts w:ascii="Times New Roman" w:cs="Times New Roman" w:eastAsia="Times New Roman" w:hAnsi="Times New Roman"/>
          <w:sz w:val="20"/>
          <w:szCs w:val="20"/>
          <w:color w:val="auto"/>
        </w:rPr>
        <w:t>We have acted as counsel for Merit Medical Systems, Inc., a Utah corporation (the “Company”), in connection with the Company’s registration under the Securities Act of 1933, as amended (the “Act”), of the offer and sale of an aggregate of up to 500,000 shares of the Company’s common stock, no par value (the “Shares”), pursuant to the Company’s registration statement on Form S-8 (the “Registration Statement”) to be filed with the Securities and Exchange Commission on the date hereof, which Shares may be issued from time to time in accordance with the terms of the above-described Plan.</w:t>
      </w:r>
    </w:p>
    <w:p>
      <w:pPr>
        <w:spacing w:after="0" w:line="210" w:lineRule="exact"/>
        <w:rPr>
          <w:sz w:val="20"/>
          <w:szCs w:val="20"/>
          <w:color w:val="auto"/>
        </w:rPr>
      </w:pPr>
    </w:p>
    <w:p>
      <w:pPr>
        <w:ind w:left="200" w:right="299"/>
        <w:spacing w:after="0" w:line="245" w:lineRule="auto"/>
        <w:rPr>
          <w:sz w:val="20"/>
          <w:szCs w:val="20"/>
          <w:color w:val="auto"/>
        </w:rPr>
      </w:pPr>
      <w:r>
        <w:rPr>
          <w:rFonts w:ascii="Times New Roman" w:cs="Times New Roman" w:eastAsia="Times New Roman" w:hAnsi="Times New Roman"/>
          <w:sz w:val="20"/>
          <w:szCs w:val="20"/>
          <w:color w:val="auto"/>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Registration Statement, (ii) certain resolutions adopted by the board of directors of the Company, (iii) the Plan, (iv) the charter documents of the Company and (v) such other certificates, instruments, and documents as we have considered necessary for purposes of this opinion. As to any facts material to our opinions, we have made no independent investigation or verification of such facts and have relied, to the extent that we deem such reliance proper, upon certificates of public officials and officers or other representatives of the Company.</w:t>
      </w:r>
    </w:p>
    <w:p>
      <w:pPr>
        <w:spacing w:after="0" w:line="211" w:lineRule="exact"/>
        <w:rPr>
          <w:sz w:val="20"/>
          <w:szCs w:val="20"/>
          <w:color w:val="auto"/>
        </w:rPr>
      </w:pPr>
    </w:p>
    <w:p>
      <w:pPr>
        <w:ind w:left="200" w:right="239"/>
        <w:spacing w:after="0" w:line="247" w:lineRule="auto"/>
        <w:rPr>
          <w:sz w:val="20"/>
          <w:szCs w:val="20"/>
          <w:color w:val="auto"/>
        </w:rPr>
      </w:pPr>
      <w:r>
        <w:rPr>
          <w:rFonts w:ascii="Times New Roman" w:cs="Times New Roman" w:eastAsia="Times New Roman" w:hAnsi="Times New Roman"/>
          <w:sz w:val="20"/>
          <w:szCs w:val="20"/>
          <w:color w:val="auto"/>
        </w:rPr>
        <w:t>We have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(vi) that all information contained in all documents reviewed by us is true, correct and complete, and (vii) that the Shares will be issued in accordance with the terms of the Plan and related authorizations and instruments.</w:t>
      </w:r>
    </w:p>
    <w:p>
      <w:pPr>
        <w:spacing w:after="0" w:line="210" w:lineRule="exact"/>
        <w:rPr>
          <w:sz w:val="20"/>
          <w:szCs w:val="20"/>
          <w:color w:val="auto"/>
        </w:rPr>
      </w:pPr>
    </w:p>
    <w:p>
      <w:pPr>
        <w:ind w:left="200" w:right="319"/>
        <w:spacing w:after="0" w:line="298" w:lineRule="auto"/>
        <w:rPr>
          <w:sz w:val="20"/>
          <w:szCs w:val="20"/>
          <w:color w:val="auto"/>
        </w:rPr>
      </w:pPr>
      <w:r>
        <w:rPr>
          <w:rFonts w:ascii="Times New Roman" w:cs="Times New Roman" w:eastAsia="Times New Roman" w:hAnsi="Times New Roman"/>
          <w:sz w:val="18"/>
          <w:szCs w:val="18"/>
          <w:color w:val="auto"/>
        </w:rPr>
        <w:t>Based on the foregoing and subject to the limitations set forth herein, we are of the opinion that when the Shares are issued by the Company and paid for in accordance with the terms of the Plan and the instruments executed pursuant to the Plan, as applicable, the Shares will be validly issued, fully paid and non-assessable.</w:t>
      </w:r>
    </w:p>
    <w:p>
      <w:pPr>
        <w:spacing w:after="0" w:line="164" w:lineRule="exact"/>
        <w:rPr>
          <w:sz w:val="20"/>
          <w:szCs w:val="20"/>
          <w:color w:val="auto"/>
        </w:rPr>
      </w:pPr>
    </w:p>
    <w:p>
      <w:pPr>
        <w:ind w:left="200" w:right="279"/>
        <w:spacing w:after="0" w:line="248" w:lineRule="auto"/>
        <w:rPr>
          <w:sz w:val="20"/>
          <w:szCs w:val="20"/>
          <w:color w:val="auto"/>
        </w:rPr>
      </w:pPr>
      <w:r>
        <w:rPr>
          <w:rFonts w:ascii="Times New Roman" w:cs="Times New Roman" w:eastAsia="Times New Roman" w:hAnsi="Times New Roman"/>
          <w:sz w:val="20"/>
          <w:szCs w:val="20"/>
          <w:color w:val="auto"/>
        </w:rPr>
        <w:t>This opinion is limited in all respects to the (i) the federal laws of the United States and (ii) the Utah Revised Business Corporation Act, as amended (the “URBC”), including all applicable provisions of the Utah Constitution and reported judicial decisions interpreting the URBC, in each case, as such laws exist on the date hereof. We express no opinion as to any other law or any matter other than as expressly set forth above, and no opinion as to any other law or matter may be inferred or implied herefrom. The opinions expressed herein are rendered as of the date hereof, and we expressly disclaim any obligation to update this letter or advise you of any change in any matter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332105</wp:posOffset>
            </wp:positionV>
            <wp:extent cx="54540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9" w:name="page10"/>
    <w:bookmarkEnd w:id="9"/>
    <w:p>
      <w:pPr>
        <w:ind w:left="200" w:right="239"/>
        <w:spacing w:after="0" w:line="29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the reference to this firm therein. In giving this consent, we do not thereby admit that we are within the category of persons whose consent is required under Section 7 of the Act or the rules and regulations of the Commission.</w:t>
      </w:r>
    </w:p>
    <w:p>
      <w:pPr>
        <w:spacing w:after="0" w:line="16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/s/ Parr Brown Gee &amp; Loveless, PC</w:t>
      </w:r>
    </w:p>
    <w:p>
      <w:pPr>
        <w:spacing w:after="0" w:line="23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color w:val="auto"/>
        </w:rPr>
        <w:t>PARR BROWN GEE &amp; LOVELESS,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351790</wp:posOffset>
            </wp:positionV>
            <wp:extent cx="54540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5454015" cy="2540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0" w:name="page11"/>
    <w:bookmarkEnd w:id="10"/>
    <w:p>
      <w:pPr>
        <w:jc w:val="right"/>
        <w:ind w:right="219"/>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48" w:lineRule="exact"/>
        <w:rPr>
          <w:sz w:val="20"/>
          <w:szCs w:val="20"/>
          <w:color w:val="auto"/>
        </w:rPr>
      </w:pPr>
    </w:p>
    <w:p>
      <w:pPr>
        <w:ind w:left="200" w:right="279"/>
        <w:spacing w:after="0" w:line="250" w:lineRule="auto"/>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reports dated February 24, 2026, relating to the financial statements of Merit Medical Systems, Inc. and the effectiveness of Merit Medical Systems, Inc.’s internal control over financial reporting, appearing in the Annual Report on Form 10-K of Merit Medical Systems, Inc. for the year ended December 31, 2025.</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Salt Lake City, Utah</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346710</wp:posOffset>
            </wp:positionV>
            <wp:extent cx="54540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5454015"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 w:name="page12"/>
    <w:bookmarkEnd w:id="11"/>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MERIT MEDICAL SYSTEMS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Stock, no</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500,000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$ 63.764</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$ 4,402.90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31,882,000.00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E7E7E2"/>
          </w:tcPr>
          <w:p>
            <w:pPr>
              <w:jc w:val="center"/>
              <w:spacing w:after="0" w:line="187" w:lineRule="exact"/>
              <w:rPr>
                <w:sz w:val="20"/>
                <w:szCs w:val="20"/>
                <w:color w:val="auto"/>
              </w:rPr>
            </w:pPr>
            <w:r>
              <w:rPr>
                <w:rFonts w:ascii="Arial" w:cs="Arial" w:eastAsia="Arial" w:hAnsi="Arial"/>
                <w:sz w:val="21"/>
                <w:szCs w:val="21"/>
                <w:color w:val="auto"/>
                <w:w w:val="99"/>
              </w:rPr>
              <w:t>par value</w:t>
            </w:r>
          </w:p>
        </w:tc>
        <w:tc>
          <w:tcPr>
            <w:tcW w:w="4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$ 4,402.90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31,882,000.00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$ 4,402.90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640"/>
        <w:spacing w:after="0" w:line="246" w:lineRule="auto"/>
        <w:rPr>
          <w:sz w:val="20"/>
          <w:szCs w:val="20"/>
          <w:color w:val="auto"/>
        </w:rPr>
      </w:pPr>
      <w:r>
        <w:rPr>
          <w:rFonts w:ascii="Arial" w:cs="Arial" w:eastAsia="Arial" w:hAnsi="Arial"/>
          <w:sz w:val="21"/>
          <w:szCs w:val="21"/>
          <w:color w:val="auto"/>
        </w:rPr>
        <w:t>Pursuant to Rule 416(a) of the Securities Act of 1933, as amended (the "Securities Act"), there are also being registered an indeterminable number of additional shares of common stock as may become issuable under the 2026 Equity Incentive Plan by reason of certain transactions or events, including any stock dividend, stock split, recapitalization or any other similar transaction effected without the receipt of consideration which results in an increase in the number of the Registrant's outstanding shares of Common Stock.</w:t>
      </w:r>
    </w:p>
    <w:p>
      <w:pPr>
        <w:spacing w:after="0" w:line="198" w:lineRule="exact"/>
        <w:rPr>
          <w:sz w:val="20"/>
          <w:szCs w:val="20"/>
          <w:color w:val="auto"/>
        </w:rPr>
      </w:pPr>
    </w:p>
    <w:p>
      <w:pPr>
        <w:ind w:left="800" w:right="700"/>
        <w:spacing w:after="0" w:line="248" w:lineRule="auto"/>
        <w:rPr>
          <w:sz w:val="20"/>
          <w:szCs w:val="20"/>
          <w:color w:val="auto"/>
        </w:rPr>
      </w:pPr>
      <w:r>
        <w:rPr>
          <w:rFonts w:ascii="Arial" w:cs="Arial" w:eastAsia="Arial" w:hAnsi="Arial"/>
          <w:sz w:val="21"/>
          <w:szCs w:val="21"/>
          <w:color w:val="auto"/>
        </w:rPr>
        <w:t>Estimated solely for the purpose of calculating the registration fee pursuant to Rules 457(h) and (c) under the Securities Act. The maximum offering price per share is based upon 95% of the average of the high and low prices of the common stock on the Nasdaq Global Select Market on June 23, 2026. Pursuant to the ESPP, the purchase price of the shares of Common Stock reserved for issuance will be 95% of the fair market value of a share of Common Stock on the applicable offering purchase date.</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1"/>
          <w:szCs w:val="21"/>
          <w:color w:val="auto"/>
        </w:rPr>
        <w:t>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257810</wp:posOffset>
            </wp:positionV>
            <wp:extent cx="63874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8"/>
                <w:szCs w:val="18"/>
                <w:color w:val="auto"/>
              </w:rPr>
            </w:pPr>
          </w:p>
        </w:tc>
        <w:tc>
          <w:tcPr>
            <w:tcW w:w="8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145"/>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Filing</w:t>
            </w:r>
          </w:p>
        </w:tc>
        <w:tc>
          <w:tcPr>
            <w:tcW w:w="40" w:type="dxa"/>
            <w:vAlign w:val="bottom"/>
          </w:tcPr>
          <w:p>
            <w:pPr>
              <w:spacing w:after="0"/>
              <w:rPr>
                <w:sz w:val="12"/>
                <w:szCs w:val="12"/>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Number</w:t>
            </w: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2"/>
                <w:szCs w:val="12"/>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142"/>
        </w:trPr>
        <w:tc>
          <w:tcPr>
            <w:tcW w:w="60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2"/>
                <w:szCs w:val="12"/>
                <w:color w:val="auto"/>
              </w:rPr>
            </w:pPr>
          </w:p>
        </w:tc>
        <w:tc>
          <w:tcPr>
            <w:tcW w:w="60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215"/>
        </w:trPr>
        <w:tc>
          <w:tcPr>
            <w:tcW w:w="8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Offset</w:t>
            </w: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lowerRoman"/>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decimal"/>
      <w:start w:val="2"/>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17" Type="http://schemas.openxmlformats.org/officeDocument/2006/relationships/hyperlink" Target="https://www.sec.gov/ix?doc=/Archives/edgar/data/0000856982/000085698226000008/mmsi-20251231x10k.htm" TargetMode="External"/><Relationship Id="rId18" Type="http://schemas.openxmlformats.org/officeDocument/2006/relationships/hyperlink" Target="https://www.sec.gov/ix?doc=/Archives/edgar/data/0000856982/000085698226000013/mmsi-20260513xdef14a.htm" TargetMode="External"/><Relationship Id="rId19" Type="http://schemas.openxmlformats.org/officeDocument/2006/relationships/hyperlink" Target="https://www.sec.gov/ix?doc=/Archives/edgar/data/0000856982/000085698226000025/mmsi-20260331x10q.htm" TargetMode="External"/><Relationship Id="rId20" Type="http://schemas.openxmlformats.org/officeDocument/2006/relationships/hyperlink" Target="https://www.sec.gov/ix?doc=/Archives/edgar/data/0000856982/000085698226000023/mmsi-20260430x8k.htm" TargetMode="External"/><Relationship Id="rId21" Type="http://schemas.openxmlformats.org/officeDocument/2006/relationships/hyperlink" Target="https://www.sec.gov/ix?doc=/Archives/edgar/data/0000856982/000085698226000030/mmsi-20260513x8k.htm" TargetMode="External"/><Relationship Id="rId25" Type="http://schemas.openxmlformats.org/officeDocument/2006/relationships/hyperlink" Target="https://www.sec.gov/Archives/edgar/data/856982/000085698218000027/secondamendedandrestatedar.htm" TargetMode="External"/><Relationship Id="rId26" Type="http://schemas.openxmlformats.org/officeDocument/2006/relationships/hyperlink" Target="https://www.sec.gov/Archives/edgar/data/856982/000085698226000030/mmsi-20260513xex3d1.htm" TargetMode="External"/><Relationship Id="rId27" Type="http://schemas.openxmlformats.org/officeDocument/2006/relationships/hyperlink" Target="https://www.sec.gov/Archives/edgar/data/856982/000085698226000030/mmsi-20260513x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2026-06-29T14:42:05Z</dcterms:created>
  <dcterms:modified xsi:type="dcterms:W3CDTF">2026-06-29T14:42:05Z</dcterms:modified>
</cp:coreProperties>
</file>