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SD</w:t>
      </w:r>
    </w:p>
    <w:p>
      <w:pPr>
        <w:spacing w:after="0" w:line="1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1265555</wp:posOffset>
            </wp:positionH>
            <wp:positionV relativeFrom="paragraph">
              <wp:posOffset>128270</wp:posOffset>
            </wp:positionV>
            <wp:extent cx="3188970" cy="5740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188970" cy="57404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Merit Medical Systems, Inc.</w:t>
      </w: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the registrant as specified in its charter)</w:t>
      </w:r>
    </w:p>
    <w:p>
      <w:pPr>
        <w:sectPr>
          <w:pgSz w:w="11900" w:h="16838" w:orient="portrait"/>
          <w:cols w:equalWidth="0" w:num="1">
            <w:col w:w="9019"/>
          </w:cols>
          <w:pgMar w:left="1440" w:top="758" w:right="1440" w:bottom="1440" w:gutter="0" w:footer="0" w:header="0"/>
        </w:sectPr>
      </w:pPr>
    </w:p>
    <w:p>
      <w:pPr>
        <w:spacing w:after="0" w:line="200" w:lineRule="exact"/>
        <w:rPr>
          <w:sz w:val="24"/>
          <w:szCs w:val="24"/>
          <w:color w:val="auto"/>
        </w:rPr>
      </w:pPr>
    </w:p>
    <w:p>
      <w:pPr>
        <w:spacing w:after="0" w:line="251" w:lineRule="exact"/>
        <w:rPr>
          <w:sz w:val="24"/>
          <w:szCs w:val="24"/>
          <w:color w:val="auto"/>
        </w:rPr>
      </w:pPr>
    </w:p>
    <w:p>
      <w:pPr>
        <w:ind w:left="1640"/>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0-18592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87-0447695</w:t>
      </w:r>
    </w:p>
    <w:p>
      <w:pPr>
        <w:spacing w:after="0" w:line="81" w:lineRule="exact"/>
        <w:rPr>
          <w:sz w:val="24"/>
          <w:szCs w:val="24"/>
          <w:color w:val="auto"/>
        </w:rPr>
      </w:pPr>
    </w:p>
    <w:p>
      <w:pPr>
        <w:sectPr>
          <w:pgSz w:w="11900" w:h="16838" w:orient="portrait"/>
          <w:cols w:equalWidth="0" w:num="3">
            <w:col w:w="3480" w:space="720"/>
            <w:col w:w="1800" w:space="720"/>
            <w:col w:w="2299"/>
          </w:cols>
          <w:pgMar w:left="1440" w:top="758" w:right="1440" w:bottom="1440" w:gutter="0" w:footer="0" w:header="0"/>
          <w:type w:val="continuous"/>
        </w:sectPr>
      </w:pPr>
    </w:p>
    <w:p>
      <w:pPr>
        <w:jc w:val="center"/>
        <w:ind w:left="8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39" w:lineRule="exact"/>
        <w:rPr>
          <w:sz w:val="24"/>
          <w:szCs w:val="24"/>
          <w:color w:val="auto"/>
        </w:rPr>
      </w:pPr>
    </w:p>
    <w:p>
      <w:pPr>
        <w:jc w:val="center"/>
        <w:ind w:left="8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jc w:val="center"/>
        <w:ind w:right="799"/>
        <w:spacing w:after="0"/>
        <w:rPr>
          <w:sz w:val="20"/>
          <w:szCs w:val="20"/>
          <w:color w:val="auto"/>
        </w:rPr>
      </w:pPr>
      <w:r>
        <w:rPr>
          <w:rFonts w:ascii="Times New Roman" w:cs="Times New Roman" w:eastAsia="Times New Roman" w:hAnsi="Times New Roman"/>
          <w:sz w:val="18"/>
          <w:szCs w:val="18"/>
          <w:color w:val="auto"/>
        </w:rPr>
        <w:t>(IRS Employer Identification</w:t>
      </w:r>
    </w:p>
    <w:p>
      <w:pPr>
        <w:spacing w:after="0" w:line="27" w:lineRule="exact"/>
        <w:rPr>
          <w:sz w:val="24"/>
          <w:szCs w:val="24"/>
          <w:color w:val="auto"/>
        </w:rPr>
      </w:pPr>
    </w:p>
    <w:p>
      <w:pPr>
        <w:jc w:val="center"/>
        <w:ind w:right="799"/>
        <w:spacing w:after="0"/>
        <w:rPr>
          <w:sz w:val="20"/>
          <w:szCs w:val="20"/>
          <w:color w:val="auto"/>
        </w:rPr>
      </w:pPr>
      <w:r>
        <w:rPr>
          <w:rFonts w:ascii="Times New Roman" w:cs="Times New Roman" w:eastAsia="Times New Roman" w:hAnsi="Times New Roman"/>
          <w:sz w:val="18"/>
          <w:szCs w:val="18"/>
          <w:color w:val="auto"/>
        </w:rPr>
        <w:t>No.)</w:t>
      </w:r>
    </w:p>
    <w:p>
      <w:pPr>
        <w:spacing w:after="0" w:line="200" w:lineRule="exact"/>
        <w:rPr>
          <w:sz w:val="24"/>
          <w:szCs w:val="24"/>
          <w:color w:val="auto"/>
        </w:rPr>
      </w:pPr>
    </w:p>
    <w:p>
      <w:pPr>
        <w:sectPr>
          <w:pgSz w:w="11900" w:h="16838" w:orient="portrait"/>
          <w:cols w:equalWidth="0" w:num="3">
            <w:col w:w="2880" w:space="620"/>
            <w:col w:w="2000" w:space="600"/>
            <w:col w:w="2919"/>
          </w:cols>
          <w:pgMar w:left="1440" w:top="758" w:right="1440" w:bottom="1440" w:gutter="0" w:footer="0" w:header="0"/>
          <w:type w:val="continuous"/>
        </w:sectPr>
      </w:pPr>
    </w:p>
    <w:p>
      <w:pPr>
        <w:spacing w:after="0" w:line="57"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7"/>
          <w:szCs w:val="17"/>
          <w:b w:val="1"/>
          <w:bCs w:val="1"/>
          <w:color w:val="auto"/>
        </w:rPr>
        <w:t>1600 West Merit Parkway, South Jordan,</w:t>
      </w:r>
    </w:p>
    <w:p>
      <w:pPr>
        <w:spacing w:after="0" w:line="43" w:lineRule="exact"/>
        <w:rPr>
          <w:sz w:val="24"/>
          <w:szCs w:val="24"/>
          <w:color w:val="auto"/>
        </w:rPr>
      </w:pPr>
    </w:p>
    <w:p>
      <w:pPr>
        <w:jc w:val="center"/>
        <w:ind w:left="40"/>
        <w:spacing w:after="0"/>
        <w:rPr>
          <w:sz w:val="20"/>
          <w:szCs w:val="20"/>
          <w:color w:val="auto"/>
        </w:rPr>
      </w:pPr>
      <w:r>
        <w:rPr>
          <w:rFonts w:ascii="Times New Roman" w:cs="Times New Roman" w:eastAsia="Times New Roman" w:hAnsi="Times New Roman"/>
          <w:sz w:val="18"/>
          <w:szCs w:val="18"/>
          <w:b w:val="1"/>
          <w:bCs w:val="1"/>
          <w:color w:val="auto"/>
        </w:rPr>
        <w:t>Utah</w:t>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84095</w:t>
      </w:r>
    </w:p>
    <w:p>
      <w:pPr>
        <w:spacing w:after="0" w:line="80" w:lineRule="exact"/>
        <w:rPr>
          <w:sz w:val="24"/>
          <w:szCs w:val="24"/>
          <w:color w:val="auto"/>
        </w:rPr>
      </w:pPr>
    </w:p>
    <w:p>
      <w:pPr>
        <w:sectPr>
          <w:pgSz w:w="11900" w:h="16838" w:orient="portrait"/>
          <w:cols w:equalWidth="0" w:num="2">
            <w:col w:w="5400" w:space="720"/>
            <w:col w:w="2899"/>
          </w:cols>
          <w:pgMar w:left="1440" w:top="758" w:right="1440" w:bottom="1440" w:gutter="0" w:footer="0" w:header="0"/>
          <w:type w:val="continuous"/>
        </w:sectPr>
      </w:pPr>
    </w:p>
    <w:p>
      <w:pPr>
        <w:ind w:left="130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200" w:lineRule="exact"/>
        <w:rPr>
          <w:sz w:val="24"/>
          <w:szCs w:val="24"/>
          <w:color w:val="auto"/>
        </w:rPr>
      </w:pPr>
    </w:p>
    <w:p>
      <w:pPr>
        <w:sectPr>
          <w:pgSz w:w="11900" w:h="16838" w:orient="portrait"/>
          <w:cols w:equalWidth="0" w:num="2">
            <w:col w:w="5260" w:space="720"/>
            <w:col w:w="3039"/>
          </w:cols>
          <w:pgMar w:left="1440" w:top="758" w:right="1440" w:bottom="1440" w:gutter="0" w:footer="0" w:header="0"/>
          <w:type w:val="continuous"/>
        </w:sectPr>
      </w:pPr>
    </w:p>
    <w:p>
      <w:pPr>
        <w:spacing w:after="0" w:line="62" w:lineRule="exact"/>
        <w:rPr>
          <w:sz w:val="24"/>
          <w:szCs w:val="24"/>
          <w:color w:val="auto"/>
        </w:rPr>
      </w:pPr>
    </w:p>
    <w:p>
      <w:pPr>
        <w:ind w:left="1760"/>
        <w:spacing w:after="0"/>
        <w:rPr>
          <w:sz w:val="20"/>
          <w:szCs w:val="20"/>
          <w:color w:val="auto"/>
        </w:rPr>
      </w:pPr>
      <w:r>
        <w:rPr>
          <w:rFonts w:ascii="Times New Roman" w:cs="Times New Roman" w:eastAsia="Times New Roman" w:hAnsi="Times New Roman"/>
          <w:sz w:val="17"/>
          <w:szCs w:val="17"/>
          <w:b w:val="1"/>
          <w:bCs w:val="1"/>
          <w:color w:val="auto"/>
        </w:rPr>
        <w:t>Brian G. Lloyd</w:t>
      </w:r>
    </w:p>
    <w:p>
      <w:pPr>
        <w:spacing w:after="0" w:line="20" w:lineRule="exact"/>
        <w:rPr>
          <w:sz w:val="24"/>
          <w:szCs w:val="24"/>
          <w:color w:val="auto"/>
        </w:rPr>
      </w:pPr>
      <w:r>
        <w:rPr>
          <w:sz w:val="24"/>
          <w:szCs w:val="24"/>
          <w:color w:val="auto"/>
        </w:rPr>
        <w:br w:type="column"/>
      </w: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(801) 253-1600</w:t>
      </w:r>
    </w:p>
    <w:p>
      <w:pPr>
        <w:spacing w:after="0" w:line="81" w:lineRule="exact"/>
        <w:rPr>
          <w:sz w:val="24"/>
          <w:szCs w:val="24"/>
          <w:color w:val="auto"/>
        </w:rPr>
      </w:pPr>
    </w:p>
    <w:p>
      <w:pPr>
        <w:sectPr>
          <w:pgSz w:w="11900" w:h="16838" w:orient="portrait"/>
          <w:cols w:equalWidth="0" w:num="2">
            <w:col w:w="5400" w:space="720"/>
            <w:col w:w="2899"/>
          </w:cols>
          <w:pgMar w:left="1440" w:top="758" w:right="1440"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12" w:lineRule="exact"/>
        <w:rPr>
          <w:sz w:val="24"/>
          <w:szCs w:val="24"/>
          <w:color w:val="auto"/>
        </w:rPr>
      </w:pPr>
    </w:p>
    <w:p>
      <w:pPr>
        <w:ind w:left="200" w:right="219"/>
        <w:spacing w:after="0" w:line="329"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81" w:lineRule="exact"/>
        <w:rPr>
          <w:sz w:val="24"/>
          <w:szCs w:val="24"/>
          <w:color w:val="auto"/>
        </w:rPr>
      </w:pPr>
    </w:p>
    <w:p>
      <w:pPr>
        <w:ind w:left="200" w:right="219" w:firstLine="9"/>
        <w:spacing w:after="0" w:line="329" w:lineRule="auto"/>
        <w:tabs>
          <w:tab w:leader="none" w:pos="59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53" w:lineRule="exact"/>
        <w:rPr>
          <w:sz w:val="24"/>
          <w:szCs w:val="24"/>
          <w:color w:val="auto"/>
        </w:rPr>
      </w:pPr>
    </w:p>
    <w:p>
      <w:pPr>
        <w:ind w:left="200"/>
        <w:spacing w:after="0" w:line="207" w:lineRule="exact"/>
        <w:tabs>
          <w:tab w:leader="none" w:pos="540" w:val="left"/>
          <w:tab w:leader="none" w:pos="792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Rule 13q-1 under the Securities Exchange Act (17 CFR 240.13q-1) for the fiscal year ended</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133985</wp:posOffset>
            </wp:positionH>
            <wp:positionV relativeFrom="paragraph">
              <wp:posOffset>635000</wp:posOffset>
            </wp:positionV>
            <wp:extent cx="5452110" cy="254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452110" cy="25400"/>
                    </a:xfrm>
                    <a:prstGeom prst="rect">
                      <a:avLst/>
                    </a:prstGeom>
                    <a:noFill/>
                  </pic:spPr>
                </pic:pic>
              </a:graphicData>
            </a:graphic>
          </wp:anchor>
        </w:drawing>
        <w:drawing>
          <wp:anchor simplePos="0" relativeHeight="251657728" behindDoc="1" locked="0" layoutInCell="0" allowOverlap="1">
            <wp:simplePos x="0" y="0"/>
            <wp:positionH relativeFrom="column">
              <wp:posOffset>4588510</wp:posOffset>
            </wp:positionH>
            <wp:positionV relativeFrom="paragraph">
              <wp:posOffset>17780</wp:posOffset>
            </wp:positionV>
            <wp:extent cx="4572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7200" cy="8255"/>
                    </a:xfrm>
                    <a:prstGeom prst="rect">
                      <a:avLst/>
                    </a:prstGeom>
                    <a:noFill/>
                  </pic:spPr>
                </pic:pic>
              </a:graphicData>
            </a:graphic>
          </wp:anchor>
        </w:drawing>
      </w:r>
    </w:p>
    <w:p>
      <w:pPr>
        <w:sectPr>
          <w:pgSz w:w="11900" w:h="16838" w:orient="portrait"/>
          <w:cols w:equalWidth="0" w:num="1">
            <w:col w:w="9019"/>
          </w:cols>
          <w:pgMar w:left="1440" w:top="758" w:right="1440" w:bottom="1440" w:gutter="0" w:footer="0" w:header="0"/>
          <w:type w:val="continuous"/>
        </w:sectPr>
      </w:pPr>
    </w:p>
    <w:bookmarkStart w:id="1" w:name="page2"/>
    <w:bookmarkEnd w:id="1"/>
    <w:p>
      <w:pPr>
        <w:ind w:left="200"/>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43" w:lineRule="exact"/>
        <w:rPr>
          <w:sz w:val="20"/>
          <w:szCs w:val="20"/>
          <w:color w:val="auto"/>
        </w:rPr>
      </w:pPr>
    </w:p>
    <w:p>
      <w:pPr>
        <w:jc w:val="both"/>
        <w:ind w:left="200" w:right="219"/>
        <w:spacing w:after="0" w:line="258" w:lineRule="auto"/>
        <w:rPr>
          <w:sz w:val="20"/>
          <w:szCs w:val="20"/>
          <w:color w:val="auto"/>
        </w:rPr>
      </w:pPr>
      <w:r>
        <w:rPr>
          <w:rFonts w:ascii="Times New Roman" w:cs="Times New Roman" w:eastAsia="Times New Roman" w:hAnsi="Times New Roman"/>
          <w:sz w:val="18"/>
          <w:szCs w:val="18"/>
          <w:color w:val="auto"/>
        </w:rPr>
        <w:t>In accordance with Rule 13p-1 under the Securities Exchange Act of 1934, Merit Medical Systems, Inc. (the "Company") is filing a Conflict Minerals Report for the calendar year ended December 31, 2025. A copy of the report is filed as Exhibit 1.01 hereto and is publicly available at https://www.merit.com/compliance/conflict-minerals-report/</w:t>
      </w:r>
      <w:r>
        <w:rPr>
          <w:rFonts w:ascii="Times New Roman" w:cs="Times New Roman" w:eastAsia="Times New Roman" w:hAnsi="Times New Roman"/>
          <w:sz w:val="19"/>
          <w:szCs w:val="19"/>
          <w:color w:val="auto"/>
        </w:rPr>
        <w:t>.</w:t>
      </w:r>
      <w:r>
        <w:rPr>
          <w:rFonts w:ascii="Times New Roman" w:cs="Times New Roman" w:eastAsia="Times New Roman" w:hAnsi="Times New Roman"/>
          <w:sz w:val="18"/>
          <w:szCs w:val="18"/>
          <w:color w:val="auto"/>
        </w:rPr>
        <w:t xml:space="preserve"> The content of any website referred to in this Form SD, including any exhibit hereto, is included for general information only and is not incorporated by reference in this Form SD.</w:t>
      </w:r>
    </w:p>
    <w:p>
      <w:pPr>
        <w:spacing w:after="0" w:line="19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43" w:lineRule="exact"/>
        <w:rPr>
          <w:sz w:val="20"/>
          <w:szCs w:val="20"/>
          <w:color w:val="auto"/>
        </w:rPr>
      </w:pPr>
    </w:p>
    <w:p>
      <w:pPr>
        <w:jc w:val="both"/>
        <w:ind w:left="200" w:right="219"/>
        <w:spacing w:after="0" w:line="282" w:lineRule="auto"/>
        <w:rPr>
          <w:sz w:val="20"/>
          <w:szCs w:val="20"/>
          <w:color w:val="auto"/>
        </w:rPr>
      </w:pPr>
      <w:r>
        <w:rPr>
          <w:rFonts w:ascii="Times New Roman" w:cs="Times New Roman" w:eastAsia="Times New Roman" w:hAnsi="Times New Roman"/>
          <w:sz w:val="18"/>
          <w:szCs w:val="18"/>
          <w:color w:val="auto"/>
        </w:rPr>
        <w:t>The Company’s Conflict Minerals Report for the calendar year ended December 31, 2025 is filed as Exhibit 1.01 to this Form SD.</w:t>
      </w:r>
    </w:p>
    <w:p>
      <w:pPr>
        <w:spacing w:after="0" w:line="15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23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43"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xml:space="preserve">Exhibit 1.01 - </w:t>
      </w:r>
      <w:r>
        <w:rPr>
          <w:rFonts w:ascii="Times New Roman" w:cs="Times New Roman" w:eastAsia="Times New Roman" w:hAnsi="Times New Roman"/>
          <w:sz w:val="18"/>
          <w:szCs w:val="18"/>
          <w:u w:val="single" w:color="auto"/>
          <w:color w:val="0000EE"/>
        </w:rPr>
        <w:t>Conflict Minerals Report as required by Items 1.01 and 1.02 of this Form.</w:t>
      </w:r>
    </w:p>
    <w:p>
      <w:pPr>
        <w:spacing w:after="0" w:line="2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40" w:lineRule="exact"/>
        <w:rPr>
          <w:sz w:val="20"/>
          <w:szCs w:val="20"/>
          <w:color w:val="auto"/>
        </w:rPr>
      </w:pPr>
    </w:p>
    <w:p>
      <w:pPr>
        <w:ind w:left="200" w:right="47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212" w:lineRule="exact"/>
        <w:rPr>
          <w:sz w:val="20"/>
          <w:szCs w:val="20"/>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MERIT MEDICAL SYSTEMS, INC.</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40"/>
        <w:spacing w:after="0"/>
        <w:tabs>
          <w:tab w:leader="none" w:pos="4680" w:val="left"/>
        </w:tabs>
        <w:rPr>
          <w:sz w:val="20"/>
          <w:szCs w:val="20"/>
          <w:color w:val="auto"/>
        </w:rPr>
      </w:pPr>
      <w:r>
        <w:rPr>
          <w:rFonts w:ascii="Times New Roman" w:cs="Times New Roman" w:eastAsia="Times New Roman" w:hAnsi="Times New Roman"/>
          <w:sz w:val="18"/>
          <w:szCs w:val="18"/>
          <w:color w:val="auto"/>
        </w:rPr>
        <w:t>Date: May 29, 2026</w:t>
      </w:r>
      <w:r>
        <w:rPr>
          <w:sz w:val="20"/>
          <w:szCs w:val="20"/>
          <w:color w:val="auto"/>
        </w:rPr>
        <w:tab/>
      </w:r>
      <w:r>
        <w:rPr>
          <w:rFonts w:ascii="Times New Roman" w:cs="Times New Roman" w:eastAsia="Times New Roman" w:hAnsi="Times New Roman"/>
          <w:sz w:val="18"/>
          <w:szCs w:val="18"/>
          <w:color w:val="auto"/>
        </w:rPr>
        <w:t>By: /s/ Brian G. Lloyd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34290</wp:posOffset>
            </wp:positionV>
            <wp:extent cx="24003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00300" cy="8255"/>
                    </a:xfrm>
                    <a:prstGeom prst="rect">
                      <a:avLst/>
                    </a:prstGeom>
                    <a:noFill/>
                  </pic:spPr>
                </pic:pic>
              </a:graphicData>
            </a:graphic>
          </wp:anchor>
        </w:drawing>
      </w:r>
    </w:p>
    <w:p>
      <w:pPr>
        <w:spacing w:after="0" w:line="57"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color w:val="auto"/>
        </w:rPr>
        <w:t>Chief Legal Officer and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540385</wp:posOffset>
            </wp:positionV>
            <wp:extent cx="545211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20"/>
          <w:szCs w:val="20"/>
          <w:b w:val="1"/>
          <w:bCs w:val="1"/>
          <w:color w:val="auto"/>
        </w:rPr>
        <w:t>Merit Medical Systems,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Conflict Minerals Report</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For Calendar Year 2025</w:t>
      </w:r>
    </w:p>
    <w:p>
      <w:pPr>
        <w:spacing w:after="0" w:line="238" w:lineRule="exact"/>
        <w:rPr>
          <w:sz w:val="20"/>
          <w:szCs w:val="20"/>
          <w:color w:val="auto"/>
        </w:rPr>
      </w:pPr>
    </w:p>
    <w:p>
      <w:pPr>
        <w:ind w:left="200" w:right="239"/>
        <w:spacing w:after="0" w:line="248" w:lineRule="auto"/>
        <w:rPr>
          <w:sz w:val="20"/>
          <w:szCs w:val="20"/>
          <w:color w:val="auto"/>
        </w:rPr>
      </w:pPr>
      <w:r>
        <w:rPr>
          <w:rFonts w:ascii="Arial" w:cs="Arial" w:eastAsia="Arial" w:hAnsi="Arial"/>
          <w:sz w:val="20"/>
          <w:szCs w:val="20"/>
          <w:color w:val="auto"/>
        </w:rPr>
        <w:t>Merit Medical Systems, Inc. (“Merit,” the “Company,” “we,” “us,” or “our”) submits this Conflict Minerals Report for the period January 1 to December 31, 2025, pursuant to Rule 13p-1 under the Securities Exchange Act of 1934, as amended (the “Rule”). The Rule was adopted by the Securities and Exchange Commission (the “SEC”) to implement reporting and disclosure requirements related to conflict minerals as directed by the Dodd-Frank Wall Street Reform and Consumer Protection Act of 2010. The Rule imposes certain reporting obligations on SEC registrants whose manufactured products or products contracted to be manufactured contain conflict minerals which are necessary to the functionality or production of their products. “Conflict minerals” are defined as cassiterite, columbite-tantalite, wolframite, and gold, including their derivatives, which are limited to tin, tantalum, and tungsten (collectively, together with gold, “3TG”).</w:t>
      </w:r>
    </w:p>
    <w:p>
      <w:pPr>
        <w:spacing w:after="0" w:line="151"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Overview</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Merit’s Business</w:t>
      </w:r>
    </w:p>
    <w:p>
      <w:pPr>
        <w:spacing w:after="0" w:line="191" w:lineRule="exact"/>
        <w:rPr>
          <w:sz w:val="20"/>
          <w:szCs w:val="20"/>
          <w:color w:val="auto"/>
        </w:rPr>
      </w:pPr>
    </w:p>
    <w:p>
      <w:pPr>
        <w:ind w:left="200" w:right="939"/>
        <w:spacing w:after="0" w:line="262" w:lineRule="auto"/>
        <w:rPr>
          <w:sz w:val="20"/>
          <w:szCs w:val="20"/>
          <w:color w:val="auto"/>
        </w:rPr>
      </w:pPr>
      <w:r>
        <w:rPr>
          <w:rFonts w:ascii="Arial" w:cs="Arial" w:eastAsia="Arial" w:hAnsi="Arial"/>
          <w:sz w:val="20"/>
          <w:szCs w:val="20"/>
          <w:color w:val="auto"/>
        </w:rPr>
        <w:t>Merit is a leading manufacturer and marketer of proprietary medical devices used in interventional, diagnostic, and therapeutic procedures, particularly in cardiology, radiology, oncology, critical care, and endoscopy.</w:t>
      </w:r>
    </w:p>
    <w:p>
      <w:pPr>
        <w:spacing w:after="0" w:line="124" w:lineRule="exact"/>
        <w:rPr>
          <w:sz w:val="20"/>
          <w:szCs w:val="20"/>
          <w:color w:val="auto"/>
        </w:rPr>
      </w:pPr>
    </w:p>
    <w:p>
      <w:pPr>
        <w:ind w:left="200" w:right="259"/>
        <w:spacing w:after="0" w:line="249" w:lineRule="auto"/>
        <w:rPr>
          <w:sz w:val="20"/>
          <w:szCs w:val="20"/>
          <w:color w:val="auto"/>
        </w:rPr>
      </w:pPr>
      <w:r>
        <w:rPr>
          <w:rFonts w:ascii="Arial" w:cs="Arial" w:eastAsia="Arial" w:hAnsi="Arial"/>
          <w:sz w:val="20"/>
          <w:szCs w:val="20"/>
          <w:color w:val="auto"/>
        </w:rPr>
        <w:t>Our world headquarters is located in South Jordan, Utah, with our principal office for European operations located in Galway, Ireland and our principal office for Asian distribution located in Beijing, China. We also support our European operations from a distribution and customer service facility located in Maastricht, The Netherlands. In addition, we lease commercial space in India, Hong Kong, Italy, Dubai, Australia, Canada, Brazil, Malaysia, South Korea, Japan, South Africa, Singapore, Great Britain, Vietnam, Taiwan, New Zealand, Indonesia, and France, as well as in California and Texas. Our principal manufacturing and packaging facilities are located in Utah, Virginia, Texas, Florida, Ireland, Brazil, Singapore, Mexico, France, and The Netherlands. Our research and development activities are conducted principally at facilities located in Utah, California, Texas, Ireland, and France.</w:t>
      </w:r>
    </w:p>
    <w:p>
      <w:pPr>
        <w:spacing w:after="0" w:line="152" w:lineRule="exact"/>
        <w:rPr>
          <w:sz w:val="20"/>
          <w:szCs w:val="20"/>
          <w:color w:val="auto"/>
        </w:rPr>
      </w:pPr>
    </w:p>
    <w:p>
      <w:pPr>
        <w:ind w:left="200" w:right="439"/>
        <w:spacing w:after="0" w:line="250" w:lineRule="auto"/>
        <w:rPr>
          <w:sz w:val="20"/>
          <w:szCs w:val="20"/>
          <w:color w:val="auto"/>
        </w:rPr>
      </w:pPr>
      <w:r>
        <w:rPr>
          <w:rFonts w:ascii="Arial" w:cs="Arial" w:eastAsia="Arial" w:hAnsi="Arial"/>
          <w:sz w:val="20"/>
          <w:szCs w:val="20"/>
          <w:color w:val="auto"/>
        </w:rPr>
        <w:t>We design, develop, market, and manufacture, through our own operations and contract manufacturers, medical products that offer a high level of quality, value, and safety to our customers, as well as the patients they serve. Our products are used in the following clinical areas: radiology; diagnostic and interventional cardiology; interventional radiology; neurointerventional radiology; vascular, general and thoracic surgery; electrophysiology; cardiac rhythm management; interventional pulmonology; interventional nephrology; orthopedic spine surgery; interventional oncology; pain management; breast cancer surgery, outpatient access centers; intensive care; imaging; and interventional gastroenterology. These products are collectively referred to as “Covered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333375</wp:posOffset>
            </wp:positionV>
            <wp:extent cx="545211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3" w:name="page4"/>
    <w:bookmarkEnd w:id="3"/>
    <w:p>
      <w:pPr>
        <w:ind w:left="200"/>
        <w:spacing w:after="0"/>
        <w:rPr>
          <w:sz w:val="20"/>
          <w:szCs w:val="20"/>
          <w:color w:val="auto"/>
        </w:rPr>
      </w:pPr>
      <w:r>
        <w:rPr>
          <w:rFonts w:ascii="Arial" w:cs="Arial" w:eastAsia="Arial" w:hAnsi="Arial"/>
          <w:sz w:val="20"/>
          <w:szCs w:val="20"/>
          <w:b w:val="1"/>
          <w:bCs w:val="1"/>
          <w:u w:val="single" w:color="auto"/>
          <w:color w:val="auto"/>
        </w:rPr>
        <w:t>Reasonable Country of Origin Inquiry</w:t>
      </w:r>
    </w:p>
    <w:p>
      <w:pPr>
        <w:spacing w:after="0" w:line="191" w:lineRule="exact"/>
        <w:rPr>
          <w:sz w:val="20"/>
          <w:szCs w:val="20"/>
          <w:color w:val="auto"/>
        </w:rPr>
      </w:pPr>
    </w:p>
    <w:p>
      <w:pPr>
        <w:jc w:val="both"/>
        <w:ind w:left="200" w:right="219"/>
        <w:spacing w:after="0" w:line="248" w:lineRule="auto"/>
        <w:rPr>
          <w:sz w:val="20"/>
          <w:szCs w:val="20"/>
          <w:color w:val="auto"/>
        </w:rPr>
      </w:pPr>
      <w:r>
        <w:rPr>
          <w:rFonts w:ascii="Arial" w:cs="Arial" w:eastAsia="Arial" w:hAnsi="Arial"/>
          <w:sz w:val="20"/>
          <w:szCs w:val="20"/>
          <w:color w:val="auto"/>
        </w:rPr>
        <w:t>We have reviewed internal product information and conducted a survey of suppliers of metal parts for the Covered Products. Based on inquiries to suppliers of components and subassemblies within the Covered Products, we have determined that 3TG are necessary to the functionality or production of the Covered Products manufactured or contracted to be manufactured during calendar year 2025. Accordingly, the Company conducted in good faith a reasonable country of origin inquiry (the “RCOI”) to determine whether any 3TG contained in the Covered Products originated in the Democratic Republic of the Congo, the Republic of the Congo, the Central African Republic, South Sudan, Uganda, Rwanda, Burundi, Tanzania, Zambia and/or Angola (together the “Covered Countries”).</w:t>
      </w:r>
    </w:p>
    <w:p>
      <w:pPr>
        <w:spacing w:after="0" w:line="156"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color w:val="auto"/>
        </w:rPr>
        <w:t>The elements of the RCOI were identification of the relevant suppliers; data collection; and assessment to determine whether further due diligence was required.</w:t>
      </w:r>
    </w:p>
    <w:p>
      <w:pPr>
        <w:spacing w:after="0" w:line="129" w:lineRule="exact"/>
        <w:rPr>
          <w:sz w:val="20"/>
          <w:szCs w:val="20"/>
          <w:color w:val="auto"/>
        </w:rPr>
      </w:pPr>
    </w:p>
    <w:p>
      <w:pPr>
        <w:jc w:val="both"/>
        <w:ind w:left="860" w:right="239" w:hanging="327"/>
        <w:spacing w:after="0" w:line="262" w:lineRule="auto"/>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Identification of the suppliers</w:t>
      </w:r>
      <w:r>
        <w:rPr>
          <w:rFonts w:ascii="Arial" w:cs="Arial" w:eastAsia="Arial" w:hAnsi="Arial"/>
          <w:sz w:val="20"/>
          <w:szCs w:val="20"/>
          <w:color w:val="auto"/>
        </w:rPr>
        <w:t>: We identified 36 suppliers that may have provided 3TG used in the Covered Products (the “Supplier Group”) and received completed CMRT responses from 30 of the 36 identified suppliers (approximately 83%).</w:t>
      </w:r>
    </w:p>
    <w:p>
      <w:pPr>
        <w:spacing w:after="0" w:line="136" w:lineRule="exact"/>
        <w:rPr>
          <w:rFonts w:ascii="Times New Roman" w:cs="Times New Roman" w:eastAsia="Times New Roman" w:hAnsi="Times New Roman"/>
          <w:sz w:val="20"/>
          <w:szCs w:val="20"/>
          <w:color w:val="auto"/>
        </w:rPr>
      </w:pPr>
    </w:p>
    <w:p>
      <w:pPr>
        <w:jc w:val="both"/>
        <w:ind w:left="860" w:right="219" w:hanging="327"/>
        <w:spacing w:after="0" w:line="246" w:lineRule="auto"/>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Data Collection</w:t>
      </w:r>
      <w:r>
        <w:rPr>
          <w:rFonts w:ascii="Arial" w:cs="Arial" w:eastAsia="Arial" w:hAnsi="Arial"/>
          <w:sz w:val="20"/>
          <w:szCs w:val="20"/>
          <w:color w:val="auto"/>
        </w:rPr>
        <w:t>: We distributed information to the Supplier Group about the Rule and requested information regarding the source of 3TG contained in the components and subassemblies supplied to manufacture the Covered Products. We sent the Supplier Group the Conflict Minerals Reporting Template (the “CMRT”) developed by the Responsible Minerals Initiative (“RMI”). The CMRT is designed to obtain sourcing information on the 3TG contained in materials manufactured or supplied by the Supplier Group used in the Covered Products, or as a company-level declaration, including information on the type of 3TG involved, the source and country of origin of the 3TG, as well as the smelters and refiners of those 3TG. We reviewed responses to the CMRT for plausibility, consistency, and completeness. We also reviewed smelters or refiners reported on responses to the CMRT against the Responsible Minerals Assurance Process (“RMAP”)-Active database that contains all the smelters or refiners that are under the RMI RMAP-Active Program. For smelters or refiners that could not be identified against the RMAP-Active database, we checked the smelter against the Covered Countries list. Of the 36 entities identified in the Supplier Group, we received complete CMRT responses from more than 83% of the entities. A significant portion of the smelters identified against the RMAP-Active database were listed as conformant or active under the RMAP, while others were either not participating or could not be verified. The Company continues to engage suppliers to encourage use of conformant smelters.</w:t>
      </w:r>
    </w:p>
    <w:p>
      <w:pPr>
        <w:spacing w:after="0" w:line="164" w:lineRule="exact"/>
        <w:rPr>
          <w:rFonts w:ascii="Times New Roman" w:cs="Times New Roman" w:eastAsia="Times New Roman" w:hAnsi="Times New Roman"/>
          <w:sz w:val="20"/>
          <w:szCs w:val="20"/>
          <w:color w:val="auto"/>
        </w:rPr>
      </w:pPr>
    </w:p>
    <w:p>
      <w:pPr>
        <w:jc w:val="both"/>
        <w:ind w:left="860" w:right="219" w:hanging="327"/>
        <w:spacing w:after="0" w:line="254" w:lineRule="auto"/>
        <w:tabs>
          <w:tab w:leader="none" w:pos="86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u w:val="single" w:color="auto"/>
          <w:color w:val="auto"/>
        </w:rPr>
        <w:t>Assessment</w:t>
      </w:r>
      <w:r>
        <w:rPr>
          <w:rFonts w:ascii="Arial" w:cs="Arial" w:eastAsia="Arial" w:hAnsi="Arial"/>
          <w:sz w:val="20"/>
          <w:szCs w:val="20"/>
          <w:color w:val="auto"/>
        </w:rPr>
        <w:t>: Based on the RCOI, the Company has reason to believe that some 3TG may have originated in the Covered Countries. Accordingly, we conducted further due diligence on the source and chain of custody of 3TG contained in components and subassemblies provided by the Supplier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337820</wp:posOffset>
            </wp:positionV>
            <wp:extent cx="545211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20"/>
          <w:szCs w:val="20"/>
          <w:b w:val="1"/>
          <w:bCs w:val="1"/>
          <w:u w:val="single" w:color="auto"/>
          <w:color w:val="auto"/>
        </w:rPr>
        <w:t>Due Diligence Process</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Design of Due Diligence Measures</w:t>
      </w:r>
    </w:p>
    <w:p>
      <w:pPr>
        <w:spacing w:after="0" w:line="191"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0"/>
          <w:szCs w:val="20"/>
          <w:color w:val="auto"/>
        </w:rPr>
        <w:t>Our due diligence measures are designed to align, in all material respects, with the Organisation for Economic Co-operation and Development’s Due Diligence Guidance for Responsible Supply Chains of Minerals from Conflict-Affected and High-Risk Areas. This work is integrated with the Company’s broader trade compliance and supplier governance processes.</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Due Diligence Performed</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Step 1: Establish Strong Company Management Systems</w:t>
      </w:r>
    </w:p>
    <w:p>
      <w:pPr>
        <w:spacing w:after="0" w:line="191"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20"/>
          <w:szCs w:val="20"/>
          <w:color w:val="auto"/>
        </w:rPr>
        <w:t>The Company has established a management system to determine the source and chain of custody of 3TG in our supply chain, including the following key components:</w:t>
      </w:r>
    </w:p>
    <w:p>
      <w:pPr>
        <w:spacing w:after="0" w:line="100" w:lineRule="exact"/>
        <w:rPr>
          <w:sz w:val="20"/>
          <w:szCs w:val="20"/>
          <w:color w:val="auto"/>
        </w:rPr>
      </w:pPr>
    </w:p>
    <w:p>
      <w:pPr>
        <w:jc w:val="both"/>
        <w:ind w:left="200" w:right="219"/>
        <w:spacing w:after="0" w:line="259" w:lineRule="auto"/>
        <w:rPr>
          <w:sz w:val="20"/>
          <w:szCs w:val="20"/>
          <w:color w:val="auto"/>
        </w:rPr>
      </w:pPr>
      <w:r>
        <w:rPr>
          <w:rFonts w:ascii="Arial" w:cs="Arial" w:eastAsia="Arial" w:hAnsi="Arial"/>
          <w:sz w:val="20"/>
          <w:szCs w:val="20"/>
          <w:u w:val="single" w:color="auto"/>
          <w:color w:val="auto"/>
        </w:rPr>
        <w:t>Conflict Minerals Policy</w:t>
      </w:r>
      <w:r>
        <w:rPr>
          <w:rFonts w:ascii="Arial" w:cs="Arial" w:eastAsia="Arial" w:hAnsi="Arial"/>
          <w:sz w:val="20"/>
          <w:szCs w:val="20"/>
          <w:color w:val="auto"/>
        </w:rPr>
        <w:t>. We have adopted a Conflict Minerals Policy that outlines to suppliers and customers our commitment to responsible sourcing of 3TG throughout our supply chain and to compliance with the Rule. The Conflict Minerals Policy is publicly available on our website at: https://www.merit.com/compliance/conflict-minerals-policy/</w:t>
      </w:r>
    </w:p>
    <w:p>
      <w:pPr>
        <w:spacing w:after="0" w:line="128"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u w:val="single" w:color="auto"/>
          <w:color w:val="auto"/>
        </w:rPr>
        <w:t>Internal Team</w:t>
      </w:r>
      <w:r>
        <w:rPr>
          <w:rFonts w:ascii="Arial" w:cs="Arial" w:eastAsia="Arial" w:hAnsi="Arial"/>
          <w:sz w:val="20"/>
          <w:szCs w:val="20"/>
          <w:color w:val="auto"/>
        </w:rPr>
        <w:t>. Our management system includes oversight of our RCOI and due diligence processes by a team made up of representatives from various departments within the Company, such as Operations (which includes members from our manufacturing and procurement functions), Environment, Social and Governance, and Legal. The team is responsible for assessing any risks that may exist in our supply chain. Our Vice President, Environment, Social and Governance (“ESG”), oversees the work of our 3TG compliance team.</w:t>
      </w:r>
    </w:p>
    <w:p>
      <w:pPr>
        <w:spacing w:after="0" w:line="133" w:lineRule="exact"/>
        <w:rPr>
          <w:sz w:val="20"/>
          <w:szCs w:val="20"/>
          <w:color w:val="auto"/>
        </w:rPr>
      </w:pPr>
    </w:p>
    <w:p>
      <w:pPr>
        <w:jc w:val="both"/>
        <w:ind w:left="200" w:right="219"/>
        <w:spacing w:after="0" w:line="286" w:lineRule="auto"/>
        <w:rPr>
          <w:sz w:val="20"/>
          <w:szCs w:val="20"/>
          <w:color w:val="auto"/>
        </w:rPr>
      </w:pPr>
      <w:r>
        <w:rPr>
          <w:rFonts w:ascii="Arial" w:cs="Arial" w:eastAsia="Arial" w:hAnsi="Arial"/>
          <w:sz w:val="20"/>
          <w:szCs w:val="20"/>
          <w:u w:val="single" w:color="auto"/>
          <w:color w:val="auto"/>
        </w:rPr>
        <w:t>Control Systems</w:t>
      </w:r>
      <w:r>
        <w:rPr>
          <w:rFonts w:ascii="Arial" w:cs="Arial" w:eastAsia="Arial" w:hAnsi="Arial"/>
          <w:sz w:val="20"/>
          <w:szCs w:val="20"/>
          <w:color w:val="auto"/>
        </w:rPr>
        <w:t>. We utilize the CMRT sent to the Supplier Group to gather information on the chain of custody of 3TG included in the Covered Products.</w:t>
      </w:r>
    </w:p>
    <w:p>
      <w:pPr>
        <w:spacing w:after="0" w:line="113"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0"/>
          <w:szCs w:val="20"/>
          <w:u w:val="single" w:color="auto"/>
          <w:color w:val="auto"/>
        </w:rPr>
        <w:t>Supplier Engagement</w:t>
      </w:r>
      <w:r>
        <w:rPr>
          <w:rFonts w:ascii="Arial" w:cs="Arial" w:eastAsia="Arial" w:hAnsi="Arial"/>
          <w:sz w:val="20"/>
          <w:szCs w:val="20"/>
          <w:color w:val="auto"/>
        </w:rPr>
        <w:t>. Our Vice President, Global Strategic Sourcing, has communicated to the Supplier Group our obligations under the Rule by distributing to them the CMRT and providing them with information on compliance with the Rule.</w:t>
      </w:r>
    </w:p>
    <w:p>
      <w:pPr>
        <w:spacing w:after="0" w:line="144"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u w:val="single" w:color="auto"/>
          <w:color w:val="auto"/>
        </w:rPr>
        <w:t>Grievance Mechanism</w:t>
      </w:r>
      <w:r>
        <w:rPr>
          <w:rFonts w:ascii="Arial" w:cs="Arial" w:eastAsia="Arial" w:hAnsi="Arial"/>
          <w:sz w:val="20"/>
          <w:szCs w:val="20"/>
          <w:color w:val="auto"/>
        </w:rPr>
        <w:t>. We have a company level grievance mechanism as part of our Code of Conduct for Suppliers and Code of Conduct for Employees, as well as an ethics hotline hosted by a third party that provides both internal and external stakeholders with a mechanism to report violations of our policies or other concerns. We have procedures in place for follow-up in the event any conflict minerals issues are raised through our grievance mechanism.</w:t>
      </w:r>
    </w:p>
    <w:p>
      <w:pPr>
        <w:spacing w:after="0" w:line="147" w:lineRule="exact"/>
        <w:rPr>
          <w:sz w:val="20"/>
          <w:szCs w:val="20"/>
          <w:color w:val="auto"/>
        </w:rPr>
      </w:pPr>
    </w:p>
    <w:p>
      <w:pPr>
        <w:jc w:val="both"/>
        <w:ind w:left="200" w:right="219"/>
        <w:spacing w:after="0" w:line="271" w:lineRule="auto"/>
        <w:rPr>
          <w:sz w:val="20"/>
          <w:szCs w:val="20"/>
          <w:color w:val="auto"/>
        </w:rPr>
      </w:pPr>
      <w:r>
        <w:rPr>
          <w:rFonts w:ascii="Arial" w:cs="Arial" w:eastAsia="Arial" w:hAnsi="Arial"/>
          <w:sz w:val="20"/>
          <w:szCs w:val="20"/>
          <w:u w:val="single" w:color="auto"/>
          <w:color w:val="auto"/>
        </w:rPr>
        <w:t>Record retention</w:t>
      </w:r>
      <w:r>
        <w:rPr>
          <w:rFonts w:ascii="Arial" w:cs="Arial" w:eastAsia="Arial" w:hAnsi="Arial"/>
          <w:sz w:val="20"/>
          <w:szCs w:val="20"/>
          <w:color w:val="auto"/>
        </w:rPr>
        <w:t>. We have a record retention policy applicable to conflict minerals-related documentation.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327025</wp:posOffset>
            </wp:positionV>
            <wp:extent cx="545211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6" w:right="1440" w:bottom="1440" w:gutter="0" w:footer="0" w:header="0"/>
        </w:sectPr>
      </w:pPr>
    </w:p>
    <w:bookmarkStart w:id="5" w:name="page6"/>
    <w:bookmarkEnd w:id="5"/>
    <w:p>
      <w:pPr>
        <w:ind w:left="200"/>
        <w:spacing w:after="0"/>
        <w:rPr>
          <w:sz w:val="20"/>
          <w:szCs w:val="20"/>
          <w:color w:val="auto"/>
        </w:rPr>
      </w:pPr>
      <w:r>
        <w:rPr>
          <w:rFonts w:ascii="Arial" w:cs="Arial" w:eastAsia="Arial" w:hAnsi="Arial"/>
          <w:sz w:val="20"/>
          <w:szCs w:val="20"/>
          <w:b w:val="1"/>
          <w:bCs w:val="1"/>
          <w:color w:val="auto"/>
        </w:rPr>
        <w:t>Step 2</w:t>
      </w:r>
      <w:r>
        <w:rPr>
          <w:rFonts w:ascii="Arial" w:cs="Arial" w:eastAsia="Arial" w:hAnsi="Arial"/>
          <w:sz w:val="20"/>
          <w:szCs w:val="20"/>
          <w:color w:val="auto"/>
        </w:rPr>
        <w:t>:</w:t>
      </w:r>
      <w:r>
        <w:rPr>
          <w:rFonts w:ascii="Arial" w:cs="Arial" w:eastAsia="Arial" w:hAnsi="Arial"/>
          <w:sz w:val="20"/>
          <w:szCs w:val="20"/>
          <w:b w:val="1"/>
          <w:bCs w:val="1"/>
          <w:color w:val="auto"/>
        </w:rPr>
        <w:t xml:space="preserve"> Identify and Assess Risk in the Supply Chain</w:t>
      </w:r>
    </w:p>
    <w:p>
      <w:pPr>
        <w:spacing w:after="0" w:line="191" w:lineRule="exact"/>
        <w:rPr>
          <w:sz w:val="20"/>
          <w:szCs w:val="20"/>
          <w:color w:val="auto"/>
        </w:rPr>
      </w:pPr>
    </w:p>
    <w:p>
      <w:pPr>
        <w:jc w:val="both"/>
        <w:ind w:left="200" w:right="219"/>
        <w:spacing w:after="0" w:line="254" w:lineRule="auto"/>
        <w:rPr>
          <w:sz w:val="20"/>
          <w:szCs w:val="20"/>
          <w:color w:val="auto"/>
        </w:rPr>
      </w:pPr>
      <w:r>
        <w:rPr>
          <w:rFonts w:ascii="Arial" w:cs="Arial" w:eastAsia="Arial" w:hAnsi="Arial"/>
          <w:sz w:val="20"/>
          <w:szCs w:val="20"/>
          <w:u w:val="single" w:color="auto"/>
          <w:color w:val="auto"/>
        </w:rPr>
        <w:t>Distribution of CMRT to Supplier Group</w:t>
      </w:r>
      <w:r>
        <w:rPr>
          <w:rFonts w:ascii="Arial" w:cs="Arial" w:eastAsia="Arial" w:hAnsi="Arial"/>
          <w:sz w:val="20"/>
          <w:szCs w:val="20"/>
          <w:color w:val="auto"/>
        </w:rPr>
        <w:t>. In 2025, Our Vice President, Global Strategic Sourcing, distributed the CMRT to the Supplier Group to gather information on our supply chain, including (i) whether any of the minerals which could potentially be classified as 3TG are contained in materials the Supplier Group supplied to Merit or its contract manufacturers and (ii) whether those minerals originated from the Covered Countries.</w:t>
      </w:r>
    </w:p>
    <w:p>
      <w:pPr>
        <w:spacing w:after="0" w:line="133"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u w:val="single" w:color="auto"/>
          <w:color w:val="auto"/>
        </w:rPr>
        <w:t>Assessment of Supplier Group Responses</w:t>
      </w:r>
      <w:r>
        <w:rPr>
          <w:rFonts w:ascii="Arial" w:cs="Arial" w:eastAsia="Arial" w:hAnsi="Arial"/>
          <w:sz w:val="20"/>
          <w:szCs w:val="20"/>
          <w:color w:val="auto"/>
        </w:rPr>
        <w:t>. Of the relevant entities comprising the Supplier Group, we received complete CMRT responses from more than 83% of the group. We reviewed each response to assess the adequacy of such response. Suppliers that initially failed to respond to the CMRT or that did not provide responses to all applicable questions in the CMRT received follow-up communications from the Company requesting additional information. If supplier responses indicated that 3TG contained in components and subassemblies for the Covered Products may have originated from the Covered Countries and are not conformant to the RMI RMAP (or a cross-recognized program), then such responses were reviewed by the Company and reported to our Strategic Global Sourcing department for further review and determination of follow-up actions.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Step 3: Design and Implement a Strategy to Respond to Identified Risks</w:t>
      </w:r>
    </w:p>
    <w:p>
      <w:pPr>
        <w:spacing w:after="0" w:line="191" w:lineRule="exact"/>
        <w:rPr>
          <w:sz w:val="20"/>
          <w:szCs w:val="20"/>
          <w:color w:val="auto"/>
        </w:rPr>
      </w:pPr>
    </w:p>
    <w:p>
      <w:pPr>
        <w:jc w:val="both"/>
        <w:ind w:left="200" w:right="219"/>
        <w:spacing w:after="0" w:line="249" w:lineRule="auto"/>
        <w:rPr>
          <w:sz w:val="20"/>
          <w:szCs w:val="20"/>
          <w:color w:val="auto"/>
        </w:rPr>
      </w:pPr>
      <w:r>
        <w:rPr>
          <w:rFonts w:ascii="Arial" w:cs="Arial" w:eastAsia="Arial" w:hAnsi="Arial"/>
          <w:sz w:val="20"/>
          <w:szCs w:val="20"/>
          <w:color w:val="auto"/>
        </w:rPr>
        <w:t>We work to implement a risk management plan to address concerns that a supplier may be providing 3TG sourced from the Covered Countries for the production of the Covered Products. If a supplier indicates that its products may contain 3TG sourced from the Covered Countries, we follow-up with the supplier to gather more information, including the basis for the information provided and other information regarding the sourcing country and smelter or refiner. Identified risks are reported to the Vice President, Environment, Social and Governance, who determines appropriate follow-up actions, if any, to mitigate risks.</w:t>
      </w:r>
    </w:p>
    <w:p>
      <w:pPr>
        <w:spacing w:after="0" w:line="150" w:lineRule="exact"/>
        <w:rPr>
          <w:sz w:val="20"/>
          <w:szCs w:val="20"/>
          <w:color w:val="auto"/>
        </w:rPr>
      </w:pPr>
    </w:p>
    <w:p>
      <w:pPr>
        <w:ind w:left="200"/>
        <w:spacing w:after="0"/>
        <w:rPr>
          <w:sz w:val="20"/>
          <w:szCs w:val="20"/>
          <w:color w:val="auto"/>
        </w:rPr>
      </w:pPr>
      <w:r>
        <w:rPr>
          <w:rFonts w:ascii="Arial" w:cs="Arial" w:eastAsia="Arial" w:hAnsi="Arial"/>
          <w:sz w:val="20"/>
          <w:szCs w:val="20"/>
          <w:b w:val="1"/>
          <w:bCs w:val="1"/>
          <w:color w:val="auto"/>
        </w:rPr>
        <w:t>Step 4: Report on Supply Chain Due Diligence</w:t>
      </w:r>
    </w:p>
    <w:p>
      <w:pPr>
        <w:spacing w:after="0" w:line="191" w:lineRule="exact"/>
        <w:rPr>
          <w:sz w:val="20"/>
          <w:szCs w:val="20"/>
          <w:color w:val="auto"/>
        </w:rPr>
      </w:pPr>
    </w:p>
    <w:p>
      <w:pPr>
        <w:jc w:val="both"/>
        <w:ind w:left="200" w:right="219"/>
        <w:spacing w:after="0" w:line="255" w:lineRule="auto"/>
        <w:rPr>
          <w:sz w:val="20"/>
          <w:szCs w:val="20"/>
          <w:color w:val="auto"/>
        </w:rPr>
      </w:pPr>
      <w:r>
        <w:rPr>
          <w:rFonts w:ascii="Arial" w:cs="Arial" w:eastAsia="Arial" w:hAnsi="Arial"/>
          <w:sz w:val="20"/>
          <w:szCs w:val="20"/>
          <w:color w:val="auto"/>
        </w:rPr>
        <w:t>This report will be filed with the SEC and be publicly available at: https://www.merit.com/compliance/conflict-minerals-report/. The reference to the Company’s website is provided for convenience only, and its contents are neither incorporated by reference into this report nor deemed filed with the SEC.</w:t>
      </w:r>
    </w:p>
    <w:p>
      <w:pPr>
        <w:spacing w:after="0" w:line="141" w:lineRule="exact"/>
        <w:rPr>
          <w:sz w:val="20"/>
          <w:szCs w:val="20"/>
          <w:color w:val="auto"/>
        </w:rPr>
      </w:pPr>
    </w:p>
    <w:p>
      <w:pPr>
        <w:ind w:left="200"/>
        <w:spacing w:after="0"/>
        <w:rPr>
          <w:sz w:val="20"/>
          <w:szCs w:val="20"/>
          <w:color w:val="auto"/>
        </w:rPr>
      </w:pPr>
      <w:r>
        <w:rPr>
          <w:rFonts w:ascii="Arial" w:cs="Arial" w:eastAsia="Arial" w:hAnsi="Arial"/>
          <w:sz w:val="20"/>
          <w:szCs w:val="20"/>
          <w:b w:val="1"/>
          <w:bCs w:val="1"/>
          <w:u w:val="single" w:color="auto"/>
          <w:color w:val="auto"/>
        </w:rPr>
        <w:t>Due Diligence Results</w:t>
      </w:r>
    </w:p>
    <w:p>
      <w:pPr>
        <w:spacing w:after="0" w:line="191" w:lineRule="exact"/>
        <w:rPr>
          <w:sz w:val="20"/>
          <w:szCs w:val="20"/>
          <w:color w:val="auto"/>
        </w:rPr>
      </w:pPr>
    </w:p>
    <w:p>
      <w:pPr>
        <w:ind w:left="200" w:right="439"/>
        <w:spacing w:after="0" w:line="247" w:lineRule="auto"/>
        <w:rPr>
          <w:sz w:val="20"/>
          <w:szCs w:val="20"/>
          <w:color w:val="auto"/>
        </w:rPr>
      </w:pPr>
      <w:r>
        <w:rPr>
          <w:rFonts w:ascii="Arial" w:cs="Arial" w:eastAsia="Arial" w:hAnsi="Arial"/>
          <w:sz w:val="20"/>
          <w:szCs w:val="20"/>
          <w:color w:val="auto"/>
        </w:rPr>
        <w:t>Based on completed CMRT responses, we identified 368 unique smelters or refiners that may have processed 3TG used in the Covered Products. A list of those smelters and the smelter country is attached as Appendix 1. Because many supplier responses are provided at the company level rather than the product level, the reported smelters and refiners may include facilities that do not supply materials used in our Covered Products. Some reported facilities are located in jurisdictions that may present heightened geopolitical, trade, or ESG-related risks; however, because the data is not product-specific, we cannot determine whether materials from those facilities are contained in the Covered Products. We expect suppliers to comply with applicable trade laws and continue to evaluate risk mitigation actions through our supplier governance process. In addition, due to the multi-tiered nature of global supply chains and our reliance on company-level supplier responses, we cannot determine with certainty the specific smelters, refiners, or countries of origin associated with the 3TG used in the Covered Products. As a result, as of this reporting period, the Company does not know all facilities used to process the 3TG in the Covered Products or the country of origin of all such 3TG.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344170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6" w:name="page7"/>
    <w:bookmarkEnd w:id="6"/>
    <w:p>
      <w:pPr>
        <w:ind w:left="200"/>
        <w:spacing w:after="0"/>
        <w:rPr>
          <w:sz w:val="20"/>
          <w:szCs w:val="20"/>
          <w:color w:val="auto"/>
        </w:rPr>
      </w:pPr>
      <w:r>
        <w:rPr>
          <w:rFonts w:ascii="Arial" w:cs="Arial" w:eastAsia="Arial" w:hAnsi="Arial"/>
          <w:sz w:val="20"/>
          <w:szCs w:val="20"/>
          <w:b w:val="1"/>
          <w:bCs w:val="1"/>
          <w:u w:val="single" w:color="auto"/>
          <w:color w:val="auto"/>
        </w:rPr>
        <w:t>Steps to be Taken to Mitigate Risk</w:t>
      </w:r>
    </w:p>
    <w:p>
      <w:pPr>
        <w:spacing w:after="0" w:line="191" w:lineRule="exact"/>
        <w:rPr>
          <w:sz w:val="20"/>
          <w:szCs w:val="20"/>
          <w:color w:val="auto"/>
        </w:rPr>
      </w:pPr>
    </w:p>
    <w:p>
      <w:pPr>
        <w:ind w:left="200" w:right="219"/>
        <w:spacing w:after="0" w:line="271" w:lineRule="auto"/>
        <w:rPr>
          <w:sz w:val="20"/>
          <w:szCs w:val="20"/>
          <w:color w:val="auto"/>
        </w:rPr>
      </w:pPr>
      <w:r>
        <w:rPr>
          <w:rFonts w:ascii="Arial" w:cs="Arial" w:eastAsia="Arial" w:hAnsi="Arial"/>
          <w:sz w:val="20"/>
          <w:szCs w:val="20"/>
          <w:color w:val="auto"/>
        </w:rPr>
        <w:t>We intend to take the following steps to improve the due diligence conducted and to further mitigate any future risk of sourcing 3TG that benefits armed groups in the Covered Countries:</w:t>
      </w:r>
    </w:p>
    <w:p>
      <w:pPr>
        <w:spacing w:after="0" w:line="129" w:lineRule="exact"/>
        <w:rPr>
          <w:sz w:val="20"/>
          <w:szCs w:val="20"/>
          <w:color w:val="auto"/>
        </w:rPr>
      </w:pPr>
    </w:p>
    <w:p>
      <w:pPr>
        <w:jc w:val="both"/>
        <w:ind w:left="860" w:right="239" w:hanging="327"/>
        <w:spacing w:after="0" w:line="262" w:lineRule="auto"/>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Continue to work closely with the Supplier Group to obtain the necessary information on the origin of 3TG contained in the materials or components used in the Covered Products and continue to refine our applicability assessment process.</w:t>
      </w:r>
    </w:p>
    <w:p>
      <w:pPr>
        <w:spacing w:after="0" w:line="124" w:lineRule="exact"/>
        <w:rPr>
          <w:rFonts w:ascii="Arial" w:cs="Arial" w:eastAsia="Arial" w:hAnsi="Arial"/>
          <w:sz w:val="20"/>
          <w:szCs w:val="20"/>
          <w:color w:val="auto"/>
        </w:rPr>
      </w:pPr>
    </w:p>
    <w:p>
      <w:pPr>
        <w:jc w:val="both"/>
        <w:ind w:left="860" w:right="239" w:hanging="327"/>
        <w:spacing w:after="0" w:line="262" w:lineRule="auto"/>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Monitor and encourage the continuing development and progress of traceability measures of the suppliers within the Supplier Group, which indicated that the source of 3TG was unknown or not determined.</w:t>
      </w:r>
    </w:p>
    <w:p>
      <w:pPr>
        <w:spacing w:after="0" w:line="137" w:lineRule="exact"/>
        <w:rPr>
          <w:rFonts w:ascii="Arial" w:cs="Arial" w:eastAsia="Arial" w:hAnsi="Arial"/>
          <w:sz w:val="20"/>
          <w:szCs w:val="20"/>
          <w:color w:val="auto"/>
        </w:rPr>
      </w:pPr>
    </w:p>
    <w:p>
      <w:pPr>
        <w:jc w:val="both"/>
        <w:ind w:left="860" w:right="219" w:hanging="327"/>
        <w:spacing w:after="0" w:line="262" w:lineRule="auto"/>
        <w:tabs>
          <w:tab w:leader="none" w:pos="860" w:val="left"/>
        </w:tabs>
        <w:numPr>
          <w:ilvl w:val="0"/>
          <w:numId w:val="3"/>
        </w:numPr>
        <w:rPr>
          <w:rFonts w:ascii="Arial" w:cs="Arial" w:eastAsia="Arial" w:hAnsi="Arial"/>
          <w:sz w:val="20"/>
          <w:szCs w:val="20"/>
          <w:color w:val="auto"/>
        </w:rPr>
      </w:pPr>
      <w:r>
        <w:rPr>
          <w:rFonts w:ascii="Arial" w:cs="Arial" w:eastAsia="Arial" w:hAnsi="Arial"/>
          <w:sz w:val="20"/>
          <w:szCs w:val="20"/>
          <w:color w:val="auto"/>
        </w:rPr>
        <w:t>Engage suppliers to request smelters or refiners who do not participate in the RMI RMAP (or a cross-recognized program) to participate, or to work to transition away from such smelters or refiners.</w:t>
      </w:r>
    </w:p>
    <w:p>
      <w:pPr>
        <w:spacing w:after="0" w:line="124" w:lineRule="exact"/>
        <w:rPr>
          <w:sz w:val="20"/>
          <w:szCs w:val="20"/>
          <w:color w:val="auto"/>
        </w:rPr>
      </w:pPr>
    </w:p>
    <w:p>
      <w:pPr>
        <w:ind w:left="200"/>
        <w:spacing w:after="0"/>
        <w:rPr>
          <w:sz w:val="20"/>
          <w:szCs w:val="20"/>
          <w:color w:val="auto"/>
        </w:rPr>
      </w:pPr>
      <w:r>
        <w:rPr>
          <w:rFonts w:ascii="Arial" w:cs="Arial" w:eastAsia="Arial" w:hAnsi="Arial"/>
          <w:sz w:val="20"/>
          <w:szCs w:val="20"/>
          <w:b w:val="1"/>
          <w:bCs w:val="1"/>
          <w:i w:val="1"/>
          <w:iCs w:val="1"/>
          <w:color w:val="auto"/>
        </w:rPr>
        <w:t>Cautionary Statement about Forward-Looking Statements</w:t>
      </w:r>
    </w:p>
    <w:p>
      <w:pPr>
        <w:spacing w:after="0" w:line="189" w:lineRule="exact"/>
        <w:rPr>
          <w:sz w:val="20"/>
          <w:szCs w:val="20"/>
          <w:color w:val="auto"/>
        </w:rPr>
      </w:pPr>
    </w:p>
    <w:p>
      <w:pPr>
        <w:jc w:val="both"/>
        <w:ind w:left="200" w:right="219"/>
        <w:spacing w:after="0" w:line="247" w:lineRule="auto"/>
        <w:rPr>
          <w:sz w:val="20"/>
          <w:szCs w:val="20"/>
          <w:color w:val="auto"/>
        </w:rPr>
      </w:pPr>
      <w:r>
        <w:rPr>
          <w:rFonts w:ascii="Arial" w:cs="Arial" w:eastAsia="Arial" w:hAnsi="Arial"/>
          <w:sz w:val="20"/>
          <w:szCs w:val="20"/>
          <w:i w:val="1"/>
          <w:iCs w:val="1"/>
          <w:color w:val="auto"/>
        </w:rPr>
        <w:t>This report contains “forward-looking statements” within the meaning of Section 21E of the Securities Exchange Act of 1934 as amended. Forward-looking statements are those that address activities, events, or developments that we or our management intends, expects, projects, believes, or anticipates will or may occur in the future. They are based on management’s assumptions and assessments in the light of past experience and trends, current economic and industry conditions, expected future developments and other relevant factors. They are not guarantees of future performance, and actual results, developments and business decisions will likely differ, and may differ materially, from those envisaged by our forward-looking statements. Our forward-looking statements are also subject to risks and uncertainties, which can affect our performance in both the near and long term. These forward-looking statements should be considered in the light of the information included in this report and our other filings with the SEC, including, without limitation, the “Risk Factors” as well as the description of trends and other factors in “Management’s Discussion and Analysis of Financial Condition and Results of Operations” set forth in our Annual Report on Form 10-K for the year ended December 31, 2025, our Quarterly Report on Form 10-Q for the quarter ended March 31, 2026 and our other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617855</wp:posOffset>
            </wp:positionV>
            <wp:extent cx="545211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15" w:right="1440" w:bottom="1440" w:gutter="0" w:footer="0" w:header="0"/>
        </w:sectPr>
      </w:pPr>
    </w:p>
    <w:bookmarkStart w:id="7" w:name="page8"/>
    <w:bookmarkEnd w:id="7"/>
    <w:p>
      <w:pPr>
        <w:jc w:val="center"/>
        <w:ind w:right="180"/>
        <w:spacing w:after="0"/>
        <w:rPr>
          <w:sz w:val="20"/>
          <w:szCs w:val="20"/>
          <w:color w:val="auto"/>
        </w:rPr>
      </w:pPr>
      <w:r>
        <w:rPr>
          <w:rFonts w:ascii="Arial" w:cs="Arial" w:eastAsia="Arial" w:hAnsi="Arial"/>
          <w:sz w:val="20"/>
          <w:szCs w:val="20"/>
          <w:b w:val="1"/>
          <w:bCs w:val="1"/>
          <w:u w:val="single" w:color="auto"/>
          <w:color w:val="auto"/>
        </w:rPr>
        <w:t>APPENDIX 1</w:t>
      </w:r>
    </w:p>
    <w:p>
      <w:pPr>
        <w:spacing w:after="0" w:line="148" w:lineRule="exact"/>
        <w:rPr>
          <w:sz w:val="20"/>
          <w:szCs w:val="20"/>
          <w:color w:val="auto"/>
        </w:rPr>
      </w:pPr>
    </w:p>
    <w:p>
      <w:pPr>
        <w:jc w:val="center"/>
        <w:ind w:right="180"/>
        <w:spacing w:after="0"/>
        <w:rPr>
          <w:sz w:val="20"/>
          <w:szCs w:val="20"/>
          <w:color w:val="auto"/>
        </w:rPr>
      </w:pPr>
      <w:r>
        <w:rPr>
          <w:rFonts w:ascii="Arial" w:cs="Arial" w:eastAsia="Arial" w:hAnsi="Arial"/>
          <w:sz w:val="20"/>
          <w:szCs w:val="20"/>
          <w:b w:val="1"/>
          <w:bCs w:val="1"/>
          <w:color w:val="auto"/>
        </w:rPr>
        <w:t>Known Smelters and Locations</w:t>
      </w:r>
    </w:p>
    <w:p>
      <w:pPr>
        <w:spacing w:after="0" w:line="347" w:lineRule="exact"/>
        <w:rPr>
          <w:sz w:val="20"/>
          <w:szCs w:val="20"/>
          <w:color w:val="auto"/>
        </w:rPr>
      </w:pPr>
    </w:p>
    <w:tbl>
      <w:tblPr>
        <w:tblLayout w:type="fixed"/>
        <w:tblInd w:w="230" w:type="dxa"/>
        <w:tblCellMar>
          <w:top w:w="0" w:type="dxa"/>
          <w:left w:w="0" w:type="dxa"/>
          <w:bottom w:w="0" w:type="dxa"/>
          <w:right w:w="0" w:type="dxa"/>
        </w:tblCellMar>
      </w:tblPr>
      <w:tr>
        <w:trPr>
          <w:trHeight w:val="257"/>
        </w:trPr>
        <w:tc>
          <w:tcPr>
            <w:tcW w:w="1060" w:type="dxa"/>
            <w:vAlign w:val="bottom"/>
            <w:tcBorders>
              <w:left w:val="single" w:sz="8" w:color="9CC2E5"/>
              <w:right w:val="single" w:sz="8" w:color="9CC2E5"/>
            </w:tcBorders>
            <w:shd w:val="clear" w:color="auto" w:fill="5B9BD5"/>
          </w:tcPr>
          <w:p>
            <w:pPr>
              <w:ind w:left="260"/>
              <w:spacing w:after="0"/>
              <w:rPr>
                <w:sz w:val="20"/>
                <w:szCs w:val="20"/>
                <w:color w:val="auto"/>
              </w:rPr>
            </w:pPr>
            <w:r>
              <w:rPr>
                <w:rFonts w:ascii="Arial" w:cs="Arial" w:eastAsia="Arial" w:hAnsi="Arial"/>
                <w:sz w:val="20"/>
                <w:szCs w:val="20"/>
                <w:b w:val="1"/>
                <w:bCs w:val="1"/>
                <w:color w:val="auto"/>
              </w:rPr>
              <w:t>Metal</w:t>
            </w:r>
          </w:p>
        </w:tc>
        <w:tc>
          <w:tcPr>
            <w:tcW w:w="4640" w:type="dxa"/>
            <w:vAlign w:val="bottom"/>
            <w:tcBorders>
              <w:right w:val="single" w:sz="8" w:color="9CC2E5"/>
            </w:tcBorders>
            <w:shd w:val="clear" w:color="auto" w:fill="5B9BD5"/>
          </w:tcPr>
          <w:p>
            <w:pPr>
              <w:ind w:left="1640"/>
              <w:spacing w:after="0"/>
              <w:rPr>
                <w:sz w:val="20"/>
                <w:szCs w:val="20"/>
                <w:color w:val="auto"/>
              </w:rPr>
            </w:pPr>
            <w:r>
              <w:rPr>
                <w:rFonts w:ascii="Arial" w:cs="Arial" w:eastAsia="Arial" w:hAnsi="Arial"/>
                <w:sz w:val="20"/>
                <w:szCs w:val="20"/>
                <w:b w:val="1"/>
                <w:bCs w:val="1"/>
                <w:color w:val="auto"/>
              </w:rPr>
              <w:t>Smelter Name</w:t>
            </w:r>
          </w:p>
        </w:tc>
        <w:tc>
          <w:tcPr>
            <w:tcW w:w="2880" w:type="dxa"/>
            <w:vAlign w:val="bottom"/>
            <w:shd w:val="clear" w:color="auto" w:fill="5B9BD5"/>
          </w:tcPr>
          <w:p>
            <w:pPr>
              <w:ind w:left="840"/>
              <w:spacing w:after="0"/>
              <w:rPr>
                <w:sz w:val="20"/>
                <w:szCs w:val="20"/>
                <w:color w:val="auto"/>
              </w:rPr>
            </w:pPr>
            <w:r>
              <w:rPr>
                <w:rFonts w:ascii="Arial" w:cs="Arial" w:eastAsia="Arial" w:hAnsi="Arial"/>
                <w:sz w:val="20"/>
                <w:szCs w:val="20"/>
                <w:b w:val="1"/>
                <w:bCs w:val="1"/>
                <w:color w:val="auto"/>
              </w:rPr>
              <w:t>Smelter Country</w:t>
            </w:r>
          </w:p>
        </w:tc>
        <w:tc>
          <w:tcPr>
            <w:tcW w:w="380" w:type="dxa"/>
            <w:vAlign w:val="bottom"/>
            <w:tcBorders>
              <w:right w:val="single" w:sz="8" w:color="9CC2E5"/>
            </w:tcBorders>
            <w:shd w:val="clear" w:color="auto" w:fill="5B9BD5"/>
          </w:tcPr>
          <w:p>
            <w:pPr>
              <w:spacing w:after="0"/>
              <w:rPr>
                <w:sz w:val="22"/>
                <w:szCs w:val="22"/>
                <w:color w:val="auto"/>
              </w:rPr>
            </w:pPr>
          </w:p>
        </w:tc>
      </w:tr>
      <w:tr>
        <w:trPr>
          <w:trHeight w:val="229"/>
        </w:trPr>
        <w:tc>
          <w:tcPr>
            <w:tcW w:w="1060" w:type="dxa"/>
            <w:vAlign w:val="bottom"/>
            <w:tcBorders>
              <w:left w:val="single" w:sz="8" w:color="9CC2E5"/>
              <w:bottom w:val="single" w:sz="8" w:color="9CC2E5"/>
              <w:right w:val="single" w:sz="8" w:color="9CC2E5"/>
            </w:tcBorders>
          </w:tcPr>
          <w:p>
            <w:pPr>
              <w:ind w:left="100"/>
              <w:spacing w:after="0"/>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L'Orfebre S.A.</w:t>
            </w:r>
          </w:p>
        </w:tc>
        <w:tc>
          <w:tcPr>
            <w:tcW w:w="2880" w:type="dxa"/>
            <w:vAlign w:val="bottom"/>
            <w:tcBorders>
              <w:bottom w:val="single" w:sz="8" w:color="9CC2E5"/>
            </w:tcBorders>
          </w:tcPr>
          <w:p>
            <w:pPr>
              <w:ind w:left="80"/>
              <w:spacing w:after="0"/>
              <w:rPr>
                <w:sz w:val="20"/>
                <w:szCs w:val="20"/>
                <w:color w:val="auto"/>
              </w:rPr>
            </w:pPr>
            <w:r>
              <w:rPr>
                <w:rFonts w:ascii="Arial" w:cs="Arial" w:eastAsia="Arial" w:hAnsi="Arial"/>
                <w:sz w:val="20"/>
                <w:szCs w:val="20"/>
                <w:color w:val="auto"/>
              </w:rPr>
              <w:t>Andorra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ABC Refinery Pty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Australia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Gold Corporation - The Perth Mint</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Australia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Western Australian Mint (T/a The Perth Mint)</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Australia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Ogussa Osterreichische Gold- und Silber-</w:t>
            </w:r>
          </w:p>
        </w:tc>
        <w:tc>
          <w:tcPr>
            <w:tcW w:w="2880" w:type="dxa"/>
            <w:vAlign w:val="bottom"/>
          </w:tcPr>
          <w:p>
            <w:pPr>
              <w:ind w:left="80"/>
              <w:spacing w:after="0" w:line="202" w:lineRule="exact"/>
              <w:rPr>
                <w:sz w:val="20"/>
                <w:szCs w:val="20"/>
                <w:color w:val="auto"/>
              </w:rPr>
            </w:pPr>
            <w:r>
              <w:rPr>
                <w:rFonts w:ascii="Arial" w:cs="Arial" w:eastAsia="Arial" w:hAnsi="Arial"/>
                <w:sz w:val="20"/>
                <w:szCs w:val="20"/>
                <w:color w:val="auto"/>
              </w:rPr>
              <w:t>Austria</w:t>
            </w:r>
          </w:p>
        </w:tc>
        <w:tc>
          <w:tcPr>
            <w:tcW w:w="38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4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Scheideanstalt GmbH</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Umicore Precious Metals Refining Hoboken</w:t>
            </w:r>
          </w:p>
        </w:tc>
        <w:tc>
          <w:tcPr>
            <w:tcW w:w="288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Belgium</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Umicore S.A. Business Unit Precious Metals</w:t>
            </w:r>
          </w:p>
        </w:tc>
        <w:tc>
          <w:tcPr>
            <w:tcW w:w="2880" w:type="dxa"/>
            <w:vAlign w:val="bottom"/>
          </w:tcPr>
          <w:p>
            <w:pPr>
              <w:ind w:left="80"/>
              <w:spacing w:after="0" w:line="202" w:lineRule="exact"/>
              <w:rPr>
                <w:sz w:val="20"/>
                <w:szCs w:val="20"/>
                <w:color w:val="auto"/>
              </w:rPr>
            </w:pPr>
            <w:r>
              <w:rPr>
                <w:rFonts w:ascii="Arial" w:cs="Arial" w:eastAsia="Arial" w:hAnsi="Arial"/>
                <w:sz w:val="20"/>
                <w:szCs w:val="20"/>
                <w:color w:val="auto"/>
              </w:rPr>
              <w:t>Belgium</w:t>
            </w:r>
          </w:p>
        </w:tc>
        <w:tc>
          <w:tcPr>
            <w:tcW w:w="38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4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Refining</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AngloGold Ashanti Corrego do Sitio Mineracao</w:t>
            </w:r>
          </w:p>
        </w:tc>
        <w:tc>
          <w:tcPr>
            <w:tcW w:w="288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Brazil</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Coimpa Industrial LTDA</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Brazil</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Marsam Metals</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Asahi Refining Canada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Canada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CCR Refinery - Glencore Canada Corporation</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Canada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Glencore Canada Corporation - CCR Refinery</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Canada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Royal Canadian Mint</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Canada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Planta Recuperadora de Metales SpA</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Chile</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China's Shandong Gold Mining Co.,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Daye Non-Ferrous Metals Mining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Dongwu Gold Group</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Gold Refinery of Zijin Mining Group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Great Wall Precious Metals Co., Ltd. of CBPM</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Hangzhou Fuchunjiang Smelting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Heraeus Metals Hong Kong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Hunan Chenzhou Mining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Hunan Guiyang yinxing Nonferrous Smelting Co.,</w:t>
            </w:r>
          </w:p>
        </w:tc>
        <w:tc>
          <w:tcPr>
            <w:tcW w:w="288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c>
          <w:tcPr>
            <w:tcW w:w="38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4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Ltd.</w:t>
            </w:r>
          </w:p>
        </w:tc>
        <w:tc>
          <w:tcPr>
            <w:tcW w:w="2880" w:type="dxa"/>
            <w:vAlign w:val="bottom"/>
            <w:tcBorders>
              <w:bottom w:val="single" w:sz="8" w:color="9CC2E5"/>
            </w:tcBorders>
            <w:shd w:val="clear" w:color="auto" w:fill="DEEAF6"/>
          </w:tcPr>
          <w:p>
            <w:pPr>
              <w:spacing w:after="0"/>
              <w:rPr>
                <w:sz w:val="22"/>
                <w:szCs w:val="22"/>
                <w:color w:val="auto"/>
              </w:rPr>
            </w:pPr>
          </w:p>
        </w:tc>
        <w:tc>
          <w:tcPr>
            <w:tcW w:w="38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03"/>
        </w:trPr>
        <w:tc>
          <w:tcPr>
            <w:tcW w:w="1060" w:type="dxa"/>
            <w:vAlign w:val="bottom"/>
            <w:tcBorders>
              <w:left w:val="single" w:sz="8" w:color="9CC2E5"/>
              <w:right w:val="single" w:sz="8" w:color="9CC2E5"/>
            </w:tcBorders>
          </w:tcPr>
          <w:p>
            <w:pPr>
              <w:ind w:left="100"/>
              <w:spacing w:after="0" w:line="203"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tcPr>
          <w:p>
            <w:pPr>
              <w:ind w:left="80"/>
              <w:spacing w:after="0" w:line="203" w:lineRule="exact"/>
              <w:rPr>
                <w:sz w:val="20"/>
                <w:szCs w:val="20"/>
                <w:color w:val="auto"/>
              </w:rPr>
            </w:pPr>
            <w:r>
              <w:rPr>
                <w:rFonts w:ascii="Arial" w:cs="Arial" w:eastAsia="Arial" w:hAnsi="Arial"/>
                <w:sz w:val="20"/>
                <w:szCs w:val="20"/>
                <w:color w:val="auto"/>
              </w:rPr>
              <w:t>Inner Mongolia Qiankun Gold and Silver Refinery</w:t>
            </w:r>
          </w:p>
        </w:tc>
        <w:tc>
          <w:tcPr>
            <w:tcW w:w="2880" w:type="dxa"/>
            <w:vAlign w:val="bottom"/>
          </w:tcPr>
          <w:p>
            <w:pPr>
              <w:ind w:left="80"/>
              <w:spacing w:after="0" w:line="203" w:lineRule="exact"/>
              <w:rPr>
                <w:sz w:val="20"/>
                <w:szCs w:val="20"/>
                <w:color w:val="auto"/>
              </w:rPr>
            </w:pPr>
            <w:r>
              <w:rPr>
                <w:rFonts w:ascii="Arial" w:cs="Arial" w:eastAsia="Arial" w:hAnsi="Arial"/>
                <w:sz w:val="20"/>
                <w:szCs w:val="20"/>
                <w:color w:val="auto"/>
              </w:rPr>
              <w:t>China</w:t>
            </w:r>
          </w:p>
        </w:tc>
        <w:tc>
          <w:tcPr>
            <w:tcW w:w="38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4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Share Co., Ltd.</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Jiangxi Copper Co., Ltd.</w:t>
            </w:r>
          </w:p>
        </w:tc>
        <w:tc>
          <w:tcPr>
            <w:tcW w:w="288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Lingbao Gold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Luoyang Zijin Yinhui Gold Refinery Co.,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Metalor Technologies (Hong Kong)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Metalor Technologies (Suzhou)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Penglai Penggang Gold Industry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Shandong Gold Smelting Co.,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Shandong Humon Smelting Co., Ltd.</w:t>
            </w:r>
          </w:p>
        </w:tc>
        <w:tc>
          <w:tcPr>
            <w:tcW w:w="288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Shandong Tiancheng Biological Gold Industrial</w:t>
            </w:r>
          </w:p>
        </w:tc>
        <w:tc>
          <w:tcPr>
            <w:tcW w:w="288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c>
          <w:tcPr>
            <w:tcW w:w="38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4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Co., Ltd.</w:t>
            </w:r>
          </w:p>
        </w:tc>
        <w:tc>
          <w:tcPr>
            <w:tcW w:w="2880" w:type="dxa"/>
            <w:vAlign w:val="bottom"/>
            <w:tcBorders>
              <w:bottom w:val="single" w:sz="8" w:color="9CC2E5"/>
            </w:tcBorders>
            <w:shd w:val="clear" w:color="auto" w:fill="DEEAF6"/>
          </w:tcPr>
          <w:p>
            <w:pPr>
              <w:spacing w:after="0"/>
              <w:rPr>
                <w:sz w:val="22"/>
                <w:szCs w:val="22"/>
                <w:color w:val="auto"/>
              </w:rPr>
            </w:pPr>
          </w:p>
        </w:tc>
        <w:tc>
          <w:tcPr>
            <w:tcW w:w="38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Shandong Zhaojin Gold &amp; Silver Refinery Co., Ltd.</w:t>
            </w:r>
          </w:p>
        </w:tc>
        <w:tc>
          <w:tcPr>
            <w:tcW w:w="288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4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Shenzhen CuiLu Gold Co., Ltd.</w:t>
            </w:r>
          </w:p>
        </w:tc>
        <w:tc>
          <w:tcPr>
            <w:tcW w:w="288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8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4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Shenzhen Jinjunwei Resource Comprehensive</w:t>
            </w:r>
          </w:p>
        </w:tc>
        <w:tc>
          <w:tcPr>
            <w:tcW w:w="2880" w:type="dxa"/>
            <w:vAlign w:val="bottom"/>
          </w:tcPr>
          <w:p>
            <w:pPr>
              <w:ind w:left="80"/>
              <w:spacing w:after="0" w:line="202" w:lineRule="exact"/>
              <w:rPr>
                <w:sz w:val="20"/>
                <w:szCs w:val="20"/>
                <w:color w:val="auto"/>
              </w:rPr>
            </w:pPr>
            <w:r>
              <w:rPr>
                <w:rFonts w:ascii="Arial" w:cs="Arial" w:eastAsia="Arial" w:hAnsi="Arial"/>
                <w:sz w:val="20"/>
                <w:szCs w:val="20"/>
                <w:color w:val="auto"/>
              </w:rPr>
              <w:t>China</w:t>
            </w:r>
          </w:p>
        </w:tc>
        <w:tc>
          <w:tcPr>
            <w:tcW w:w="38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4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Development Co., LTD.</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556"/>
        </w:trPr>
        <w:tc>
          <w:tcPr>
            <w:tcW w:w="106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9180"/>
          </w:cols>
          <w:pgMar w:left="1440" w:top="115" w:right="1279" w:bottom="1440" w:gutter="0" w:footer="0" w:header="0"/>
        </w:sectPr>
      </w:pPr>
    </w:p>
    <w:bookmarkStart w:id="8" w:name="page9"/>
    <w:bookmarkEnd w:id="8"/>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shd w:val="clear" w:color="auto" w:fill="DEEAF6"/>
          </w:tcPr>
          <w:p>
            <w:pPr>
              <w:ind w:left="100"/>
              <w:spacing w:after="0"/>
              <w:rPr>
                <w:sz w:val="20"/>
                <w:szCs w:val="20"/>
                <w:color w:val="auto"/>
              </w:rPr>
            </w:pPr>
            <w:r>
              <w:rPr>
                <w:rFonts w:ascii="Arial" w:cs="Arial" w:eastAsia="Arial" w:hAnsi="Arial"/>
                <w:sz w:val="20"/>
                <w:szCs w:val="20"/>
                <w:color w:val="auto"/>
              </w:rPr>
              <w:t>Gold</w:t>
            </w:r>
          </w:p>
        </w:tc>
        <w:tc>
          <w:tcPr>
            <w:tcW w:w="4620" w:type="dxa"/>
            <w:vAlign w:val="bottom"/>
            <w:tcBorders>
              <w:top w:val="single" w:sz="8" w:color="9CC2E5"/>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Shenzhen Zhonghenglong Real Industry Co., Ltd.</w:t>
            </w:r>
          </w:p>
        </w:tc>
        <w:tc>
          <w:tcPr>
            <w:tcW w:w="2900" w:type="dxa"/>
            <w:vAlign w:val="bottom"/>
            <w:tcBorders>
              <w:top w:val="single" w:sz="8" w:color="9CC2E5"/>
              <w:bottom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China</w:t>
            </w:r>
          </w:p>
        </w:tc>
        <w:tc>
          <w:tcPr>
            <w:tcW w:w="360" w:type="dxa"/>
            <w:vAlign w:val="bottom"/>
            <w:tcBorders>
              <w:top w:val="single" w:sz="8" w:color="9CC2E5"/>
              <w:bottom w:val="single" w:sz="8" w:color="9CC2E5"/>
              <w:right w:val="single" w:sz="8" w:color="9CC2E5"/>
            </w:tcBorders>
            <w:shd w:val="clear" w:color="auto" w:fill="DEEAF6"/>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Sichuan Tianze Precious Metals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Tongling Nonferrous Metals Group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Yunnan Copper Industry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Zhongjin Gold Corporation Limited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Zhongyuan Gold Smelter of Zhongjin Gold</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Corporation</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Gold by Gold Colombia</w:t>
            </w:r>
          </w:p>
        </w:tc>
        <w:tc>
          <w:tcPr>
            <w:tcW w:w="290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Colombia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SAFINA A.S.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Czechia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SAAMP</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France</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Weeerefining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France</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Agosi AG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Aurubis AG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Aurubis AG, Hamburg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 Hafner GmbH + Co. KG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Degussa Sonne / Mond Goldhandel GmbH</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DODUCO Contacts and Refining GmbH</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Heimerle + Meule GmbH</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Heraeus Germany GmbH Co. KG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Heraeus Precious Metals GmbH &amp; Co. KG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SAXONIA Edelmetalle GmbH</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Wieland Edelmetalle GmbH</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Gold Coast Refinery</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Ghana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Attero Recycling Pvt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Augmont Enterprises Private Limited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Bangalore Refinery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CGR Metalloys Pvt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Emerald Jewel Industry India Limited (Unit 1)</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Emerald Jewel Industry India Limited (Unit 2)</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Emerald Jewel Industry India Limited (Unit 3)</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Emerald Jewel Industry India Limited (Unit 4)</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GGC Gujrat Gold Centre Pvt.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JALAN &amp; Company</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Kundan Care Products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MD Overseas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MMTC-PAMP India Pvt.,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Shirpur Gold Refinery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Sovereign Metals</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Titan Company Limited, Jewelry Division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Aneka Tambang (Persero) Tbk</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8853 S.p.A.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Italy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Chimet S.p.A.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Italy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Italpreziosi</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Italy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Safimet S.p.A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Italy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T.C.A S.p.A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Italy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Aida Chemical Industries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554"/>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9" w:name="page10"/>
    <w:bookmarkEnd w:id="9"/>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tcPr>
          <w:p>
            <w:pPr>
              <w:ind w:left="100"/>
              <w:spacing w:after="0"/>
              <w:rPr>
                <w:sz w:val="20"/>
                <w:szCs w:val="20"/>
                <w:color w:val="auto"/>
              </w:rPr>
            </w:pPr>
            <w:r>
              <w:rPr>
                <w:rFonts w:ascii="Arial" w:cs="Arial" w:eastAsia="Arial" w:hAnsi="Arial"/>
                <w:sz w:val="20"/>
                <w:szCs w:val="20"/>
                <w:color w:val="auto"/>
              </w:rPr>
              <w:t>Gold</w:t>
            </w:r>
          </w:p>
        </w:tc>
        <w:tc>
          <w:tcPr>
            <w:tcW w:w="462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ASAHI METALFINE, Inc.</w:t>
            </w:r>
          </w:p>
        </w:tc>
        <w:tc>
          <w:tcPr>
            <w:tcW w:w="2900" w:type="dxa"/>
            <w:vAlign w:val="bottom"/>
            <w:tcBorders>
              <w:top w:val="single" w:sz="8" w:color="9CC2E5"/>
              <w:bottom w:val="single" w:sz="8" w:color="9CC2E5"/>
            </w:tcBorders>
          </w:tcPr>
          <w:p>
            <w:pPr>
              <w:ind w:left="80"/>
              <w:spacing w:after="0"/>
              <w:rPr>
                <w:sz w:val="20"/>
                <w:szCs w:val="20"/>
                <w:color w:val="auto"/>
              </w:rPr>
            </w:pPr>
            <w:r>
              <w:rPr>
                <w:rFonts w:ascii="Arial" w:cs="Arial" w:eastAsia="Arial" w:hAnsi="Arial"/>
                <w:sz w:val="20"/>
                <w:szCs w:val="20"/>
                <w:color w:val="auto"/>
              </w:rPr>
              <w:t>Japan</w:t>
            </w:r>
          </w:p>
        </w:tc>
        <w:tc>
          <w:tcPr>
            <w:tcW w:w="360" w:type="dxa"/>
            <w:vAlign w:val="bottom"/>
            <w:tcBorders>
              <w:top w:val="single" w:sz="8" w:color="9CC2E5"/>
              <w:bottom w:val="single" w:sz="8" w:color="9CC2E5"/>
              <w:right w:val="single" w:sz="8" w:color="9CC2E5"/>
            </w:tcBorders>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Asahi Pretec Corp.</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Asaka Riken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Chugai Mining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Dowa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Eco-System Recycling Co., Ltd. West Plant</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Ishifuku Metal Industry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 Mint</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JX Advanced Metals Corporation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JX Nippon Mining &amp; Metals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Kojima Chemicals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Matsuda Sangyo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Mitsui Mining and Smelting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Nihon Material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Ohura Precious Metal Industry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Sumitomo Metal Mining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Tanaka Kikinzoku Kogyo K.K</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Tokuriki Honten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Yamakin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Yokohama Metal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Kazakhmys Smelting LLC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Kazakhstan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Kazzinc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Kazakhstan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Kazzinc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Kazakhstan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TOO Tau-Ken-Altyn</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Kazakhstan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DSC (Do Sung Corporation)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HwaSeong CJ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Zinc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LS MnM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LT Metal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NH Recytech Company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Samduck Precious Metals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Samwon Metals Corp.</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SungEel HiMetal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Torecom</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Kyrgyzaltyn JSC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Kyrgyzstan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State Research Institute Center for Physical</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Lithuania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Sciences and Technology</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Modeltech Sdn Bhd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Malaysia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Caridad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Mexico</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Metalurgica Met-Mex Penoles S.A. De C.V.</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Mexico</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Remondis PMR B.V.</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Netherlands</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Morris and Watson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New Zealand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K.A. Rasmussen</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Norway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Minera Titan del Peru SRL (MTP) - Belen Plant</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Peru</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Bangko Sentral ng Pilipinas (Central Bank of the</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Philippines</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Philippines)</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556"/>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0" w:name="page11"/>
    <w:bookmarkEnd w:id="10"/>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tcPr>
          <w:p>
            <w:pPr>
              <w:ind w:left="100"/>
              <w:spacing w:after="0"/>
              <w:rPr>
                <w:sz w:val="20"/>
                <w:szCs w:val="20"/>
                <w:color w:val="auto"/>
              </w:rPr>
            </w:pPr>
            <w:r>
              <w:rPr>
                <w:rFonts w:ascii="Arial" w:cs="Arial" w:eastAsia="Arial" w:hAnsi="Arial"/>
                <w:sz w:val="20"/>
                <w:szCs w:val="20"/>
                <w:color w:val="auto"/>
              </w:rPr>
              <w:t>Gold</w:t>
            </w:r>
          </w:p>
        </w:tc>
        <w:tc>
          <w:tcPr>
            <w:tcW w:w="462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KGHM Polska Miedz Spolka Akcyjna</w:t>
            </w:r>
          </w:p>
        </w:tc>
        <w:tc>
          <w:tcPr>
            <w:tcW w:w="2900" w:type="dxa"/>
            <w:vAlign w:val="bottom"/>
            <w:tcBorders>
              <w:top w:val="single" w:sz="8" w:color="9CC2E5"/>
              <w:bottom w:val="single" w:sz="8" w:color="9CC2E5"/>
            </w:tcBorders>
          </w:tcPr>
          <w:p>
            <w:pPr>
              <w:ind w:left="80"/>
              <w:spacing w:after="0"/>
              <w:rPr>
                <w:sz w:val="20"/>
                <w:szCs w:val="20"/>
                <w:color w:val="auto"/>
              </w:rPr>
            </w:pPr>
            <w:r>
              <w:rPr>
                <w:rFonts w:ascii="Arial" w:cs="Arial" w:eastAsia="Arial" w:hAnsi="Arial"/>
                <w:sz w:val="20"/>
                <w:szCs w:val="20"/>
                <w:color w:val="auto"/>
              </w:rPr>
              <w:t>Poland</w:t>
            </w:r>
          </w:p>
        </w:tc>
        <w:tc>
          <w:tcPr>
            <w:tcW w:w="360" w:type="dxa"/>
            <w:vAlign w:val="bottom"/>
            <w:tcBorders>
              <w:top w:val="single" w:sz="8" w:color="9CC2E5"/>
              <w:bottom w:val="single" w:sz="8" w:color="9CC2E5"/>
              <w:right w:val="single" w:sz="8" w:color="9CC2E5"/>
            </w:tcBorders>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Albino Mountinho Lda.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Portugal</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JSC Ekaterinburg Non-Ferrous Metal Processing</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Russian Federation</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Plant</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JSC Novosibirsk Refinery</w:t>
            </w:r>
          </w:p>
        </w:tc>
        <w:tc>
          <w:tcPr>
            <w:tcW w:w="290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JSC Uralelectromed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Kyshtym Copper-Electrolytic Plant ZAO</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Moscow Special Alloys Processing Plant</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OJSC "The Gulidov Krasnoyarsk Non-Ferrous</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Russian Federation</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Metals Plant" (OJSC Krastsvetmet)</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Prioksky Plant of Non-Ferrous Metals</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SOE Shyolkovsky Factory of Secondary Precious</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Russian Federation</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Metals</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Gasabo Gold Refinery Ltd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Rwanda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Metalor Technologies (Singapore) Pte.,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Singapore</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AU Traders and Refiners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South Africa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Impala Platinum - Platinum Metals Refinery</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South Africa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(PMR)</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Metal Concentrators SA (Pty) Ltd.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South Africa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Rand Refinery (Pty)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South Africa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SEMPSA Joyeria Plateria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Spain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Boliden Mineral AB (Ronnskar)</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Sweden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Boliden Ronnskar</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Sweden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Argor-Heraeus S.A.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Cendres + Metaux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Metalor Switzerland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Metalor Technologies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MKS PAMP SA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PAMP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PX Precinox S.A.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Valcambi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Switzerland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Elite Industech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Singway Technology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Solar Applied Materials Technology Corp.</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Super Dragon Technology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GG Refinery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Tanzania, United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Umicore Precious Metals Thailand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Thailand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Istanbul Gold Refinery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Turkey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Nadir Metal Rafineri San. Ve Tic. A.S.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Turkey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African Gold Refinery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Uganda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Al Etihad Gold Refinery DMCC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Dijllah Gold Refinery FZC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Emirates Gold DMCC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Fujairah Gold FZC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International Precious Metal Refiners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SAM Precious Metals FZ-LLC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Arab Emirates</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Abington Reldan Metals, LLC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Advanced Chemical Company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554"/>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1" w:name="page12"/>
    <w:bookmarkEnd w:id="11"/>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tcPr>
          <w:p>
            <w:pPr>
              <w:ind w:left="100"/>
              <w:spacing w:after="0"/>
              <w:rPr>
                <w:sz w:val="20"/>
                <w:szCs w:val="20"/>
                <w:color w:val="auto"/>
              </w:rPr>
            </w:pPr>
            <w:r>
              <w:rPr>
                <w:rFonts w:ascii="Arial" w:cs="Arial" w:eastAsia="Arial" w:hAnsi="Arial"/>
                <w:sz w:val="20"/>
                <w:szCs w:val="20"/>
                <w:color w:val="auto"/>
              </w:rPr>
              <w:t>Gold</w:t>
            </w:r>
          </w:p>
        </w:tc>
        <w:tc>
          <w:tcPr>
            <w:tcW w:w="462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Alexy Metals</w:t>
            </w:r>
          </w:p>
        </w:tc>
        <w:tc>
          <w:tcPr>
            <w:tcW w:w="2900" w:type="dxa"/>
            <w:vAlign w:val="bottom"/>
            <w:tcBorders>
              <w:top w:val="single" w:sz="8" w:color="9CC2E5"/>
              <w:bottom w:val="single" w:sz="8" w:color="9CC2E5"/>
            </w:tcBorders>
          </w:tcPr>
          <w:p>
            <w:pPr>
              <w:ind w:left="80"/>
              <w:spacing w:after="0"/>
              <w:rPr>
                <w:sz w:val="20"/>
                <w:szCs w:val="20"/>
                <w:color w:val="auto"/>
              </w:rPr>
            </w:pPr>
            <w:r>
              <w:rPr>
                <w:rFonts w:ascii="Arial" w:cs="Arial" w:eastAsia="Arial" w:hAnsi="Arial"/>
                <w:sz w:val="20"/>
                <w:szCs w:val="20"/>
                <w:color w:val="auto"/>
              </w:rPr>
              <w:t>United States of America</w:t>
            </w:r>
          </w:p>
        </w:tc>
        <w:tc>
          <w:tcPr>
            <w:tcW w:w="360" w:type="dxa"/>
            <w:vAlign w:val="bottom"/>
            <w:tcBorders>
              <w:top w:val="single" w:sz="8" w:color="9CC2E5"/>
              <w:bottom w:val="single" w:sz="8" w:color="9CC2E5"/>
              <w:right w:val="single" w:sz="8" w:color="9CC2E5"/>
            </w:tcBorders>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Asahi Refining USA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Johnson Matthey Inc. (USA)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Kennecott Utah Copper LLC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Materion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Metallix Refining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Metalor USA Refining Corporation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Noble Metal Services</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Pease &amp; Curren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QG Refining, LLC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Sabin Metal Corp.</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Precious Metal Refining,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Gold</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Almalyk Mining and Metallurgical Complex</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Uzbekistan</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(AMMC)</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Navoi Mining and Metallurgical Combinat</w:t>
            </w:r>
          </w:p>
        </w:tc>
        <w:tc>
          <w:tcPr>
            <w:tcW w:w="290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Uzbekistan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Gold</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Fidelity Printers and Refiners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Zimbabwe</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AMG Brasil</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Mineracao Taboca 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Brazil</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Resind Industria e Comercio Ltda.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F&amp;X Electro-Materials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FIR Metals &amp; Resource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Guangdong Rising Rare Metals-EO Materials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Tantalum</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Hengyang King Xing Lifeng New Materials Co.,</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Ltd.</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Jiangxi Dinghai Tantalum &amp; Niobium Co., Ltd.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Jiangxi Suns Nonferrous Materials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Jiangxi Tuohong New Raw Material</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JiuJiang JinXin Nonferrous Metals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Tantalum</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Jiujiang Nonferrous Metals Smelting Company</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Limited</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Jiujiang Tanbre Co., Ltd.</w:t>
            </w:r>
          </w:p>
        </w:tc>
        <w:tc>
          <w:tcPr>
            <w:tcW w:w="290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Jiujiang Zhongao Tantalum &amp; Niobium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Ningxia Orient Tantalum Industry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RFH Tantalum Smeltry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XIMEI Resources (Guangdong) Limited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Yanling Jincheng Tantalum &amp; Niobium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5D Production OU</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Estonia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NPM Silmet AS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Estonia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TANIOBIS GmbH</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Metallurgical Products India Pvt.,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Global Advanced Metals Aizu</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Mitsui Kinzoku Company, Limited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Mitsui Mining and Smelting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Taki Chemical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TANIOBIS Japan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Ulba Metallurgical Plant JSC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Kazakhstan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KEMET de Mexico</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Mexico</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Solikamsk Magnesium Works OAO</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554"/>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2" w:name="page13"/>
    <w:bookmarkEnd w:id="12"/>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shd w:val="clear" w:color="auto" w:fill="DEEAF6"/>
          </w:tcPr>
          <w:p>
            <w:pPr>
              <w:ind w:left="100"/>
              <w:spacing w:after="0"/>
              <w:rPr>
                <w:sz w:val="20"/>
                <w:szCs w:val="20"/>
                <w:color w:val="auto"/>
              </w:rPr>
            </w:pPr>
            <w:r>
              <w:rPr>
                <w:rFonts w:ascii="Arial" w:cs="Arial" w:eastAsia="Arial" w:hAnsi="Arial"/>
                <w:sz w:val="20"/>
                <w:szCs w:val="20"/>
                <w:color w:val="auto"/>
              </w:rPr>
              <w:t>Tantalum</w:t>
            </w:r>
          </w:p>
        </w:tc>
        <w:tc>
          <w:tcPr>
            <w:tcW w:w="4620" w:type="dxa"/>
            <w:vAlign w:val="bottom"/>
            <w:tcBorders>
              <w:top w:val="single" w:sz="8" w:color="9CC2E5"/>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PowerX Ltd.</w:t>
            </w:r>
          </w:p>
        </w:tc>
        <w:tc>
          <w:tcPr>
            <w:tcW w:w="3260" w:type="dxa"/>
            <w:vAlign w:val="bottom"/>
            <w:tcBorders>
              <w:top w:val="single" w:sz="8" w:color="9CC2E5"/>
              <w:bottom w:val="single" w:sz="8" w:color="9CC2E5"/>
              <w:right w:val="single" w:sz="8" w:color="9CC2E5"/>
            </w:tcBorders>
            <w:gridSpan w:val="2"/>
            <w:shd w:val="clear" w:color="auto" w:fill="DEEAF6"/>
          </w:tcPr>
          <w:p>
            <w:pPr>
              <w:ind w:left="80"/>
              <w:spacing w:after="0"/>
              <w:rPr>
                <w:sz w:val="20"/>
                <w:szCs w:val="20"/>
                <w:color w:val="auto"/>
              </w:rPr>
            </w:pPr>
            <w:r>
              <w:rPr>
                <w:rFonts w:ascii="Arial" w:cs="Arial" w:eastAsia="Arial" w:hAnsi="Arial"/>
                <w:sz w:val="20"/>
                <w:szCs w:val="20"/>
                <w:color w:val="auto"/>
              </w:rPr>
              <w:t>Rwanda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TANIOBIS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Thailand</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D Block Metals, LLC</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Global Advanced Metals Boyertown</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United States of America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Materion Newton Inc.</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Tantalum</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Telex Metals</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United States of America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Global Advanced Metals Greenbushes Pty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Australia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Aurubis Beerse</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Belgium</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Metallo Belgium N.V.</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Belgium</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EM Vinto</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Bolivia (Plurinational State of)</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Operaciones Metalurgicas S.A.</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Bolivia (Plurinational State of)</w:t>
            </w: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CRM Fundicao De Metais E Comercio De</w:t>
            </w:r>
          </w:p>
        </w:tc>
        <w:tc>
          <w:tcPr>
            <w:tcW w:w="3260" w:type="dxa"/>
            <w:vAlign w:val="bottom"/>
            <w:tcBorders>
              <w:right w:val="single" w:sz="8" w:color="9CC2E5"/>
            </w:tcBorders>
            <w:gridSpan w:val="2"/>
          </w:tcPr>
          <w:p>
            <w:pPr>
              <w:ind w:left="80"/>
              <w:spacing w:after="0" w:line="202" w:lineRule="exact"/>
              <w:rPr>
                <w:sz w:val="20"/>
                <w:szCs w:val="20"/>
                <w:color w:val="auto"/>
              </w:rPr>
            </w:pPr>
            <w:r>
              <w:rPr>
                <w:rFonts w:ascii="Arial" w:cs="Arial" w:eastAsia="Arial" w:hAnsi="Arial"/>
                <w:sz w:val="20"/>
                <w:szCs w:val="20"/>
                <w:color w:val="auto"/>
              </w:rPr>
              <w:t>Brazil</w:t>
            </w: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Equipamentos Eletronicos Do Brasil Ltda</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Estanho de Rondonia S.A.</w:t>
            </w:r>
          </w:p>
        </w:tc>
        <w:tc>
          <w:tcPr>
            <w:tcW w:w="3260" w:type="dxa"/>
            <w:vAlign w:val="bottom"/>
            <w:tcBorders>
              <w:bottom w:val="single" w:sz="8" w:color="9CC2E5"/>
              <w:right w:val="single" w:sz="8" w:color="9CC2E5"/>
            </w:tcBorders>
            <w:gridSpan w:val="2"/>
            <w:shd w:val="clear" w:color="auto" w:fill="DEEAF6"/>
          </w:tcPr>
          <w:p>
            <w:pPr>
              <w:ind w:left="80"/>
              <w:spacing w:after="0" w:line="225"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Fabrica Auricchio Industria e Comercio Ltda.</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Magnu's Minerais Metais e Ligas Ltda.</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Melt Metais e Ligas S.A.</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Mineracao Taboca S.A.</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Resind Industria e Comercio Ltda.</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Super Ligas</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White Solder Metalurgia e Mineracao Ltda.</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White Solder Metalurgica</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Brazil</w:t>
            </w: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Chenzhou Yunxiang Mining and Metallurgy Co.,</w:t>
            </w:r>
          </w:p>
        </w:tc>
        <w:tc>
          <w:tcPr>
            <w:tcW w:w="3260" w:type="dxa"/>
            <w:vAlign w:val="bottom"/>
            <w:tcBorders>
              <w:right w:val="single" w:sz="8" w:color="9CC2E5"/>
            </w:tcBorders>
            <w:gridSpan w:val="2"/>
          </w:tcPr>
          <w:p>
            <w:pPr>
              <w:ind w:left="80"/>
              <w:spacing w:after="0" w:line="202" w:lineRule="exact"/>
              <w:rPr>
                <w:sz w:val="20"/>
                <w:szCs w:val="20"/>
                <w:color w:val="auto"/>
              </w:rPr>
            </w:pPr>
            <w:r>
              <w:rPr>
                <w:rFonts w:ascii="Arial" w:cs="Arial" w:eastAsia="Arial" w:hAnsi="Arial"/>
                <w:sz w:val="20"/>
                <w:szCs w:val="20"/>
                <w:color w:val="auto"/>
              </w:rPr>
              <w:t>China</w:t>
            </w: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Ltd.</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Chifeng Dajingzi Tin Industry Co., Ltd.</w:t>
            </w:r>
          </w:p>
        </w:tc>
        <w:tc>
          <w:tcPr>
            <w:tcW w:w="3260" w:type="dxa"/>
            <w:vAlign w:val="bottom"/>
            <w:tcBorders>
              <w:bottom w:val="single" w:sz="8" w:color="9CC2E5"/>
              <w:right w:val="single" w:sz="8" w:color="9CC2E5"/>
            </w:tcBorders>
            <w:gridSpan w:val="2"/>
            <w:shd w:val="clear" w:color="auto" w:fill="DEEAF6"/>
          </w:tcPr>
          <w:p>
            <w:pPr>
              <w:ind w:left="80"/>
              <w:spacing w:after="0" w:line="225"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 Tin Group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 Yunnan Tin Co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Dongguan Best Alloys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Dongguan CiEXPO Environmental Engineering</w:t>
            </w:r>
          </w:p>
        </w:tc>
        <w:tc>
          <w:tcPr>
            <w:tcW w:w="3260" w:type="dxa"/>
            <w:vAlign w:val="bottom"/>
            <w:tcBorders>
              <w:right w:val="single" w:sz="8" w:color="9CC2E5"/>
            </w:tcBorders>
            <w:gridSpan w:val="2"/>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Co., Ltd.</w:t>
            </w:r>
          </w:p>
        </w:tc>
        <w:tc>
          <w:tcPr>
            <w:tcW w:w="2880" w:type="dxa"/>
            <w:vAlign w:val="bottom"/>
            <w:tcBorders>
              <w:bottom w:val="single" w:sz="8" w:color="9CC2E5"/>
            </w:tcBorders>
            <w:shd w:val="clear" w:color="auto" w:fill="DEEAF6"/>
          </w:tcPr>
          <w:p>
            <w:pPr>
              <w:spacing w:after="0"/>
              <w:rPr>
                <w:sz w:val="22"/>
                <w:szCs w:val="22"/>
                <w:color w:val="auto"/>
              </w:rPr>
            </w:pPr>
          </w:p>
        </w:tc>
        <w:tc>
          <w:tcPr>
            <w:tcW w:w="38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Gejiu City Fuxiang Industry and Trade Co., Ltd.</w:t>
            </w:r>
          </w:p>
        </w:tc>
        <w:tc>
          <w:tcPr>
            <w:tcW w:w="3260" w:type="dxa"/>
            <w:vAlign w:val="bottom"/>
            <w:tcBorders>
              <w:bottom w:val="single" w:sz="8" w:color="9CC2E5"/>
              <w:right w:val="single" w:sz="8" w:color="9CC2E5"/>
            </w:tcBorders>
            <w:gridSpan w:val="2"/>
          </w:tcPr>
          <w:p>
            <w:pPr>
              <w:ind w:left="80"/>
              <w:spacing w:after="0" w:line="225"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Gejiu Kai Meng Industry and Trade LLC</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Gejiu Non-Ferrous Metal Processing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Gejiu Yunxin Nonferrous Electrolysis Co.,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Gejiu Zili Mining And Metallurgy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Guangdong Hanhe Non-Ferrous Metal Co.,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HuiChang Hill Tin Industry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Jiangxi New Nanshan Technology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Longnan Chuangyue Environmental Protection</w:t>
            </w:r>
          </w:p>
        </w:tc>
        <w:tc>
          <w:tcPr>
            <w:tcW w:w="3260" w:type="dxa"/>
            <w:vAlign w:val="bottom"/>
            <w:tcBorders>
              <w:right w:val="single" w:sz="8" w:color="9CC2E5"/>
            </w:tcBorders>
            <w:gridSpan w:val="2"/>
          </w:tcPr>
          <w:p>
            <w:pPr>
              <w:ind w:left="80"/>
              <w:spacing w:after="0" w:line="202" w:lineRule="exact"/>
              <w:rPr>
                <w:sz w:val="20"/>
                <w:szCs w:val="20"/>
                <w:color w:val="auto"/>
              </w:rPr>
            </w:pPr>
            <w:r>
              <w:rPr>
                <w:rFonts w:ascii="Arial" w:cs="Arial" w:eastAsia="Arial" w:hAnsi="Arial"/>
                <w:sz w:val="20"/>
                <w:szCs w:val="20"/>
                <w:color w:val="auto"/>
              </w:rPr>
              <w:t>China</w:t>
            </w: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Technology Development Co., Ltd</w:t>
            </w:r>
          </w:p>
        </w:tc>
        <w:tc>
          <w:tcPr>
            <w:tcW w:w="2880" w:type="dxa"/>
            <w:vAlign w:val="bottom"/>
            <w:tcBorders>
              <w:bottom w:val="single" w:sz="8" w:color="9CC2E5"/>
            </w:tcBorders>
          </w:tcPr>
          <w:p>
            <w:pPr>
              <w:spacing w:after="0"/>
              <w:rPr>
                <w:sz w:val="22"/>
                <w:szCs w:val="22"/>
                <w:color w:val="auto"/>
              </w:rPr>
            </w:pPr>
          </w:p>
        </w:tc>
        <w:tc>
          <w:tcPr>
            <w:tcW w:w="38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Ma'anshan Weitai Tin Co., Ltd.</w:t>
            </w:r>
          </w:p>
        </w:tc>
        <w:tc>
          <w:tcPr>
            <w:tcW w:w="3260" w:type="dxa"/>
            <w:vAlign w:val="bottom"/>
            <w:tcBorders>
              <w:bottom w:val="single" w:sz="8" w:color="9CC2E5"/>
              <w:right w:val="single" w:sz="8" w:color="9CC2E5"/>
            </w:tcBorders>
            <w:gridSpan w:val="2"/>
            <w:shd w:val="clear" w:color="auto" w:fill="DEEAF6"/>
          </w:tcPr>
          <w:p>
            <w:pPr>
              <w:ind w:left="80"/>
              <w:spacing w:after="0" w:line="225"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Tin Smelting Branch of Yunnan Tin Co., Ltd.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Yunnan Chengfeng Non-ferrous Metals Co.,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Yunnan Tin Company Limited</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Yunnan Yunfan Non-ferrous Metals Co., Ltd.</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SimSun" w:cs="SimSun" w:eastAsia="SimSun" w:hAnsi="SimSun"/>
                <w:sz w:val="20"/>
                <w:szCs w:val="20"/>
                <w:color w:val="auto"/>
              </w:rPr>
              <w:t>云南锡业股份有限公司锡业分公司</w:t>
            </w:r>
          </w:p>
        </w:tc>
        <w:tc>
          <w:tcPr>
            <w:tcW w:w="3260" w:type="dxa"/>
            <w:vAlign w:val="bottom"/>
            <w:tcBorders>
              <w:bottom w:val="single" w:sz="8" w:color="9CC2E5"/>
              <w:right w:val="single" w:sz="8" w:color="9CC2E5"/>
            </w:tcBorders>
            <w:gridSpan w:val="2"/>
          </w:tcPr>
          <w:p>
            <w:pPr>
              <w:ind w:left="80"/>
              <w:spacing w:after="0" w:line="223" w:lineRule="exact"/>
              <w:rPr>
                <w:sz w:val="20"/>
                <w:szCs w:val="20"/>
                <w:color w:val="auto"/>
              </w:rPr>
            </w:pPr>
            <w:r>
              <w:rPr>
                <w:rFonts w:ascii="Arial" w:cs="Arial" w:eastAsia="Arial" w:hAnsi="Arial"/>
                <w:sz w:val="20"/>
                <w:szCs w:val="20"/>
                <w:color w:val="auto"/>
              </w:rPr>
              <w:t>China</w:t>
            </w: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Mining Minerals Resources SARL</w:t>
            </w:r>
          </w:p>
        </w:tc>
        <w:tc>
          <w:tcPr>
            <w:tcW w:w="3260" w:type="dxa"/>
            <w:vAlign w:val="bottom"/>
            <w:tcBorders>
              <w:bottom w:val="single" w:sz="8" w:color="9CC2E5"/>
              <w:right w:val="single" w:sz="8" w:color="9CC2E5"/>
            </w:tcBorders>
            <w:gridSpan w:val="2"/>
            <w:shd w:val="clear" w:color="auto" w:fill="DEEAF6"/>
          </w:tcPr>
          <w:p>
            <w:pPr>
              <w:ind w:left="80"/>
              <w:spacing w:after="0" w:line="223" w:lineRule="exact"/>
              <w:rPr>
                <w:sz w:val="20"/>
                <w:szCs w:val="20"/>
                <w:color w:val="auto"/>
              </w:rPr>
            </w:pPr>
            <w:r>
              <w:rPr>
                <w:rFonts w:ascii="Arial" w:cs="Arial" w:eastAsia="Arial" w:hAnsi="Arial"/>
                <w:sz w:val="20"/>
                <w:szCs w:val="20"/>
                <w:color w:val="auto"/>
              </w:rPr>
              <w:t>Congo, Democratic Republic of the</w:t>
            </w:r>
          </w:p>
        </w:tc>
      </w:tr>
      <w:tr>
        <w:trPr>
          <w:trHeight w:val="554"/>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tcPr>
          <w:p>
            <w:pPr>
              <w:spacing w:after="0"/>
              <w:rPr>
                <w:sz w:val="24"/>
                <w:szCs w:val="24"/>
                <w:color w:val="auto"/>
              </w:rPr>
            </w:pPr>
          </w:p>
        </w:tc>
        <w:tc>
          <w:tcPr>
            <w:tcW w:w="38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3" w:name="page14"/>
    <w:bookmarkEnd w:id="13"/>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tcPr>
          <w:p>
            <w:pPr>
              <w:ind w:left="100"/>
              <w:spacing w:after="0"/>
              <w:rPr>
                <w:sz w:val="20"/>
                <w:szCs w:val="20"/>
                <w:color w:val="auto"/>
              </w:rPr>
            </w:pPr>
            <w:r>
              <w:rPr>
                <w:rFonts w:ascii="Arial" w:cs="Arial" w:eastAsia="Arial" w:hAnsi="Arial"/>
                <w:sz w:val="20"/>
                <w:szCs w:val="20"/>
                <w:color w:val="auto"/>
              </w:rPr>
              <w:t>Tin</w:t>
            </w:r>
          </w:p>
        </w:tc>
        <w:tc>
          <w:tcPr>
            <w:tcW w:w="4620" w:type="dxa"/>
            <w:vAlign w:val="bottom"/>
            <w:tcBorders>
              <w:top w:val="single" w:sz="8" w:color="9CC2E5"/>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Precious Minerals and Smelting Limited</w:t>
            </w:r>
          </w:p>
        </w:tc>
        <w:tc>
          <w:tcPr>
            <w:tcW w:w="2900" w:type="dxa"/>
            <w:vAlign w:val="bottom"/>
            <w:tcBorders>
              <w:top w:val="single" w:sz="8" w:color="9CC2E5"/>
              <w:bottom w:val="single" w:sz="8" w:color="9CC2E5"/>
            </w:tcBorders>
          </w:tcPr>
          <w:p>
            <w:pPr>
              <w:ind w:left="80"/>
              <w:spacing w:after="0"/>
              <w:rPr>
                <w:sz w:val="20"/>
                <w:szCs w:val="20"/>
                <w:color w:val="auto"/>
              </w:rPr>
            </w:pPr>
            <w:r>
              <w:rPr>
                <w:rFonts w:ascii="Arial" w:cs="Arial" w:eastAsia="Arial" w:hAnsi="Arial"/>
                <w:sz w:val="20"/>
                <w:szCs w:val="20"/>
                <w:color w:val="auto"/>
              </w:rPr>
              <w:t>India</w:t>
            </w:r>
          </w:p>
        </w:tc>
        <w:tc>
          <w:tcPr>
            <w:tcW w:w="360" w:type="dxa"/>
            <w:vAlign w:val="bottom"/>
            <w:tcBorders>
              <w:top w:val="single" w:sz="8" w:color="9CC2E5"/>
              <w:bottom w:val="single" w:sz="8" w:color="9CC2E5"/>
              <w:right w:val="single" w:sz="8" w:color="9CC2E5"/>
            </w:tcBorders>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RIKAYAA Greentech Private Limited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Alent plc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CV Ayi Jaya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Arsed Indonesia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Artha Cipta Langgeng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ATD Makmur Mandiri Jaya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Babel Surya Alam Lestari</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Bangka Prima Tin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Bangka Serumpun</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Cipta Persada Mulia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Menara Cipta Mulia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Mitra Stania Prima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Mitra Sukses Globalindo</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Premium Tin Indonesia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Prima Timah Utama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Putera Sarana Shakti (PT PSS)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Rajawali Rimba Perkasa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Rajehan Ariq</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Refined Bangka Tin</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Stanindo Inti Perkasa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PT Timah Tbk Kundur</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PT Timah Tbk Mentok</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Indonesia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Dowa</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Mitsubishi Materials Corporation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Takehara PVD Materials Plant / PVD Materials</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Japan</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Division of Mitsui Mining &amp; Smelting Co., LTD.</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Malaysia Smelting Corporation (MSC)</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Malaysia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Malaysia Smelting Corporation Berhad (Port</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Malaysia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Klang)</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Modeltech Sdn Bhd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Malaysia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Minsur</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Peru</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O.M. Manufacturing Philippines, Inc.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Philippines</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Fenix Metals</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Poland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Novosibirsk Tin Combine</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Luna Smelter,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Rwanda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Aurubis Berango</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Spain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CRM Synergies</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Spain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CRM Synergies EMEA, S.L.U.</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Spain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Metallo Spain S.L.U.</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Spain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Rui Da Hung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O.M. Manufacturing (Thailand)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Thailand</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Thaisarco</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Thailand</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Woodcross Smelting Company Limited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Uganda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Alpha</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Alpha Assembly Solutions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Metallic Resources, Inc.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554"/>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4" w:name="page15"/>
    <w:bookmarkEnd w:id="14"/>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43"/>
        </w:trPr>
        <w:tc>
          <w:tcPr>
            <w:tcW w:w="1060" w:type="dxa"/>
            <w:vAlign w:val="bottom"/>
            <w:tcBorders>
              <w:top w:val="single" w:sz="8" w:color="9CC2E5"/>
              <w:left w:val="single" w:sz="8" w:color="9CC2E5"/>
              <w:bottom w:val="single" w:sz="8" w:color="9CC2E5"/>
              <w:right w:val="single" w:sz="8" w:color="9CC2E5"/>
            </w:tcBorders>
            <w:shd w:val="clear" w:color="auto" w:fill="DEEAF6"/>
          </w:tcPr>
          <w:p>
            <w:pPr>
              <w:ind w:left="100"/>
              <w:spacing w:after="0"/>
              <w:rPr>
                <w:sz w:val="20"/>
                <w:szCs w:val="20"/>
                <w:color w:val="auto"/>
              </w:rPr>
            </w:pPr>
            <w:r>
              <w:rPr>
                <w:rFonts w:ascii="Arial" w:cs="Arial" w:eastAsia="Arial" w:hAnsi="Arial"/>
                <w:sz w:val="20"/>
                <w:szCs w:val="20"/>
                <w:color w:val="auto"/>
              </w:rPr>
              <w:t>Tin</w:t>
            </w:r>
          </w:p>
        </w:tc>
        <w:tc>
          <w:tcPr>
            <w:tcW w:w="4620" w:type="dxa"/>
            <w:vAlign w:val="bottom"/>
            <w:tcBorders>
              <w:top w:val="single" w:sz="8" w:color="9CC2E5"/>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P Kay Metal, Inc</w:t>
            </w:r>
          </w:p>
        </w:tc>
        <w:tc>
          <w:tcPr>
            <w:tcW w:w="2900" w:type="dxa"/>
            <w:vAlign w:val="bottom"/>
            <w:tcBorders>
              <w:top w:val="single" w:sz="8" w:color="9CC2E5"/>
              <w:bottom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United States of America</w:t>
            </w:r>
          </w:p>
        </w:tc>
        <w:tc>
          <w:tcPr>
            <w:tcW w:w="360" w:type="dxa"/>
            <w:vAlign w:val="bottom"/>
            <w:tcBorders>
              <w:top w:val="single" w:sz="8" w:color="9CC2E5"/>
              <w:bottom w:val="single" w:sz="8" w:color="9CC2E5"/>
              <w:right w:val="single" w:sz="8" w:color="9CC2E5"/>
            </w:tcBorders>
            <w:shd w:val="clear" w:color="auto" w:fill="DEEAF6"/>
          </w:tcPr>
          <w:p>
            <w:pPr>
              <w:spacing w:after="0"/>
              <w:rPr>
                <w:sz w:val="21"/>
                <w:szCs w:val="21"/>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Tin Technology &amp; Refining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An Vinh Joint Stock Mineral Processing Company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Electro-Mechanical Facility of the Cao Bang</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Viet Nam</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Minerals &amp; Metallurgy Joint Stock Company</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03"/>
        </w:trPr>
        <w:tc>
          <w:tcPr>
            <w:tcW w:w="1060" w:type="dxa"/>
            <w:vAlign w:val="bottom"/>
            <w:tcBorders>
              <w:left w:val="single" w:sz="8" w:color="9CC2E5"/>
              <w:right w:val="single" w:sz="8" w:color="9CC2E5"/>
            </w:tcBorders>
            <w:shd w:val="clear" w:color="auto" w:fill="DEEAF6"/>
          </w:tcPr>
          <w:p>
            <w:pPr>
              <w:ind w:left="100"/>
              <w:spacing w:after="0" w:line="203" w:lineRule="exact"/>
              <w:rPr>
                <w:sz w:val="20"/>
                <w:szCs w:val="20"/>
                <w:color w:val="auto"/>
              </w:rPr>
            </w:pPr>
            <w:r>
              <w:rPr>
                <w:rFonts w:ascii="Arial" w:cs="Arial" w:eastAsia="Arial" w:hAnsi="Arial"/>
                <w:sz w:val="20"/>
                <w:szCs w:val="20"/>
                <w:color w:val="auto"/>
              </w:rPr>
              <w:t>Tin</w:t>
            </w:r>
          </w:p>
        </w:tc>
        <w:tc>
          <w:tcPr>
            <w:tcW w:w="4620" w:type="dxa"/>
            <w:vAlign w:val="bottom"/>
            <w:tcBorders>
              <w:right w:val="single" w:sz="8" w:color="9CC2E5"/>
            </w:tcBorders>
            <w:shd w:val="clear" w:color="auto" w:fill="DEEAF6"/>
          </w:tcPr>
          <w:p>
            <w:pPr>
              <w:ind w:left="80"/>
              <w:spacing w:after="0" w:line="203" w:lineRule="exact"/>
              <w:rPr>
                <w:sz w:val="20"/>
                <w:szCs w:val="20"/>
                <w:color w:val="auto"/>
              </w:rPr>
            </w:pPr>
            <w:r>
              <w:rPr>
                <w:rFonts w:ascii="Arial" w:cs="Arial" w:eastAsia="Arial" w:hAnsi="Arial"/>
                <w:sz w:val="20"/>
                <w:szCs w:val="20"/>
                <w:color w:val="auto"/>
              </w:rPr>
              <w:t>Nghe Tinh Non-Ferrous Metals Joint Stock</w:t>
            </w:r>
          </w:p>
        </w:tc>
        <w:tc>
          <w:tcPr>
            <w:tcW w:w="2900" w:type="dxa"/>
            <w:vAlign w:val="bottom"/>
            <w:shd w:val="clear" w:color="auto" w:fill="DEEAF6"/>
          </w:tcPr>
          <w:p>
            <w:pPr>
              <w:ind w:left="80"/>
              <w:spacing w:after="0" w:line="203" w:lineRule="exact"/>
              <w:rPr>
                <w:sz w:val="20"/>
                <w:szCs w:val="20"/>
                <w:color w:val="auto"/>
              </w:rPr>
            </w:pPr>
            <w:r>
              <w:rPr>
                <w:rFonts w:ascii="Arial" w:cs="Arial" w:eastAsia="Arial" w:hAnsi="Arial"/>
                <w:sz w:val="20"/>
                <w:szCs w:val="20"/>
                <w:color w:val="auto"/>
              </w:rPr>
              <w:t>Viet Nam</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Company</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Thai Nguyen Mining and Metallurgy Co., Ltd.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Tin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VQB Mineral and Trading Group JSC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Wolfram Bergbau und Hutten AG</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Austria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Tungsten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Albasteel Industria e Comercio de Ligas Para</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Brazil</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Fundicao Ltd.</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Cronimet Brasil Ltda</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Brazil</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 Molybdenum Tungsten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Chongyi Zhangyuan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Fujian Xinlu Tungsten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Ganzhou Jiangwu Ferrotungsten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Ganzhou Seadragon W &amp; Mo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Guangdong Xianglu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Hubei Green Tungsten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Hunan Jintai New Material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Tungsten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Hunan Shizhuyuan Nonferrous Metals Co., Ltd.</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Chenzhou Tungsten Products Branch</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Jiangwu H.C. Starck Tungsten Products Co., Ltd.</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Jiangxi Copper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Jiangxi Gan Bei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01"/>
        </w:trPr>
        <w:tc>
          <w:tcPr>
            <w:tcW w:w="1060" w:type="dxa"/>
            <w:vAlign w:val="bottom"/>
            <w:tcBorders>
              <w:left w:val="single" w:sz="8" w:color="9CC2E5"/>
              <w:right w:val="single" w:sz="8" w:color="9CC2E5"/>
            </w:tcBorders>
            <w:shd w:val="clear" w:color="auto" w:fill="DEEAF6"/>
          </w:tcPr>
          <w:p>
            <w:pPr>
              <w:ind w:left="100"/>
              <w:spacing w:after="0" w:line="202" w:lineRule="exact"/>
              <w:rPr>
                <w:sz w:val="20"/>
                <w:szCs w:val="20"/>
                <w:color w:val="auto"/>
              </w:rPr>
            </w:pPr>
            <w:r>
              <w:rPr>
                <w:rFonts w:ascii="Arial" w:cs="Arial" w:eastAsia="Arial" w:hAnsi="Arial"/>
                <w:sz w:val="20"/>
                <w:szCs w:val="20"/>
                <w:color w:val="auto"/>
              </w:rPr>
              <w:t>Tungsten</w:t>
            </w:r>
          </w:p>
        </w:tc>
        <w:tc>
          <w:tcPr>
            <w:tcW w:w="4620" w:type="dxa"/>
            <w:vAlign w:val="bottom"/>
            <w:tcBorders>
              <w:right w:val="single" w:sz="8" w:color="9CC2E5"/>
            </w:tcBorders>
            <w:shd w:val="clear" w:color="auto" w:fill="DEEAF6"/>
          </w:tcPr>
          <w:p>
            <w:pPr>
              <w:ind w:left="80"/>
              <w:spacing w:after="0" w:line="202" w:lineRule="exact"/>
              <w:rPr>
                <w:sz w:val="20"/>
                <w:szCs w:val="20"/>
                <w:color w:val="auto"/>
              </w:rPr>
            </w:pPr>
            <w:r>
              <w:rPr>
                <w:rFonts w:ascii="Arial" w:cs="Arial" w:eastAsia="Arial" w:hAnsi="Arial"/>
                <w:sz w:val="20"/>
                <w:szCs w:val="20"/>
                <w:color w:val="auto"/>
              </w:rPr>
              <w:t>Jiangxi Minmetals Gao'an Non-ferrous Metals Co.,</w:t>
            </w:r>
          </w:p>
        </w:tc>
        <w:tc>
          <w:tcPr>
            <w:tcW w:w="2900" w:type="dxa"/>
            <w:vAlign w:val="bottom"/>
            <w:shd w:val="clear" w:color="auto" w:fill="DEEAF6"/>
          </w:tcPr>
          <w:p>
            <w:pPr>
              <w:ind w:left="80"/>
              <w:spacing w:after="0" w:line="202"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shd w:val="clear" w:color="auto" w:fill="DEEAF6"/>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Ltd.</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03"/>
        </w:trPr>
        <w:tc>
          <w:tcPr>
            <w:tcW w:w="1060" w:type="dxa"/>
            <w:vAlign w:val="bottom"/>
            <w:tcBorders>
              <w:left w:val="single" w:sz="8" w:color="9CC2E5"/>
              <w:right w:val="single" w:sz="8" w:color="9CC2E5"/>
            </w:tcBorders>
          </w:tcPr>
          <w:p>
            <w:pPr>
              <w:ind w:left="100"/>
              <w:spacing w:after="0" w:line="203" w:lineRule="exact"/>
              <w:rPr>
                <w:sz w:val="20"/>
                <w:szCs w:val="20"/>
                <w:color w:val="auto"/>
              </w:rPr>
            </w:pPr>
            <w:r>
              <w:rPr>
                <w:rFonts w:ascii="Arial" w:cs="Arial" w:eastAsia="Arial" w:hAnsi="Arial"/>
                <w:sz w:val="20"/>
                <w:szCs w:val="20"/>
                <w:color w:val="auto"/>
              </w:rPr>
              <w:t>Tungsten</w:t>
            </w:r>
          </w:p>
        </w:tc>
        <w:tc>
          <w:tcPr>
            <w:tcW w:w="4620" w:type="dxa"/>
            <w:vAlign w:val="bottom"/>
            <w:tcBorders>
              <w:right w:val="single" w:sz="8" w:color="9CC2E5"/>
            </w:tcBorders>
          </w:tcPr>
          <w:p>
            <w:pPr>
              <w:ind w:left="80"/>
              <w:spacing w:after="0" w:line="203" w:lineRule="exact"/>
              <w:rPr>
                <w:sz w:val="20"/>
                <w:szCs w:val="20"/>
                <w:color w:val="auto"/>
              </w:rPr>
            </w:pPr>
            <w:r>
              <w:rPr>
                <w:rFonts w:ascii="Arial" w:cs="Arial" w:eastAsia="Arial" w:hAnsi="Arial"/>
                <w:sz w:val="20"/>
                <w:szCs w:val="20"/>
                <w:color w:val="auto"/>
              </w:rPr>
              <w:t>Jiangxi Tonggu Non-ferrous Metallurgical &amp;</w:t>
            </w:r>
          </w:p>
        </w:tc>
        <w:tc>
          <w:tcPr>
            <w:tcW w:w="2900" w:type="dxa"/>
            <w:vAlign w:val="bottom"/>
          </w:tcPr>
          <w:p>
            <w:pPr>
              <w:ind w:left="80"/>
              <w:spacing w:after="0" w:line="203" w:lineRule="exact"/>
              <w:rPr>
                <w:sz w:val="20"/>
                <w:szCs w:val="20"/>
                <w:color w:val="auto"/>
              </w:rPr>
            </w:pPr>
            <w:r>
              <w:rPr>
                <w:rFonts w:ascii="Arial" w:cs="Arial" w:eastAsia="Arial" w:hAnsi="Arial"/>
                <w:sz w:val="20"/>
                <w:szCs w:val="20"/>
                <w:color w:val="auto"/>
              </w:rPr>
              <w:t>China</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ind w:left="80"/>
              <w:spacing w:after="0"/>
              <w:rPr>
                <w:sz w:val="20"/>
                <w:szCs w:val="20"/>
                <w:color w:val="auto"/>
              </w:rPr>
            </w:pPr>
            <w:r>
              <w:rPr>
                <w:rFonts w:ascii="Arial" w:cs="Arial" w:eastAsia="Arial" w:hAnsi="Arial"/>
                <w:sz w:val="20"/>
                <w:szCs w:val="20"/>
                <w:color w:val="auto"/>
              </w:rPr>
              <w:t>Chemical Co., Ltd.</w:t>
            </w:r>
          </w:p>
        </w:tc>
        <w:tc>
          <w:tcPr>
            <w:tcW w:w="2900" w:type="dxa"/>
            <w:vAlign w:val="bottom"/>
            <w:tcBorders>
              <w:bottom w:val="single" w:sz="8" w:color="9CC2E5"/>
            </w:tcBorders>
          </w:tcPr>
          <w:p>
            <w:pPr>
              <w:spacing w:after="0"/>
              <w:rPr>
                <w:sz w:val="22"/>
                <w:szCs w:val="22"/>
                <w:color w:val="auto"/>
              </w:rPr>
            </w:pPr>
          </w:p>
        </w:tc>
        <w:tc>
          <w:tcPr>
            <w:tcW w:w="360" w:type="dxa"/>
            <w:vAlign w:val="bottom"/>
            <w:tcBorders>
              <w:bottom w:val="single" w:sz="8" w:color="9CC2E5"/>
              <w:right w:val="single" w:sz="8" w:color="9CC2E5"/>
            </w:tcBorders>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shd w:val="clear" w:color="auto" w:fill="DEEAF6"/>
          </w:tcPr>
          <w:p>
            <w:pPr>
              <w:ind w:left="100"/>
              <w:spacing w:after="0" w:line="225"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Jiangxi Xinsheng Tungsten Industry Co., Ltd.</w:t>
            </w:r>
          </w:p>
        </w:tc>
        <w:tc>
          <w:tcPr>
            <w:tcW w:w="2900" w:type="dxa"/>
            <w:vAlign w:val="bottom"/>
            <w:tcBorders>
              <w:bottom w:val="single" w:sz="8" w:color="9CC2E5"/>
            </w:tcBorders>
            <w:shd w:val="clear" w:color="auto" w:fill="DEEAF6"/>
          </w:tcPr>
          <w:p>
            <w:pPr>
              <w:ind w:left="80"/>
              <w:spacing w:after="0" w:line="225"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Jiangxi Yaosheng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Malipo Haiyu Tungsten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Shinwon Tungsten (Fujian Shanghang)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Xiamen Tungsten (H.C.)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Xiamen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YUDU ANSHENG TUNGSTEN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Zhangyuan Tungsten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S.P.T. spol.s r.o.</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Czechia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H.C. Starck Tungsten GmbH</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TANIOBIS Smelting GmbH &amp; Co. KG</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Germany</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A.L.M.T. Corp.</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Allied Material Corporation</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 New Metals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Japan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Tungamoy Metals Inc.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Korea, Republic of</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01"/>
        </w:trPr>
        <w:tc>
          <w:tcPr>
            <w:tcW w:w="1060" w:type="dxa"/>
            <w:vAlign w:val="bottom"/>
            <w:tcBorders>
              <w:left w:val="single" w:sz="8" w:color="9CC2E5"/>
              <w:right w:val="single" w:sz="8" w:color="9CC2E5"/>
            </w:tcBorders>
          </w:tcPr>
          <w:p>
            <w:pPr>
              <w:ind w:left="100"/>
              <w:spacing w:after="0" w:line="202" w:lineRule="exact"/>
              <w:rPr>
                <w:sz w:val="20"/>
                <w:szCs w:val="20"/>
                <w:color w:val="auto"/>
              </w:rPr>
            </w:pPr>
            <w:r>
              <w:rPr>
                <w:rFonts w:ascii="Arial" w:cs="Arial" w:eastAsia="Arial" w:hAnsi="Arial"/>
                <w:sz w:val="20"/>
                <w:szCs w:val="20"/>
                <w:color w:val="auto"/>
              </w:rPr>
              <w:t>Tungsten</w:t>
            </w:r>
          </w:p>
        </w:tc>
        <w:tc>
          <w:tcPr>
            <w:tcW w:w="4620" w:type="dxa"/>
            <w:vAlign w:val="bottom"/>
            <w:tcBorders>
              <w:right w:val="single" w:sz="8" w:color="9CC2E5"/>
            </w:tcBorders>
          </w:tcPr>
          <w:p>
            <w:pPr>
              <w:ind w:left="80"/>
              <w:spacing w:after="0" w:line="202" w:lineRule="exact"/>
              <w:rPr>
                <w:sz w:val="20"/>
                <w:szCs w:val="20"/>
                <w:color w:val="auto"/>
              </w:rPr>
            </w:pPr>
            <w:r>
              <w:rPr>
                <w:rFonts w:ascii="Arial" w:cs="Arial" w:eastAsia="Arial" w:hAnsi="Arial"/>
                <w:sz w:val="20"/>
                <w:szCs w:val="20"/>
                <w:color w:val="auto"/>
              </w:rPr>
              <w:t>Laos Southern Mining Smelting Sole Co., LTD</w:t>
            </w:r>
          </w:p>
        </w:tc>
        <w:tc>
          <w:tcPr>
            <w:tcW w:w="2900" w:type="dxa"/>
            <w:vAlign w:val="bottom"/>
          </w:tcPr>
          <w:p>
            <w:pPr>
              <w:ind w:left="80"/>
              <w:spacing w:after="0" w:line="202" w:lineRule="exact"/>
              <w:rPr>
                <w:sz w:val="20"/>
                <w:szCs w:val="20"/>
                <w:color w:val="auto"/>
              </w:rPr>
            </w:pPr>
            <w:r>
              <w:rPr>
                <w:rFonts w:ascii="Arial" w:cs="Arial" w:eastAsia="Arial" w:hAnsi="Arial"/>
                <w:sz w:val="20"/>
                <w:szCs w:val="20"/>
                <w:color w:val="auto"/>
              </w:rPr>
              <w:t>Laos People's Democratic</w:t>
            </w:r>
          </w:p>
        </w:tc>
        <w:tc>
          <w:tcPr>
            <w:tcW w:w="360" w:type="dxa"/>
            <w:vAlign w:val="bottom"/>
            <w:tcBorders>
              <w:right w:val="single" w:sz="8" w:color="9CC2E5"/>
            </w:tcBorders>
          </w:tcPr>
          <w:p>
            <w:pPr>
              <w:spacing w:after="0"/>
              <w:rPr>
                <w:sz w:val="17"/>
                <w:szCs w:val="17"/>
                <w:color w:val="auto"/>
              </w:rPr>
            </w:pPr>
          </w:p>
        </w:tc>
      </w:tr>
      <w:tr>
        <w:trPr>
          <w:trHeight w:val="263"/>
        </w:trPr>
        <w:tc>
          <w:tcPr>
            <w:tcW w:w="1060" w:type="dxa"/>
            <w:vAlign w:val="bottom"/>
            <w:tcBorders>
              <w:left w:val="single" w:sz="8" w:color="9CC2E5"/>
              <w:bottom w:val="single" w:sz="8" w:color="9CC2E5"/>
              <w:right w:val="single" w:sz="8" w:color="9CC2E5"/>
            </w:tcBorders>
          </w:tcPr>
          <w:p>
            <w:pPr>
              <w:spacing w:after="0"/>
              <w:rPr>
                <w:sz w:val="22"/>
                <w:szCs w:val="22"/>
                <w:color w:val="auto"/>
              </w:rPr>
            </w:pPr>
          </w:p>
        </w:tc>
        <w:tc>
          <w:tcPr>
            <w:tcW w:w="4620" w:type="dxa"/>
            <w:vAlign w:val="bottom"/>
            <w:tcBorders>
              <w:bottom w:val="single" w:sz="8" w:color="9CC2E5"/>
              <w:right w:val="single" w:sz="8" w:color="9CC2E5"/>
            </w:tcBorders>
          </w:tcPr>
          <w:p>
            <w:pPr>
              <w:spacing w:after="0"/>
              <w:rPr>
                <w:sz w:val="22"/>
                <w:szCs w:val="22"/>
                <w:color w:val="auto"/>
              </w:rPr>
            </w:pPr>
          </w:p>
        </w:tc>
        <w:tc>
          <w:tcPr>
            <w:tcW w:w="2900" w:type="dxa"/>
            <w:vAlign w:val="bottom"/>
            <w:tcBorders>
              <w:bottom w:val="single" w:sz="8" w:color="9CC2E5"/>
            </w:tcBorders>
          </w:tcPr>
          <w:p>
            <w:pPr>
              <w:ind w:left="80"/>
              <w:spacing w:after="0"/>
              <w:rPr>
                <w:sz w:val="20"/>
                <w:szCs w:val="20"/>
                <w:color w:val="auto"/>
              </w:rPr>
            </w:pPr>
            <w:r>
              <w:rPr>
                <w:rFonts w:ascii="Arial" w:cs="Arial" w:eastAsia="Arial" w:hAnsi="Arial"/>
                <w:sz w:val="20"/>
                <w:szCs w:val="20"/>
                <w:color w:val="auto"/>
              </w:rPr>
              <w:t>Republic</w:t>
            </w:r>
          </w:p>
        </w:tc>
        <w:tc>
          <w:tcPr>
            <w:tcW w:w="360" w:type="dxa"/>
            <w:vAlign w:val="bottom"/>
            <w:tcBorders>
              <w:bottom w:val="single" w:sz="8" w:color="9CC2E5"/>
              <w:right w:val="single" w:sz="8" w:color="9CC2E5"/>
            </w:tcBorders>
          </w:tcPr>
          <w:p>
            <w:pPr>
              <w:spacing w:after="0"/>
              <w:rPr>
                <w:sz w:val="22"/>
                <w:szCs w:val="22"/>
                <w:color w:val="auto"/>
              </w:rPr>
            </w:pPr>
          </w:p>
        </w:tc>
      </w:tr>
      <w:tr>
        <w:trPr>
          <w:trHeight w:val="556"/>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9160"/>
          </w:cols>
          <w:pgMar w:left="1440" w:top="120" w:right="1299" w:bottom="1440" w:gutter="0" w:footer="0" w:header="0"/>
        </w:sectPr>
      </w:pPr>
    </w:p>
    <w:bookmarkStart w:id="15" w:name="page16"/>
    <w:bookmarkEnd w:id="15"/>
    <w:p>
      <w:pPr>
        <w:spacing w:after="0" w:line="1" w:lineRule="exact"/>
        <w:rPr>
          <w:sz w:val="20"/>
          <w:szCs w:val="20"/>
          <w:color w:val="auto"/>
        </w:rPr>
      </w:pPr>
    </w:p>
    <w:tbl>
      <w:tblPr>
        <w:tblLayout w:type="fixed"/>
        <w:tblInd w:w="230" w:type="dxa"/>
        <w:tblCellMar>
          <w:top w:w="0" w:type="dxa"/>
          <w:left w:w="0" w:type="dxa"/>
          <w:bottom w:w="0" w:type="dxa"/>
          <w:right w:w="0" w:type="dxa"/>
        </w:tblCellMar>
      </w:tblPr>
      <w:tr>
        <w:trPr>
          <w:trHeight w:val="221"/>
        </w:trPr>
        <w:tc>
          <w:tcPr>
            <w:tcW w:w="1060" w:type="dxa"/>
            <w:vAlign w:val="bottom"/>
            <w:tcBorders>
              <w:top w:val="single" w:sz="8" w:color="9CC2E5"/>
              <w:left w:val="single" w:sz="8" w:color="9CC2E5"/>
              <w:right w:val="single" w:sz="8" w:color="9CC2E5"/>
            </w:tcBorders>
            <w:shd w:val="clear" w:color="auto" w:fill="DEEAF6"/>
          </w:tcPr>
          <w:p>
            <w:pPr>
              <w:ind w:left="100"/>
              <w:spacing w:after="0" w:line="222" w:lineRule="exact"/>
              <w:rPr>
                <w:sz w:val="20"/>
                <w:szCs w:val="20"/>
                <w:color w:val="auto"/>
              </w:rPr>
            </w:pPr>
            <w:r>
              <w:rPr>
                <w:rFonts w:ascii="Arial" w:cs="Arial" w:eastAsia="Arial" w:hAnsi="Arial"/>
                <w:sz w:val="20"/>
                <w:szCs w:val="20"/>
                <w:color w:val="auto"/>
              </w:rPr>
              <w:t>Tungsten</w:t>
            </w:r>
          </w:p>
        </w:tc>
        <w:tc>
          <w:tcPr>
            <w:tcW w:w="4620" w:type="dxa"/>
            <w:vAlign w:val="bottom"/>
            <w:tcBorders>
              <w:top w:val="single" w:sz="8" w:color="9CC2E5"/>
              <w:right w:val="single" w:sz="8" w:color="9CC2E5"/>
            </w:tcBorders>
            <w:shd w:val="clear" w:color="auto" w:fill="DEEAF6"/>
          </w:tcPr>
          <w:p>
            <w:pPr>
              <w:ind w:left="80"/>
              <w:spacing w:after="0" w:line="222" w:lineRule="exact"/>
              <w:rPr>
                <w:sz w:val="20"/>
                <w:szCs w:val="20"/>
                <w:color w:val="auto"/>
              </w:rPr>
            </w:pPr>
            <w:r>
              <w:rPr>
                <w:rFonts w:ascii="Arial" w:cs="Arial" w:eastAsia="Arial" w:hAnsi="Arial"/>
                <w:sz w:val="20"/>
                <w:szCs w:val="20"/>
                <w:color w:val="auto"/>
              </w:rPr>
              <w:t>Philippine Bonway Manufacturing Industrial</w:t>
            </w:r>
          </w:p>
        </w:tc>
        <w:tc>
          <w:tcPr>
            <w:tcW w:w="2900" w:type="dxa"/>
            <w:vAlign w:val="bottom"/>
            <w:tcBorders>
              <w:top w:val="single" w:sz="8" w:color="9CC2E5"/>
            </w:tcBorders>
            <w:shd w:val="clear" w:color="auto" w:fill="DEEAF6"/>
          </w:tcPr>
          <w:p>
            <w:pPr>
              <w:ind w:left="80"/>
              <w:spacing w:after="0" w:line="222" w:lineRule="exact"/>
              <w:rPr>
                <w:sz w:val="20"/>
                <w:szCs w:val="20"/>
                <w:color w:val="auto"/>
              </w:rPr>
            </w:pPr>
            <w:r>
              <w:rPr>
                <w:rFonts w:ascii="Arial" w:cs="Arial" w:eastAsia="Arial" w:hAnsi="Arial"/>
                <w:sz w:val="20"/>
                <w:szCs w:val="20"/>
                <w:color w:val="auto"/>
              </w:rPr>
              <w:t>Philippines</w:t>
            </w:r>
          </w:p>
        </w:tc>
        <w:tc>
          <w:tcPr>
            <w:tcW w:w="360" w:type="dxa"/>
            <w:vAlign w:val="bottom"/>
            <w:tcBorders>
              <w:top w:val="single" w:sz="8" w:color="9CC2E5"/>
              <w:right w:val="single" w:sz="8" w:color="9CC2E5"/>
            </w:tcBorders>
            <w:shd w:val="clear" w:color="auto" w:fill="DEEAF6"/>
          </w:tcPr>
          <w:p>
            <w:pPr>
              <w:spacing w:after="0"/>
              <w:rPr>
                <w:sz w:val="19"/>
                <w:szCs w:val="19"/>
                <w:color w:val="auto"/>
              </w:rPr>
            </w:pPr>
          </w:p>
        </w:tc>
      </w:tr>
      <w:tr>
        <w:trPr>
          <w:trHeight w:val="263"/>
        </w:trPr>
        <w:tc>
          <w:tcPr>
            <w:tcW w:w="1060" w:type="dxa"/>
            <w:vAlign w:val="bottom"/>
            <w:tcBorders>
              <w:left w:val="single" w:sz="8" w:color="9CC2E5"/>
              <w:bottom w:val="single" w:sz="8" w:color="9CC2E5"/>
              <w:right w:val="single" w:sz="8" w:color="9CC2E5"/>
            </w:tcBorders>
            <w:shd w:val="clear" w:color="auto" w:fill="DEEAF6"/>
          </w:tcPr>
          <w:p>
            <w:pPr>
              <w:spacing w:after="0"/>
              <w:rPr>
                <w:sz w:val="22"/>
                <w:szCs w:val="22"/>
                <w:color w:val="auto"/>
              </w:rPr>
            </w:pPr>
          </w:p>
        </w:tc>
        <w:tc>
          <w:tcPr>
            <w:tcW w:w="4620" w:type="dxa"/>
            <w:vAlign w:val="bottom"/>
            <w:tcBorders>
              <w:bottom w:val="single" w:sz="8" w:color="9CC2E5"/>
              <w:right w:val="single" w:sz="8" w:color="9CC2E5"/>
            </w:tcBorders>
            <w:shd w:val="clear" w:color="auto" w:fill="DEEAF6"/>
          </w:tcPr>
          <w:p>
            <w:pPr>
              <w:ind w:left="80"/>
              <w:spacing w:after="0"/>
              <w:rPr>
                <w:sz w:val="20"/>
                <w:szCs w:val="20"/>
                <w:color w:val="auto"/>
              </w:rPr>
            </w:pPr>
            <w:r>
              <w:rPr>
                <w:rFonts w:ascii="Arial" w:cs="Arial" w:eastAsia="Arial" w:hAnsi="Arial"/>
                <w:sz w:val="20"/>
                <w:szCs w:val="20"/>
                <w:color w:val="auto"/>
              </w:rPr>
              <w:t>Corporation</w:t>
            </w:r>
          </w:p>
        </w:tc>
        <w:tc>
          <w:tcPr>
            <w:tcW w:w="2900" w:type="dxa"/>
            <w:vAlign w:val="bottom"/>
            <w:tcBorders>
              <w:bottom w:val="single" w:sz="8" w:color="9CC2E5"/>
            </w:tcBorders>
            <w:shd w:val="clear" w:color="auto" w:fill="DEEAF6"/>
          </w:tcPr>
          <w:p>
            <w:pPr>
              <w:spacing w:after="0"/>
              <w:rPr>
                <w:sz w:val="22"/>
                <w:szCs w:val="22"/>
                <w:color w:val="auto"/>
              </w:rPr>
            </w:pPr>
          </w:p>
        </w:tc>
        <w:tc>
          <w:tcPr>
            <w:tcW w:w="360" w:type="dxa"/>
            <w:vAlign w:val="bottom"/>
            <w:tcBorders>
              <w:bottom w:val="single" w:sz="8" w:color="9CC2E5"/>
              <w:right w:val="single" w:sz="8" w:color="9CC2E5"/>
            </w:tcBorders>
            <w:shd w:val="clear" w:color="auto" w:fill="DEEAF6"/>
          </w:tcPr>
          <w:p>
            <w:pPr>
              <w:spacing w:after="0"/>
              <w:rPr>
                <w:sz w:val="22"/>
                <w:szCs w:val="22"/>
                <w:color w:val="auto"/>
              </w:rPr>
            </w:pPr>
          </w:p>
        </w:tc>
      </w:tr>
      <w:tr>
        <w:trPr>
          <w:trHeight w:val="225"/>
        </w:trPr>
        <w:tc>
          <w:tcPr>
            <w:tcW w:w="1060" w:type="dxa"/>
            <w:vAlign w:val="bottom"/>
            <w:tcBorders>
              <w:left w:val="single" w:sz="8" w:color="9CC2E5"/>
              <w:bottom w:val="single" w:sz="8" w:color="9CC2E5"/>
              <w:right w:val="single" w:sz="8" w:color="9CC2E5"/>
            </w:tcBorders>
          </w:tcPr>
          <w:p>
            <w:pPr>
              <w:ind w:left="100"/>
              <w:spacing w:after="0" w:line="225"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5" w:lineRule="exact"/>
              <w:rPr>
                <w:sz w:val="20"/>
                <w:szCs w:val="20"/>
                <w:color w:val="auto"/>
              </w:rPr>
            </w:pPr>
            <w:r>
              <w:rPr>
                <w:rFonts w:ascii="Arial" w:cs="Arial" w:eastAsia="Arial" w:hAnsi="Arial"/>
                <w:sz w:val="20"/>
                <w:szCs w:val="20"/>
                <w:color w:val="auto"/>
              </w:rPr>
              <w:t>Philippine Carreytech Metal Corp.</w:t>
            </w:r>
          </w:p>
        </w:tc>
        <w:tc>
          <w:tcPr>
            <w:tcW w:w="2900" w:type="dxa"/>
            <w:vAlign w:val="bottom"/>
            <w:tcBorders>
              <w:bottom w:val="single" w:sz="8" w:color="9CC2E5"/>
            </w:tcBorders>
          </w:tcPr>
          <w:p>
            <w:pPr>
              <w:ind w:left="80"/>
              <w:spacing w:after="0" w:line="225" w:lineRule="exact"/>
              <w:rPr>
                <w:sz w:val="20"/>
                <w:szCs w:val="20"/>
                <w:color w:val="auto"/>
              </w:rPr>
            </w:pPr>
            <w:r>
              <w:rPr>
                <w:rFonts w:ascii="Arial" w:cs="Arial" w:eastAsia="Arial" w:hAnsi="Arial"/>
                <w:sz w:val="20"/>
                <w:szCs w:val="20"/>
                <w:color w:val="auto"/>
              </w:rPr>
              <w:t>Philippines</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Hydrometallurg, JSC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JSC "Kirovgrad Hard Alloys Plant"</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Moliren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NPP Tyazhmetprom LLC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OOO “Technolom” 1</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OOO “Technolom” 2</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Unecha Refractory metals plant</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Russian Federation</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Jing Yuan Tungsten Technology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Lianyou Metals Co.,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Lianyou Resources Co., Ltd.</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Taiwan, Province of China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ATI Tungsten Materials</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Global Tungsten &amp; Powders LLC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GTP</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Kennametal Fallon</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Kennametal Huntsville</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Niagara Refining LLC</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United States of America</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Asia Tungsten Products Vietnam Ltd.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Kenee Mining Corporation Vietnam</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Kenee Mining Viet Nam Company Limited</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Masan High-Tech Materials</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Masan Tungsten Chemical LLC (MTC)</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tcPr>
          <w:p>
            <w:pPr>
              <w:ind w:left="80"/>
              <w:spacing w:after="0" w:line="223" w:lineRule="exact"/>
              <w:rPr>
                <w:sz w:val="20"/>
                <w:szCs w:val="20"/>
                <w:color w:val="auto"/>
              </w:rPr>
            </w:pPr>
            <w:r>
              <w:rPr>
                <w:rFonts w:ascii="Arial" w:cs="Arial" w:eastAsia="Arial" w:hAnsi="Arial"/>
                <w:sz w:val="20"/>
                <w:szCs w:val="20"/>
                <w:color w:val="auto"/>
              </w:rPr>
              <w:t>Nam Viet Cromit Joint Stock Company</w:t>
            </w:r>
          </w:p>
        </w:tc>
        <w:tc>
          <w:tcPr>
            <w:tcW w:w="2900" w:type="dxa"/>
            <w:vAlign w:val="bottom"/>
            <w:tcBorders>
              <w:bottom w:val="single" w:sz="8" w:color="9CC2E5"/>
            </w:tcBorders>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tcPr>
          <w:p>
            <w:pPr>
              <w:spacing w:after="0"/>
              <w:rPr>
                <w:sz w:val="19"/>
                <w:szCs w:val="19"/>
                <w:color w:val="auto"/>
              </w:rPr>
            </w:pPr>
          </w:p>
        </w:tc>
      </w:tr>
      <w:tr>
        <w:trPr>
          <w:trHeight w:val="223"/>
        </w:trPr>
        <w:tc>
          <w:tcPr>
            <w:tcW w:w="1060" w:type="dxa"/>
            <w:vAlign w:val="bottom"/>
            <w:tcBorders>
              <w:left w:val="single" w:sz="8" w:color="9CC2E5"/>
              <w:bottom w:val="single" w:sz="8" w:color="9CC2E5"/>
              <w:right w:val="single" w:sz="8" w:color="9CC2E5"/>
            </w:tcBorders>
            <w:shd w:val="clear" w:color="auto" w:fill="DEEAF6"/>
          </w:tcPr>
          <w:p>
            <w:pPr>
              <w:ind w:left="100"/>
              <w:spacing w:after="0" w:line="223" w:lineRule="exact"/>
              <w:rPr>
                <w:sz w:val="20"/>
                <w:szCs w:val="20"/>
                <w:color w:val="auto"/>
              </w:rPr>
            </w:pPr>
            <w:r>
              <w:rPr>
                <w:rFonts w:ascii="Arial" w:cs="Arial" w:eastAsia="Arial" w:hAnsi="Arial"/>
                <w:sz w:val="20"/>
                <w:szCs w:val="20"/>
                <w:color w:val="auto"/>
              </w:rPr>
              <w:t>Tungsten</w:t>
            </w:r>
          </w:p>
        </w:tc>
        <w:tc>
          <w:tcPr>
            <w:tcW w:w="4620" w:type="dxa"/>
            <w:vAlign w:val="bottom"/>
            <w:tcBorders>
              <w:bottom w:val="single" w:sz="8" w:color="9CC2E5"/>
              <w:right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Tungsten Vietnam Joint Stock Company</w:t>
            </w:r>
          </w:p>
        </w:tc>
        <w:tc>
          <w:tcPr>
            <w:tcW w:w="2900" w:type="dxa"/>
            <w:vAlign w:val="bottom"/>
            <w:tcBorders>
              <w:bottom w:val="single" w:sz="8" w:color="9CC2E5"/>
            </w:tcBorders>
            <w:shd w:val="clear" w:color="auto" w:fill="DEEAF6"/>
          </w:tcPr>
          <w:p>
            <w:pPr>
              <w:ind w:left="80"/>
              <w:spacing w:after="0" w:line="223" w:lineRule="exact"/>
              <w:rPr>
                <w:sz w:val="20"/>
                <w:szCs w:val="20"/>
                <w:color w:val="auto"/>
              </w:rPr>
            </w:pPr>
            <w:r>
              <w:rPr>
                <w:rFonts w:ascii="Arial" w:cs="Arial" w:eastAsia="Arial" w:hAnsi="Arial"/>
                <w:sz w:val="20"/>
                <w:szCs w:val="20"/>
                <w:color w:val="auto"/>
              </w:rPr>
              <w:t>Viet Nam</w:t>
            </w:r>
          </w:p>
        </w:tc>
        <w:tc>
          <w:tcPr>
            <w:tcW w:w="360" w:type="dxa"/>
            <w:vAlign w:val="bottom"/>
            <w:tcBorders>
              <w:bottom w:val="single" w:sz="8" w:color="9CC2E5"/>
              <w:right w:val="single" w:sz="8" w:color="9CC2E5"/>
            </w:tcBorders>
            <w:shd w:val="clear" w:color="auto" w:fill="DEEAF6"/>
          </w:tcPr>
          <w:p>
            <w:pPr>
              <w:spacing w:after="0"/>
              <w:rPr>
                <w:sz w:val="19"/>
                <w:szCs w:val="19"/>
                <w:color w:val="auto"/>
              </w:rPr>
            </w:pPr>
          </w:p>
        </w:tc>
      </w:tr>
      <w:tr>
        <w:trPr>
          <w:trHeight w:val="797"/>
        </w:trPr>
        <w:tc>
          <w:tcPr>
            <w:tcW w:w="1060" w:type="dxa"/>
            <w:vAlign w:val="bottom"/>
            <w:tcBorders>
              <w:bottom w:val="single" w:sz="8" w:color="auto"/>
            </w:tcBorders>
          </w:tcPr>
          <w:p>
            <w:pPr>
              <w:spacing w:after="0"/>
              <w:rPr>
                <w:sz w:val="24"/>
                <w:szCs w:val="24"/>
                <w:color w:val="auto"/>
              </w:rPr>
            </w:pPr>
          </w:p>
        </w:tc>
        <w:tc>
          <w:tcPr>
            <w:tcW w:w="462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160"/>
      </w:cols>
      <w:pgMar w:left="1440" w:top="120"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2026-05-29T16:54:56Z</dcterms:created>
  <dcterms:modified xsi:type="dcterms:W3CDTF">2026-05-29T16:54:56Z</dcterms:modified>
</cp:coreProperties>
</file>