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8700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013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32"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Lloyd Brian G.</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8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1600 WEST MERIT PARKWAY</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w:t>
            </w: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UT</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84095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JORDAN</w:t>
            </w:r>
          </w:p>
        </w:tc>
        <w:tc>
          <w:tcPr>
            <w:tcW w:w="13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8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MERIT MEDICAL SYSTEMS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MMSI</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0" w:type="dxa"/>
            <w:vAlign w:val="bottom"/>
            <w:gridSpan w:val="2"/>
            <w:vMerge w:val="continue"/>
          </w:tcPr>
          <w:p>
            <w:pPr>
              <w:spacing w:after="0"/>
              <w:rPr>
                <w:sz w:val="11"/>
                <w:szCs w:val="11"/>
                <w:color w:val="auto"/>
              </w:rPr>
            </w:pPr>
          </w:p>
        </w:tc>
        <w:tc>
          <w:tcPr>
            <w:tcW w:w="2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tcPr>
          <w:p>
            <w:pPr>
              <w:ind w:left="240"/>
              <w:spacing w:after="0" w:line="179" w:lineRule="exact"/>
              <w:rPr>
                <w:sz w:val="20"/>
                <w:szCs w:val="20"/>
                <w:color w:val="auto"/>
              </w:rPr>
            </w:pPr>
            <w:r>
              <w:rPr>
                <w:rFonts w:ascii="Times New Roman" w:cs="Times New Roman" w:eastAsia="Times New Roman" w:hAnsi="Times New Roman"/>
                <w:sz w:val="17"/>
                <w:szCs w:val="17"/>
                <w:color w:val="0000FF"/>
              </w:rPr>
              <w:t>CHIEF LEGAL OFFICER, SECRETARY</w:t>
            </w:r>
          </w:p>
        </w:tc>
        <w:tc>
          <w:tcPr>
            <w:tcW w:w="0" w:type="dxa"/>
            <w:vAlign w:val="bottom"/>
          </w:tcPr>
          <w:p>
            <w:pPr>
              <w:spacing w:after="0"/>
              <w:rPr>
                <w:sz w:val="1"/>
                <w:szCs w:val="1"/>
                <w:color w:val="auto"/>
              </w:rPr>
            </w:pPr>
          </w:p>
        </w:tc>
      </w:tr>
      <w:tr>
        <w:trPr>
          <w:trHeight w:val="216"/>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02/27/2025</w:t>
            </w: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80"/>
            <w:col w:w="7240"/>
          </w:cols>
          <w:pgMar w:left="460" w:top="216" w:right="359" w:bottom="13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1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jc w:val="center"/>
              <w:ind w:right="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82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02/27/2025</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72"/>
              <w:spacing w:after="0"/>
              <w:rPr>
                <w:sz w:val="20"/>
                <w:szCs w:val="20"/>
                <w:color w:val="auto"/>
              </w:rPr>
            </w:pPr>
            <w:r>
              <w:rPr>
                <w:rFonts w:ascii="Times New Roman" w:cs="Times New Roman" w:eastAsia="Times New Roman" w:hAnsi="Times New Roman"/>
                <w:sz w:val="17"/>
                <w:szCs w:val="17"/>
                <w:color w:val="0000FF"/>
                <w:w w:val="88"/>
              </w:rPr>
              <w:t>11,533</w:t>
            </w:r>
            <w:r>
              <w:rPr>
                <w:rFonts w:ascii="Times New Roman" w:cs="Times New Roman" w:eastAsia="Times New Roman" w:hAnsi="Times New Roman"/>
                <w:sz w:val="21"/>
                <w:szCs w:val="21"/>
                <w:color w:val="008000"/>
                <w:w w:val="88"/>
                <w:vertAlign w:val="superscript"/>
              </w:rPr>
              <w:t>(1)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36,135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82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02/27/2025</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1"/>
              </w:rPr>
              <w:t>4,198</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98.5</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31,937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82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02/28/2025</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1"/>
              </w:rPr>
              <w:t>7,056</w:t>
            </w:r>
            <w:r>
              <w:rPr>
                <w:rFonts w:ascii="Times New Roman" w:cs="Times New Roman" w:eastAsia="Times New Roman" w:hAnsi="Times New Roman"/>
                <w:sz w:val="21"/>
                <w:szCs w:val="21"/>
                <w:color w:val="008000"/>
                <w:w w:val="91"/>
                <w:vertAlign w:val="superscript"/>
              </w:rPr>
              <w:t>(3)</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38,993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820" w:type="dxa"/>
            <w:vAlign w:val="bottom"/>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02/28/2025</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92"/>
              <w:spacing w:after="0"/>
              <w:rPr>
                <w:sz w:val="20"/>
                <w:szCs w:val="20"/>
                <w:color w:val="auto"/>
              </w:rPr>
            </w:pPr>
            <w:r>
              <w:rPr>
                <w:rFonts w:ascii="Times New Roman" w:cs="Times New Roman" w:eastAsia="Times New Roman" w:hAnsi="Times New Roman"/>
                <w:sz w:val="17"/>
                <w:szCs w:val="17"/>
                <w:color w:val="0000FF"/>
                <w:w w:val="98"/>
              </w:rPr>
              <w:t>25,000</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2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44.8</w:t>
            </w:r>
          </w:p>
        </w:tc>
        <w:tc>
          <w:tcPr>
            <w:tcW w:w="60" w:type="dxa"/>
            <w:vAlign w:val="bottom"/>
          </w:tcPr>
          <w:p>
            <w:pPr>
              <w:spacing w:after="0"/>
              <w:rPr>
                <w:sz w:val="22"/>
                <w:szCs w:val="22"/>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63,993</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82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02/28/2025</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8"/>
              </w:rPr>
              <w:t>25,000</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99.5</w:t>
            </w:r>
            <w:r>
              <w:rPr>
                <w:rFonts w:ascii="Times New Roman" w:cs="Times New Roman" w:eastAsia="Times New Roman" w:hAnsi="Times New Roman"/>
                <w:sz w:val="21"/>
                <w:szCs w:val="21"/>
                <w:color w:val="008000"/>
                <w:w w:val="89"/>
                <w:vertAlign w:val="superscript"/>
              </w:rPr>
              <w:t>(4)</w:t>
            </w:r>
          </w:p>
        </w:tc>
        <w:tc>
          <w:tcPr>
            <w:tcW w:w="12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38,993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74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6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44.8</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02/28/2025</w:t>
            </w:r>
          </w:p>
        </w:tc>
        <w:tc>
          <w:tcPr>
            <w:tcW w:w="110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25,000</w:t>
            </w:r>
          </w:p>
        </w:tc>
        <w:tc>
          <w:tcPr>
            <w:tcW w:w="880" w:type="dxa"/>
            <w:vAlign w:val="bottom"/>
            <w:gridSpan w:val="2"/>
          </w:tcPr>
          <w:p>
            <w:pPr>
              <w:jc w:val="right"/>
              <w:ind w:right="59"/>
              <w:spacing w:after="0" w:line="205" w:lineRule="exact"/>
              <w:rPr>
                <w:sz w:val="20"/>
                <w:szCs w:val="20"/>
                <w:color w:val="auto"/>
              </w:rPr>
            </w:pPr>
            <w:r>
              <w:rPr>
                <w:rFonts w:ascii="Times New Roman" w:cs="Times New Roman" w:eastAsia="Times New Roman" w:hAnsi="Times New Roman"/>
                <w:sz w:val="13"/>
                <w:szCs w:val="13"/>
                <w:color w:val="0000FF"/>
                <w:w w:val="97"/>
              </w:rPr>
              <w:t>03/02/2019</w:t>
            </w:r>
            <w:r>
              <w:rPr>
                <w:rFonts w:ascii="Times New Roman" w:cs="Times New Roman" w:eastAsia="Times New Roman" w:hAnsi="Times New Roman"/>
                <w:sz w:val="21"/>
                <w:szCs w:val="21"/>
                <w:color w:val="008000"/>
                <w:w w:val="97"/>
                <w:vertAlign w:val="superscript"/>
              </w:rPr>
              <w:t>(5)</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03/02/2025</w:t>
            </w:r>
          </w:p>
        </w:tc>
        <w:tc>
          <w:tcPr>
            <w:tcW w:w="620" w:type="dxa"/>
            <w:vAlign w:val="bottom"/>
          </w:tcPr>
          <w:p>
            <w:pPr>
              <w:jc w:val="center"/>
              <w:ind w:right="60"/>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options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jc w:val="center"/>
              <w:ind w:right="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55.73</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gridSpan w:val="2"/>
          </w:tcPr>
          <w:p>
            <w:pPr>
              <w:jc w:val="right"/>
              <w:ind w:right="59"/>
              <w:spacing w:after="0" w:line="205" w:lineRule="exact"/>
              <w:rPr>
                <w:sz w:val="20"/>
                <w:szCs w:val="20"/>
                <w:color w:val="auto"/>
              </w:rPr>
            </w:pPr>
            <w:r>
              <w:rPr>
                <w:rFonts w:ascii="Times New Roman" w:cs="Times New Roman" w:eastAsia="Times New Roman" w:hAnsi="Times New Roman"/>
                <w:sz w:val="13"/>
                <w:szCs w:val="13"/>
                <w:color w:val="0000FF"/>
                <w:w w:val="97"/>
              </w:rPr>
              <w:t>03/01/2020</w:t>
            </w:r>
            <w:r>
              <w:rPr>
                <w:rFonts w:ascii="Times New Roman" w:cs="Times New Roman" w:eastAsia="Times New Roman" w:hAnsi="Times New Roman"/>
                <w:sz w:val="21"/>
                <w:szCs w:val="21"/>
                <w:color w:val="008000"/>
                <w:w w:val="97"/>
                <w:vertAlign w:val="superscript"/>
              </w:rPr>
              <w:t>(6)</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03/01/2026</w:t>
            </w:r>
          </w:p>
        </w:tc>
        <w:tc>
          <w:tcPr>
            <w:tcW w:w="620" w:type="dxa"/>
            <w:vAlign w:val="bottom"/>
          </w:tcPr>
          <w:p>
            <w:pPr>
              <w:jc w:val="center"/>
              <w:ind w:right="60"/>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4"/>
              </w:rPr>
              <w:t>30,000</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options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jc w:val="center"/>
              <w:ind w:right="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37.71</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gridSpan w:val="2"/>
          </w:tcPr>
          <w:p>
            <w:pPr>
              <w:jc w:val="right"/>
              <w:ind w:right="59"/>
              <w:spacing w:after="0" w:line="205" w:lineRule="exact"/>
              <w:rPr>
                <w:sz w:val="20"/>
                <w:szCs w:val="20"/>
                <w:color w:val="auto"/>
              </w:rPr>
            </w:pPr>
            <w:r>
              <w:rPr>
                <w:rFonts w:ascii="Times New Roman" w:cs="Times New Roman" w:eastAsia="Times New Roman" w:hAnsi="Times New Roman"/>
                <w:sz w:val="13"/>
                <w:szCs w:val="13"/>
                <w:color w:val="0000FF"/>
                <w:w w:val="97"/>
              </w:rPr>
              <w:t>02/26/2021</w:t>
            </w:r>
            <w:r>
              <w:rPr>
                <w:rFonts w:ascii="Times New Roman" w:cs="Times New Roman" w:eastAsia="Times New Roman" w:hAnsi="Times New Roman"/>
                <w:sz w:val="21"/>
                <w:szCs w:val="21"/>
                <w:color w:val="008000"/>
                <w:w w:val="97"/>
                <w:vertAlign w:val="superscript"/>
              </w:rPr>
              <w:t>(7)</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02/26/2027</w:t>
            </w:r>
          </w:p>
        </w:tc>
        <w:tc>
          <w:tcPr>
            <w:tcW w:w="620" w:type="dxa"/>
            <w:vAlign w:val="bottom"/>
          </w:tcPr>
          <w:p>
            <w:pPr>
              <w:jc w:val="center"/>
              <w:ind w:right="60"/>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16,722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4"/>
              </w:rPr>
              <w:t>16,722</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options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jc w:val="center"/>
              <w:ind w:right="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56.25</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gridSpan w:val="2"/>
          </w:tcPr>
          <w:p>
            <w:pPr>
              <w:jc w:val="right"/>
              <w:ind w:right="59"/>
              <w:spacing w:after="0" w:line="205" w:lineRule="exact"/>
              <w:rPr>
                <w:sz w:val="20"/>
                <w:szCs w:val="20"/>
                <w:color w:val="auto"/>
              </w:rPr>
            </w:pPr>
            <w:r>
              <w:rPr>
                <w:rFonts w:ascii="Times New Roman" w:cs="Times New Roman" w:eastAsia="Times New Roman" w:hAnsi="Times New Roman"/>
                <w:sz w:val="13"/>
                <w:szCs w:val="13"/>
                <w:color w:val="0000FF"/>
                <w:w w:val="97"/>
              </w:rPr>
              <w:t>03/19/2022</w:t>
            </w:r>
            <w:r>
              <w:rPr>
                <w:rFonts w:ascii="Times New Roman" w:cs="Times New Roman" w:eastAsia="Times New Roman" w:hAnsi="Times New Roman"/>
                <w:sz w:val="21"/>
                <w:szCs w:val="21"/>
                <w:color w:val="008000"/>
                <w:w w:val="97"/>
                <w:vertAlign w:val="superscript"/>
              </w:rPr>
              <w:t>(8)</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03/19/2028</w:t>
            </w:r>
          </w:p>
        </w:tc>
        <w:tc>
          <w:tcPr>
            <w:tcW w:w="620" w:type="dxa"/>
            <w:vAlign w:val="bottom"/>
          </w:tcPr>
          <w:p>
            <w:pPr>
              <w:jc w:val="center"/>
              <w:ind w:right="60"/>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9,681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9,681</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options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jc w:val="center"/>
              <w:ind w:right="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65.03</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gridSpan w:val="2"/>
          </w:tcPr>
          <w:p>
            <w:pPr>
              <w:jc w:val="right"/>
              <w:ind w:right="59"/>
              <w:spacing w:after="0" w:line="205" w:lineRule="exact"/>
              <w:rPr>
                <w:sz w:val="20"/>
                <w:szCs w:val="20"/>
                <w:color w:val="auto"/>
              </w:rPr>
            </w:pPr>
            <w:r>
              <w:rPr>
                <w:rFonts w:ascii="Times New Roman" w:cs="Times New Roman" w:eastAsia="Times New Roman" w:hAnsi="Times New Roman"/>
                <w:sz w:val="13"/>
                <w:szCs w:val="13"/>
                <w:color w:val="0000FF"/>
                <w:w w:val="97"/>
              </w:rPr>
              <w:t>02/28/2023</w:t>
            </w:r>
            <w:r>
              <w:rPr>
                <w:rFonts w:ascii="Times New Roman" w:cs="Times New Roman" w:eastAsia="Times New Roman" w:hAnsi="Times New Roman"/>
                <w:sz w:val="21"/>
                <w:szCs w:val="21"/>
                <w:color w:val="008000"/>
                <w:w w:val="97"/>
                <w:vertAlign w:val="superscript"/>
              </w:rPr>
              <w:t>(9)</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02/28/2029</w:t>
            </w:r>
          </w:p>
        </w:tc>
        <w:tc>
          <w:tcPr>
            <w:tcW w:w="620" w:type="dxa"/>
            <w:vAlign w:val="bottom"/>
          </w:tcPr>
          <w:p>
            <w:pPr>
              <w:jc w:val="center"/>
              <w:ind w:right="60"/>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8,094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8,094</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jc w:val="center"/>
              <w:ind w:righ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5"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13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257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2257425"/>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70.58</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ind w:left="60"/>
              <w:spacing w:after="0" w:line="205" w:lineRule="exact"/>
              <w:rPr>
                <w:sz w:val="20"/>
                <w:szCs w:val="20"/>
                <w:color w:val="auto"/>
              </w:rPr>
            </w:pPr>
            <w:r>
              <w:rPr>
                <w:rFonts w:ascii="Times New Roman" w:cs="Times New Roman" w:eastAsia="Times New Roman" w:hAnsi="Times New Roman"/>
                <w:sz w:val="13"/>
                <w:szCs w:val="13"/>
                <w:color w:val="0000FF"/>
              </w:rPr>
              <w:t>02/28/2024</w:t>
            </w:r>
            <w:r>
              <w:rPr>
                <w:rFonts w:ascii="Times New Roman" w:cs="Times New Roman" w:eastAsia="Times New Roman" w:hAnsi="Times New Roman"/>
                <w:sz w:val="21"/>
                <w:szCs w:val="21"/>
                <w:color w:val="008000"/>
                <w:vertAlign w:val="superscript"/>
              </w:rPr>
              <w:t>(10)</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02/28/2030</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13,576</w:t>
            </w:r>
          </w:p>
        </w:tc>
        <w:tc>
          <w:tcPr>
            <w:tcW w:w="680" w:type="dxa"/>
            <w:vAlign w:val="bottom"/>
          </w:tcPr>
          <w:p>
            <w:pPr>
              <w:spacing w:after="0"/>
              <w:rPr>
                <w:sz w:val="17"/>
                <w:szCs w:val="17"/>
                <w:color w:val="auto"/>
              </w:rPr>
            </w:pP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13,576</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ind w:left="60"/>
        <w:spacing w:after="0" w:line="225"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right="720"/>
        <w:spacing w:after="0" w:line="251"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upon a determination of the Company's Compensation and Talent Development Committee that certain conditions had been met for the issuance of such shares pursuant to performance stock units that were granted on 02.28.2022.</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surrendered 4,198 shares of common stock to the Issuer for payroll taxes. No shares were sold in the open market.</w:t>
      </w:r>
    </w:p>
    <w:p>
      <w:pPr>
        <w:spacing w:after="0" w:line="41" w:lineRule="exact"/>
        <w:rPr>
          <w:rFonts w:ascii="Times New Roman" w:cs="Times New Roman" w:eastAsia="Times New Roman" w:hAnsi="Times New Roman"/>
          <w:sz w:val="13"/>
          <w:szCs w:val="13"/>
          <w:color w:val="008000"/>
        </w:rPr>
      </w:pPr>
    </w:p>
    <w:p>
      <w:pPr>
        <w:ind w:left="20" w:right="500"/>
        <w:spacing w:after="0" w:line="251"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The RSUs vest in three equal annual installments on each of the first three anniversaries of the grant date, subject to the Reporting Person's continued service through the applicable vesting date. Each RSU represents the contingent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20" w:right="160"/>
        <w:spacing w:after="0" w:line="238"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of Table 1 is a weighted average price. These shares were sold in multiple transactions at prices ranging from $98.56 to $100.0525, inclusive. The Reporting Person undertakes to provide to Merit Medical Systems, Inc., any security holder of Merit Medical Systems, Inc., or the staff of the Securities and Exchange Commission, upon request, full information regarding the number of shares sold at each separate price within the range set forth in this Form 4.</w:t>
      </w:r>
    </w:p>
    <w:p>
      <w:pPr>
        <w:spacing w:after="0" w:line="27"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 exercisable in equal annual installments of 20% commencing on 03/02/2019.</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 exercisable in equal annual installments of 20% commencing on 03/01/2020.</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 exercisable in equal annual installments of 25% commencing on 02/26/2021.</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 exercisable in equal annual installments of 25% commencing on 03/19/2022.</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02/28/2023.</w:t>
      </w:r>
    </w:p>
    <w:p>
      <w:pPr>
        <w:spacing w:after="0" w:line="41"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 exercisable in equal annual installments of 25% commencing on 02/28/2024.</w:t>
      </w:r>
    </w:p>
    <w:p>
      <w:pPr>
        <w:spacing w:after="0" w:line="5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Brian G. Lloyd</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03/03/2025</w:t>
            </w: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60"/>
        <w:spacing w:after="0" w:line="332"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1772" TargetMode="External"/><Relationship Id="rId14"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2025-03-03T19:34:50Z</dcterms:created>
  <dcterms:modified xsi:type="dcterms:W3CDTF">2025-03-03T19:34:50Z</dcterms:modified>
</cp:coreProperties>
</file>