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636905</wp:posOffset>
            </wp:positionV>
            <wp:extent cx="565912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9120" cy="31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-175260</wp:posOffset>
            </wp:positionV>
            <wp:extent cx="56591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3" w:lineRule="exact"/>
        <w:rPr>
          <w:sz w:val="24"/>
          <w:szCs w:val="24"/>
          <w:color w:val="auto"/>
        </w:rPr>
      </w:pPr>
    </w:p>
    <w:p>
      <w:pPr>
        <w:ind w:left="360" w:hanging="318"/>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1" w:lineRule="exact"/>
        <w:rPr>
          <w:rFonts w:ascii="MS PGothic" w:cs="MS PGothic" w:eastAsia="MS PGothic" w:hAnsi="MS PGothic"/>
          <w:sz w:val="16"/>
          <w:szCs w:val="16"/>
          <w:color w:val="auto"/>
        </w:rPr>
      </w:pPr>
    </w:p>
    <w:p>
      <w:pPr>
        <w:ind w:left="286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For the quarterly period ended September 30, 2026</w:t>
      </w:r>
    </w:p>
    <w:p>
      <w:pPr>
        <w:spacing w:after="0" w:line="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9" w:lineRule="exact"/>
        <w:rPr>
          <w:sz w:val="24"/>
          <w:szCs w:val="24"/>
          <w:color w:val="auto"/>
        </w:rPr>
      </w:pPr>
    </w:p>
    <w:p>
      <w:pPr>
        <w:ind w:left="360" w:hanging="318"/>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 w:lineRule="exact"/>
        <w:rPr>
          <w:sz w:val="24"/>
          <w:szCs w:val="24"/>
          <w:color w:val="auto"/>
        </w:rPr>
      </w:pPr>
    </w:p>
    <w:tbl>
      <w:tblPr>
        <w:tblLayout w:type="fixed"/>
        <w:tblInd w:w="282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w:t>
            </w: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r>
        <w:trPr>
          <w:trHeight w:val="292"/>
        </w:trPr>
        <w:tc>
          <w:tcPr>
            <w:tcW w:w="2260" w:type="dxa"/>
            <w:vAlign w:val="bottom"/>
            <w:gridSpan w:val="2"/>
          </w:tcPr>
          <w:p>
            <w:pPr>
              <w:ind w:left="620"/>
              <w:spacing w:after="0"/>
              <w:rPr>
                <w:sz w:val="20"/>
                <w:szCs w:val="20"/>
                <w:color w:val="auto"/>
              </w:rPr>
            </w:pPr>
            <w:r>
              <w:rPr>
                <w:rFonts w:ascii="Times New Roman" w:cs="Times New Roman" w:eastAsia="Times New Roman" w:hAnsi="Times New Roman"/>
                <w:sz w:val="15"/>
                <w:szCs w:val="15"/>
                <w:b w:val="1"/>
                <w:bCs w:val="1"/>
                <w:color w:val="auto"/>
                <w:w w:val="98"/>
              </w:rPr>
              <w:t>Commission File Number</w:t>
            </w:r>
          </w:p>
        </w:tc>
        <w:tc>
          <w:tcPr>
            <w:tcW w:w="8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0-18592</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1842135</wp:posOffset>
            </wp:positionH>
            <wp:positionV relativeFrom="paragraph">
              <wp:posOffset>72390</wp:posOffset>
            </wp:positionV>
            <wp:extent cx="2035810" cy="348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35810" cy="348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MERIT MEDICAL SYSTEMS, INC.</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9019"/>
          </w:cols>
          <w:pgMar w:left="1440" w:top="611" w:right="1440" w:bottom="1440" w:gutter="0" w:footer="0" w:header="0"/>
        </w:sectPr>
      </w:pPr>
    </w:p>
    <w:p>
      <w:pPr>
        <w:spacing w:after="0" w:line="147" w:lineRule="exact"/>
        <w:rPr>
          <w:sz w:val="24"/>
          <w:szCs w:val="24"/>
          <w:color w:val="auto"/>
        </w:rPr>
      </w:pPr>
    </w:p>
    <w:p>
      <w:pPr>
        <w:jc w:val="center"/>
        <w:ind w:left="640"/>
        <w:spacing w:after="0"/>
        <w:rPr>
          <w:sz w:val="20"/>
          <w:szCs w:val="20"/>
          <w:color w:val="auto"/>
        </w:rPr>
      </w:pPr>
      <w:r>
        <w:rPr>
          <w:rFonts w:ascii="Times New Roman" w:cs="Times New Roman" w:eastAsia="Times New Roman" w:hAnsi="Times New Roman"/>
          <w:sz w:val="14"/>
          <w:szCs w:val="14"/>
          <w:b w:val="1"/>
          <w:bCs w:val="1"/>
          <w:color w:val="auto"/>
        </w:rPr>
        <w:t>Utah</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center"/>
        <w:ind w:right="1639"/>
        <w:spacing w:after="0"/>
        <w:rPr>
          <w:sz w:val="20"/>
          <w:szCs w:val="20"/>
          <w:color w:val="auto"/>
        </w:rPr>
      </w:pPr>
      <w:r>
        <w:rPr>
          <w:rFonts w:ascii="Times New Roman" w:cs="Times New Roman" w:eastAsia="Times New Roman" w:hAnsi="Times New Roman"/>
          <w:sz w:val="14"/>
          <w:szCs w:val="14"/>
          <w:b w:val="1"/>
          <w:bCs w:val="1"/>
          <w:color w:val="auto"/>
        </w:rPr>
        <w:t>87-0447695</w:t>
      </w:r>
    </w:p>
    <w:p>
      <w:pPr>
        <w:spacing w:after="0" w:line="31" w:lineRule="exact"/>
        <w:rPr>
          <w:sz w:val="24"/>
          <w:szCs w:val="24"/>
          <w:color w:val="auto"/>
        </w:rPr>
      </w:pPr>
    </w:p>
    <w:p>
      <w:pPr>
        <w:sectPr>
          <w:pgSz w:w="11900" w:h="16838" w:orient="portrait"/>
          <w:cols w:equalWidth="0" w:num="3">
            <w:col w:w="4300" w:space="720"/>
            <w:col w:w="920" w:space="720"/>
            <w:col w:w="2359"/>
          </w:cols>
          <w:pgMar w:left="1440" w:top="611"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86" w:lineRule="exact"/>
        <w:rPr>
          <w:sz w:val="24"/>
          <w:szCs w:val="24"/>
          <w:color w:val="auto"/>
        </w:rPr>
      </w:pPr>
    </w:p>
    <w:p>
      <w:pPr>
        <w:sectPr>
          <w:pgSz w:w="11900" w:h="16838" w:orient="portrait"/>
          <w:cols w:equalWidth="0" w:num="2">
            <w:col w:w="5300" w:space="720"/>
            <w:col w:w="2999"/>
          </w:cols>
          <w:pgMar w:left="1440" w:top="611"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1600 West Merit Parkway, South Jordan, Utah 84095</w:t>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(Address of principal executive offices, including zip code)</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(801) 253-1600</w:t>
      </w:r>
    </w:p>
    <w:p>
      <w:pPr>
        <w:sectPr>
          <w:pgSz w:w="11900" w:h="16838" w:orient="portrait"/>
          <w:cols w:equalWidth="0" w:num="1">
            <w:col w:w="9019"/>
          </w:cols>
          <w:pgMar w:left="1440" w:top="611" w:right="1440"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p>
      <w:pPr>
        <w:spacing w:after="0" w:line="96" w:lineRule="exact"/>
        <w:rPr>
          <w:sz w:val="24"/>
          <w:szCs w:val="24"/>
          <w:color w:val="auto"/>
        </w:rPr>
      </w:pPr>
    </w:p>
    <w:p>
      <w:pPr>
        <w:ind w:left="1060"/>
        <w:spacing w:after="0"/>
        <w:tabs>
          <w:tab w:leader="none" w:pos="3400" w:val="left"/>
        </w:tabs>
        <w:rPr>
          <w:sz w:val="20"/>
          <w:szCs w:val="20"/>
          <w:color w:val="auto"/>
        </w:rPr>
      </w:pPr>
      <w:r>
        <w:rPr>
          <w:rFonts w:ascii="Times New Roman" w:cs="Times New Roman" w:eastAsia="Times New Roman" w:hAnsi="Times New Roman"/>
          <w:sz w:val="15"/>
          <w:szCs w:val="15"/>
          <w:b w:val="1"/>
          <w:bCs w:val="1"/>
          <w:color w:val="auto"/>
        </w:rPr>
        <w:t>Trading Symbol</w:t>
      </w:r>
      <w:r>
        <w:rPr>
          <w:sz w:val="20"/>
          <w:szCs w:val="20"/>
          <w:color w:val="auto"/>
        </w:rPr>
        <w:tab/>
      </w:r>
      <w:r>
        <w:rPr>
          <w:rFonts w:ascii="Times New Roman" w:cs="Times New Roman" w:eastAsia="Times New Roman" w:hAnsi="Times New Roman"/>
          <w:sz w:val="14"/>
          <w:szCs w:val="14"/>
          <w:b w:val="1"/>
          <w:bCs w:val="1"/>
          <w:color w:val="auto"/>
        </w:rPr>
        <w:t>Name of exchange on which registered</w:t>
      </w:r>
    </w:p>
    <w:p>
      <w:pPr>
        <w:spacing w:after="0" w:line="49" w:lineRule="exact"/>
        <w:rPr>
          <w:sz w:val="24"/>
          <w:szCs w:val="24"/>
          <w:color w:val="auto"/>
        </w:rPr>
      </w:pPr>
    </w:p>
    <w:p>
      <w:pPr>
        <w:sectPr>
          <w:pgSz w:w="11900" w:h="16838" w:orient="portrait"/>
          <w:cols w:equalWidth="0" w:num="2">
            <w:col w:w="2020" w:space="700"/>
            <w:col w:w="6299"/>
          </w:cols>
          <w:pgMar w:left="1440" w:top="611" w:right="1440"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4"/>
          <w:szCs w:val="14"/>
          <w:color w:val="auto"/>
        </w:rPr>
        <w:t>Common Stock, no par value</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4"/>
          <w:szCs w:val="14"/>
          <w:color w:val="auto"/>
        </w:rPr>
        <w:t>MMSI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3380" w:space="720"/>
            <w:col w:w="1560" w:space="720"/>
            <w:col w:w="2639"/>
          </w:cols>
          <w:pgMar w:left="1440" w:top="611" w:right="1440" w:bottom="1440" w:gutter="0" w:footer="0" w:header="0"/>
          <w:type w:val="continuous"/>
        </w:sectPr>
      </w:pPr>
    </w:p>
    <w:p>
      <w:pPr>
        <w:spacing w:after="0" w:line="54" w:lineRule="exact"/>
        <w:rPr>
          <w:sz w:val="24"/>
          <w:szCs w:val="24"/>
          <w:color w:val="auto"/>
        </w:rPr>
      </w:pPr>
    </w:p>
    <w:p>
      <w:pPr>
        <w:jc w:val="both"/>
        <w:ind w:left="40" w:right="59"/>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left="40" w:right="59"/>
        <w:spacing w:after="0" w:line="208"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p>
      <w:pPr>
        <w:ind w:left="220"/>
        <w:spacing w:after="0" w:line="150" w:lineRule="exact"/>
        <w:tabs>
          <w:tab w:leader="none" w:pos="1860" w:val="left"/>
          <w:tab w:leader="none" w:pos="3200" w:val="left"/>
          <w:tab w:leader="none" w:pos="4840" w:val="left"/>
          <w:tab w:leader="none" w:pos="696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204" w:lineRule="exact"/>
        <w:rPr>
          <w:sz w:val="24"/>
          <w:szCs w:val="24"/>
          <w:color w:val="auto"/>
        </w:rPr>
      </w:pPr>
    </w:p>
    <w:p>
      <w:pPr>
        <w:jc w:val="both"/>
        <w:ind w:left="40" w:right="59"/>
        <w:spacing w:after="0" w:line="208"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1"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6"/>
          <w:szCs w:val="16"/>
          <w:color w:val="auto"/>
        </w:rPr>
        <w:t>☒</w:t>
      </w:r>
    </w:p>
    <w:p>
      <w:pPr>
        <w:spacing w:after="0" w:line="1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w:t>
      </w:r>
    </w:p>
    <w:p>
      <w:pPr>
        <w:spacing w:after="0" w:line="179" w:lineRule="exact"/>
        <w:rPr>
          <w:sz w:val="24"/>
          <w:szCs w:val="24"/>
          <w:color w:val="auto"/>
        </w:rPr>
      </w:pPr>
    </w:p>
    <w:tbl>
      <w:tblPr>
        <w:tblLayout w:type="fixed"/>
        <w:tblInd w:w="40" w:type="dxa"/>
        <w:tblCellMar>
          <w:top w:w="0" w:type="dxa"/>
          <w:left w:w="0" w:type="dxa"/>
          <w:bottom w:w="0" w:type="dxa"/>
          <w:right w:w="0" w:type="dxa"/>
        </w:tblCellMar>
      </w:tblPr>
      <w:tr>
        <w:trPr>
          <w:trHeight w:val="192"/>
        </w:trPr>
        <w:tc>
          <w:tcPr>
            <w:tcW w:w="3780" w:type="dxa"/>
            <w:vAlign w:val="bottom"/>
          </w:tcPr>
          <w:p>
            <w:pPr>
              <w:jc w:val="center"/>
              <w:ind w:left="547"/>
              <w:spacing w:after="0"/>
              <w:rPr>
                <w:sz w:val="20"/>
                <w:szCs w:val="20"/>
                <w:color w:val="auto"/>
              </w:rPr>
            </w:pPr>
            <w:r>
              <w:rPr>
                <w:rFonts w:ascii="Times New Roman" w:cs="Times New Roman" w:eastAsia="Times New Roman" w:hAnsi="Times New Roman"/>
                <w:sz w:val="15"/>
                <w:szCs w:val="15"/>
                <w:b w:val="1"/>
                <w:bCs w:val="1"/>
                <w:color w:val="auto"/>
                <w:w w:val="97"/>
              </w:rPr>
              <w:t>Title or class</w:t>
            </w:r>
          </w:p>
        </w:tc>
        <w:tc>
          <w:tcPr>
            <w:tcW w:w="1240" w:type="dxa"/>
            <w:vAlign w:val="bottom"/>
          </w:tcPr>
          <w:p>
            <w:pPr>
              <w:spacing w:after="0"/>
              <w:rPr>
                <w:sz w:val="16"/>
                <w:szCs w:val="16"/>
                <w:color w:val="auto"/>
              </w:rPr>
            </w:pPr>
          </w:p>
        </w:tc>
        <w:tc>
          <w:tcPr>
            <w:tcW w:w="3900" w:type="dxa"/>
            <w:vAlign w:val="bottom"/>
          </w:tcPr>
          <w:p>
            <w:pPr>
              <w:jc w:val="center"/>
              <w:ind w:right="407"/>
              <w:spacing w:after="0"/>
              <w:rPr>
                <w:sz w:val="20"/>
                <w:szCs w:val="20"/>
                <w:color w:val="auto"/>
              </w:rPr>
            </w:pPr>
            <w:r>
              <w:rPr>
                <w:rFonts w:ascii="Times New Roman" w:cs="Times New Roman" w:eastAsia="Times New Roman" w:hAnsi="Times New Roman"/>
                <w:sz w:val="15"/>
                <w:szCs w:val="15"/>
                <w:b w:val="1"/>
                <w:bCs w:val="1"/>
                <w:color w:val="auto"/>
                <w:w w:val="97"/>
              </w:rPr>
              <w:t>Shares outstanding as of October 27, 2026</w:t>
            </w:r>
          </w:p>
        </w:tc>
      </w:tr>
      <w:tr>
        <w:trPr>
          <w:trHeight w:val="207"/>
        </w:trPr>
        <w:tc>
          <w:tcPr>
            <w:tcW w:w="3780" w:type="dxa"/>
            <w:vAlign w:val="bottom"/>
          </w:tcPr>
          <w:p>
            <w:pPr>
              <w:jc w:val="center"/>
              <w:ind w:left="547"/>
              <w:spacing w:after="0"/>
              <w:rPr>
                <w:sz w:val="20"/>
                <w:szCs w:val="20"/>
                <w:color w:val="auto"/>
              </w:rPr>
            </w:pPr>
            <w:r>
              <w:rPr>
                <w:rFonts w:ascii="Times New Roman" w:cs="Times New Roman" w:eastAsia="Times New Roman" w:hAnsi="Times New Roman"/>
                <w:sz w:val="15"/>
                <w:szCs w:val="15"/>
                <w:color w:val="auto"/>
                <w:w w:val="98"/>
              </w:rPr>
              <w:t>Common Stock, no par value</w:t>
            </w:r>
          </w:p>
        </w:tc>
        <w:tc>
          <w:tcPr>
            <w:tcW w:w="1240" w:type="dxa"/>
            <w:vAlign w:val="bottom"/>
          </w:tcPr>
          <w:p>
            <w:pPr>
              <w:ind w:left="740"/>
              <w:spacing w:after="0"/>
              <w:rPr>
                <w:sz w:val="20"/>
                <w:szCs w:val="20"/>
                <w:color w:val="auto"/>
              </w:rPr>
            </w:pPr>
            <w:r>
              <w:rPr>
                <w:rFonts w:ascii="Times New Roman" w:cs="Times New Roman" w:eastAsia="Times New Roman" w:hAnsi="Times New Roman"/>
                <w:sz w:val="15"/>
                <w:szCs w:val="15"/>
                <w:color w:val="auto"/>
              </w:rPr>
              <w:t>​​​</w:t>
            </w:r>
          </w:p>
        </w:tc>
        <w:tc>
          <w:tcPr>
            <w:tcW w:w="3900" w:type="dxa"/>
            <w:vAlign w:val="bottom"/>
          </w:tcPr>
          <w:p>
            <w:pPr>
              <w:jc w:val="right"/>
              <w:ind w:right="1787"/>
              <w:spacing w:after="0"/>
              <w:rPr>
                <w:sz w:val="20"/>
                <w:szCs w:val="20"/>
                <w:color w:val="auto"/>
              </w:rPr>
            </w:pPr>
            <w:r>
              <w:rPr>
                <w:rFonts w:ascii="Times New Roman" w:cs="Times New Roman" w:eastAsia="Times New Roman" w:hAnsi="Times New Roman"/>
                <w:sz w:val="15"/>
                <w:szCs w:val="15"/>
                <w:color w:val="auto"/>
              </w:rPr>
              <w:t>59,915,044</w:t>
            </w:r>
          </w:p>
        </w:tc>
      </w:tr>
      <w:tr>
        <w:trPr>
          <w:trHeight w:val="54"/>
        </w:trPr>
        <w:tc>
          <w:tcPr>
            <w:tcW w:w="37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900" w:type="dxa"/>
            <w:vAlign w:val="bottom"/>
            <w:tcBorders>
              <w:bottom w:val="single" w:sz="8" w:color="auto"/>
            </w:tcBorders>
          </w:tcPr>
          <w:p>
            <w:pPr>
              <w:spacing w:after="0"/>
              <w:rPr>
                <w:sz w:val="4"/>
                <w:szCs w:val="4"/>
                <w:color w:val="auto"/>
              </w:rPr>
            </w:pPr>
          </w:p>
        </w:tc>
      </w:tr>
      <w:tr>
        <w:trPr>
          <w:trHeight w:val="70"/>
        </w:trPr>
        <w:tc>
          <w:tcPr>
            <w:tcW w:w="37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r>
      <w:tr>
        <w:trPr>
          <w:trHeight w:val="699"/>
        </w:trPr>
        <w:tc>
          <w:tcPr>
            <w:tcW w:w="3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11" w:right="1440"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00" w:type="dxa"/>
            <w:vAlign w:val="bottom"/>
            <w:gridSpan w:val="9"/>
          </w:tcPr>
          <w:p>
            <w:pPr>
              <w:ind w:left="6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880" w:type="dxa"/>
            <w:vAlign w:val="bottom"/>
          </w:tcPr>
          <w:p>
            <w:pPr>
              <w:spacing w:after="0"/>
              <w:rPr>
                <w:sz w:val="18"/>
                <w:szCs w:val="18"/>
                <w:color w:val="auto"/>
              </w:rPr>
            </w:pPr>
          </w:p>
        </w:tc>
      </w:tr>
      <w:tr>
        <w:trPr>
          <w:trHeight w:val="374"/>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20" w:type="dxa"/>
            <w:vAlign w:val="bottom"/>
            <w:gridSpan w:val="18"/>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24"/>
                <w:szCs w:val="24"/>
                <w:color w:val="auto"/>
              </w:rPr>
            </w:pPr>
          </w:p>
        </w:tc>
      </w:tr>
      <w:tr>
        <w:trPr>
          <w:trHeight w:val="195"/>
        </w:trPr>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920" w:type="dxa"/>
            <w:vAlign w:val="bottom"/>
            <w:gridSpan w:val="18"/>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6"/>
                <w:szCs w:val="16"/>
                <w:color w:val="auto"/>
              </w:rPr>
            </w:pPr>
          </w:p>
        </w:tc>
      </w:tr>
      <w:tr>
        <w:trPr>
          <w:trHeight w:val="175"/>
        </w:trPr>
        <w:tc>
          <w:tcPr>
            <w:tcW w:w="1120" w:type="dxa"/>
            <w:vAlign w:val="bottom"/>
            <w:gridSpan w:val="8"/>
          </w:tcPr>
          <w:p>
            <w:pPr>
              <w:spacing w:after="0" w:line="175" w:lineRule="exact"/>
              <w:rPr>
                <w:sz w:val="20"/>
                <w:szCs w:val="20"/>
                <w:color w:val="auto"/>
              </w:rPr>
            </w:pPr>
            <w:r>
              <w:rPr>
                <w:rFonts w:ascii="Times New Roman" w:cs="Times New Roman" w:eastAsia="Times New Roman" w:hAnsi="Times New Roman"/>
                <w:sz w:val="16"/>
                <w:szCs w:val="16"/>
                <w:color w:val="0000EE"/>
              </w:rPr>
              <w:t>PART I.</w:t>
            </w:r>
          </w:p>
        </w:tc>
        <w:tc>
          <w:tcPr>
            <w:tcW w:w="400" w:type="dxa"/>
            <w:vAlign w:val="bottom"/>
          </w:tcPr>
          <w:p>
            <w:pPr>
              <w:spacing w:after="0"/>
              <w:rPr>
                <w:sz w:val="15"/>
                <w:szCs w:val="15"/>
                <w:color w:val="auto"/>
              </w:rPr>
            </w:pPr>
          </w:p>
        </w:tc>
        <w:tc>
          <w:tcPr>
            <w:tcW w:w="6520" w:type="dxa"/>
            <w:vAlign w:val="bottom"/>
            <w:gridSpan w:val="17"/>
          </w:tcPr>
          <w:p>
            <w:pPr>
              <w:spacing w:after="0" w:line="175" w:lineRule="exact"/>
              <w:rPr>
                <w:sz w:val="20"/>
                <w:szCs w:val="20"/>
                <w:color w:val="auto"/>
              </w:rPr>
            </w:pPr>
            <w:r>
              <w:rPr>
                <w:rFonts w:ascii="Times New Roman" w:cs="Times New Roman" w:eastAsia="Times New Roman" w:hAnsi="Times New Roman"/>
                <w:sz w:val="16"/>
                <w:szCs w:val="16"/>
                <w:color w:val="0000EE"/>
              </w:rPr>
              <w:t>FINANCIAL INFORMATION</w:t>
            </w:r>
          </w:p>
        </w:tc>
        <w:tc>
          <w:tcPr>
            <w:tcW w:w="8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w:t>
            </w:r>
          </w:p>
        </w:tc>
      </w:tr>
      <w:tr>
        <w:trPr>
          <w:trHeight w:val="20"/>
        </w:trPr>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5"/>
        </w:trPr>
        <w:tc>
          <w:tcPr>
            <w:tcW w:w="240" w:type="dxa"/>
            <w:vAlign w:val="bottom"/>
          </w:tcPr>
          <w:p>
            <w:pPr>
              <w:spacing w:after="0"/>
              <w:rPr>
                <w:sz w:val="24"/>
                <w:szCs w:val="24"/>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Item 1.</w:t>
            </w:r>
          </w:p>
        </w:tc>
        <w:tc>
          <w:tcPr>
            <w:tcW w:w="400" w:type="dxa"/>
            <w:vAlign w:val="bottom"/>
          </w:tcPr>
          <w:p>
            <w:pPr>
              <w:spacing w:after="0"/>
              <w:rPr>
                <w:sz w:val="24"/>
                <w:szCs w:val="24"/>
                <w:color w:val="auto"/>
              </w:rPr>
            </w:pPr>
          </w:p>
        </w:tc>
        <w:tc>
          <w:tcPr>
            <w:tcW w:w="65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5"/>
        </w:trPr>
        <w:tc>
          <w:tcPr>
            <w:tcW w:w="24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6"/>
                <w:szCs w:val="16"/>
                <w:color w:val="0000EE"/>
              </w:rPr>
              <w:t>Consolidated Balance Sheets</w:t>
            </w:r>
          </w:p>
        </w:tc>
        <w:tc>
          <w:tcPr>
            <w:tcW w:w="300" w:type="dxa"/>
            <w:vAlign w:val="bottom"/>
            <w:tcBorders>
              <w:top w:val="single" w:sz="8" w:color="0000EE"/>
            </w:tcBorders>
            <w:gridSpan w:val="2"/>
          </w:tcPr>
          <w:p>
            <w:pPr>
              <w:spacing w:after="0"/>
              <w:rPr>
                <w:sz w:val="24"/>
                <w:szCs w:val="24"/>
                <w:color w:val="auto"/>
              </w:rPr>
            </w:pPr>
          </w:p>
        </w:tc>
        <w:tc>
          <w:tcPr>
            <w:tcW w:w="4340" w:type="dxa"/>
            <w:vAlign w:val="bottom"/>
            <w:gridSpan w:val="8"/>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85"/>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Consolidated Statements of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5"/>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Consolidated Statements of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85"/>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0" w:type="dxa"/>
            <w:vAlign w:val="bottom"/>
            <w:tcBorders>
              <w:top w:val="single" w:sz="8" w:color="0000EE"/>
              <w:bottom w:val="single" w:sz="8" w:color="0000EE"/>
            </w:tcBorders>
            <w:gridSpan w:val="12"/>
          </w:tcPr>
          <w:p>
            <w:pPr>
              <w:spacing w:after="0"/>
              <w:rPr>
                <w:sz w:val="20"/>
                <w:szCs w:val="20"/>
                <w:color w:val="auto"/>
              </w:rPr>
            </w:pPr>
            <w:r>
              <w:rPr>
                <w:rFonts w:ascii="Times New Roman" w:cs="Times New Roman" w:eastAsia="Times New Roman" w:hAnsi="Times New Roman"/>
                <w:sz w:val="16"/>
                <w:szCs w:val="16"/>
                <w:color w:val="0000EE"/>
              </w:rPr>
              <w:t>Consolidated Statements of Stockholders’ Equity</w:t>
            </w:r>
          </w:p>
        </w:tc>
        <w:tc>
          <w:tcPr>
            <w:tcW w:w="160" w:type="dxa"/>
            <w:vAlign w:val="bottom"/>
            <w:tcBorders>
              <w:top w:val="single" w:sz="8" w:color="0000EE"/>
            </w:tcBorders>
          </w:tcPr>
          <w:p>
            <w:pPr>
              <w:spacing w:after="0"/>
              <w:rPr>
                <w:sz w:val="24"/>
                <w:szCs w:val="24"/>
                <w:color w:val="auto"/>
              </w:rPr>
            </w:pPr>
          </w:p>
        </w:tc>
        <w:tc>
          <w:tcPr>
            <w:tcW w:w="3160" w:type="dxa"/>
            <w:vAlign w:val="bottom"/>
            <w:gridSpan w:val="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85"/>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Consolidated Statements of Cash Flows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gridSpan w:val="5"/>
            <w:shd w:val="clear" w:color="auto" w:fill="0000EE"/>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5"/>
        </w:trPr>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6"/>
                <w:szCs w:val="16"/>
                <w:color w:val="0000EE"/>
              </w:rPr>
              <w:t>Condensed Notes to Consolidated Financial Statements</w:t>
            </w:r>
          </w:p>
        </w:tc>
        <w:tc>
          <w:tcPr>
            <w:tcW w:w="2920" w:type="dxa"/>
            <w:vAlign w:val="bottom"/>
            <w:gridSpan w:val="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85"/>
        </w:trPr>
        <w:tc>
          <w:tcPr>
            <w:tcW w:w="240" w:type="dxa"/>
            <w:vAlign w:val="bottom"/>
          </w:tcPr>
          <w:p>
            <w:pPr>
              <w:spacing w:after="0"/>
              <w:rPr>
                <w:sz w:val="24"/>
                <w:szCs w:val="24"/>
                <w:color w:val="auto"/>
              </w:rPr>
            </w:pPr>
          </w:p>
        </w:tc>
        <w:tc>
          <w:tcPr>
            <w:tcW w:w="480" w:type="dxa"/>
            <w:vAlign w:val="bottom"/>
            <w:gridSpan w:val="4"/>
          </w:tcPr>
          <w:p>
            <w:pPr>
              <w:spacing w:after="0"/>
              <w:rPr>
                <w:sz w:val="20"/>
                <w:szCs w:val="20"/>
                <w:color w:val="auto"/>
              </w:rPr>
            </w:pPr>
            <w:r>
              <w:rPr>
                <w:rFonts w:ascii="Times New Roman" w:cs="Times New Roman" w:eastAsia="Times New Roman" w:hAnsi="Times New Roman"/>
                <w:sz w:val="16"/>
                <w:szCs w:val="16"/>
                <w:color w:val="0000EE"/>
              </w:rPr>
              <w:t>Item 2.</w:t>
            </w:r>
          </w:p>
        </w:tc>
        <w:tc>
          <w:tcPr>
            <w:tcW w:w="4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65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Management’s Discussion and Analysis of Financial Condition and Results of Operations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85"/>
        </w:trPr>
        <w:tc>
          <w:tcPr>
            <w:tcW w:w="240" w:type="dxa"/>
            <w:vAlign w:val="bottom"/>
          </w:tcPr>
          <w:p>
            <w:pPr>
              <w:spacing w:after="0"/>
              <w:rPr>
                <w:sz w:val="24"/>
                <w:szCs w:val="24"/>
                <w:color w:val="auto"/>
              </w:rPr>
            </w:pPr>
          </w:p>
        </w:tc>
        <w:tc>
          <w:tcPr>
            <w:tcW w:w="4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Item 3.</w:t>
            </w:r>
          </w:p>
        </w:tc>
        <w:tc>
          <w:tcPr>
            <w:tcW w:w="4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582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85"/>
        </w:trPr>
        <w:tc>
          <w:tcPr>
            <w:tcW w:w="240" w:type="dxa"/>
            <w:vAlign w:val="bottom"/>
          </w:tcPr>
          <w:p>
            <w:pPr>
              <w:spacing w:after="0"/>
              <w:rPr>
                <w:sz w:val="24"/>
                <w:szCs w:val="24"/>
                <w:color w:val="auto"/>
              </w:rPr>
            </w:pPr>
          </w:p>
        </w:tc>
        <w:tc>
          <w:tcPr>
            <w:tcW w:w="48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Item 4.</w:t>
            </w:r>
          </w:p>
        </w:tc>
        <w:tc>
          <w:tcPr>
            <w:tcW w:w="4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39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6"/>
                <w:szCs w:val="16"/>
                <w:color w:val="0000EE"/>
              </w:rPr>
              <w:t>Controls and Procedures</w:t>
            </w:r>
          </w:p>
        </w:tc>
        <w:tc>
          <w:tcPr>
            <w:tcW w:w="2600" w:type="dxa"/>
            <w:vAlign w:val="bottom"/>
            <w:gridSpan w:val="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2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5"/>
        </w:trPr>
        <w:tc>
          <w:tcPr>
            <w:tcW w:w="112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PART II.</w:t>
            </w:r>
          </w:p>
        </w:tc>
        <w:tc>
          <w:tcPr>
            <w:tcW w:w="400" w:type="dxa"/>
            <w:vAlign w:val="bottom"/>
          </w:tcPr>
          <w:p>
            <w:pPr>
              <w:spacing w:after="0"/>
              <w:rPr>
                <w:sz w:val="24"/>
                <w:szCs w:val="24"/>
                <w:color w:val="auto"/>
              </w:rPr>
            </w:pPr>
          </w:p>
        </w:tc>
        <w:tc>
          <w:tcPr>
            <w:tcW w:w="65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OTHER INFORMATION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5"/>
        </w:trPr>
        <w:tc>
          <w:tcPr>
            <w:tcW w:w="240" w:type="dxa"/>
            <w:vAlign w:val="bottom"/>
          </w:tcPr>
          <w:p>
            <w:pPr>
              <w:spacing w:after="0"/>
              <w:rPr>
                <w:sz w:val="24"/>
                <w:szCs w:val="24"/>
                <w:color w:val="auto"/>
              </w:rPr>
            </w:pPr>
          </w:p>
        </w:tc>
        <w:tc>
          <w:tcPr>
            <w:tcW w:w="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Item 1.</w:t>
            </w:r>
          </w:p>
        </w:tc>
        <w:tc>
          <w:tcPr>
            <w:tcW w:w="4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w w:val="99"/>
              </w:rPr>
              <w:t>Legal Proceedings</w:t>
            </w:r>
          </w:p>
        </w:tc>
        <w:tc>
          <w:tcPr>
            <w:tcW w:w="5320" w:type="dxa"/>
            <w:vAlign w:val="bottom"/>
            <w:gridSpan w:val="13"/>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85"/>
        </w:trPr>
        <w:tc>
          <w:tcPr>
            <w:tcW w:w="240" w:type="dxa"/>
            <w:vAlign w:val="bottom"/>
          </w:tcPr>
          <w:p>
            <w:pPr>
              <w:spacing w:after="0"/>
              <w:rPr>
                <w:sz w:val="24"/>
                <w:szCs w:val="24"/>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Item 1A.</w:t>
            </w:r>
          </w:p>
        </w:tc>
        <w:tc>
          <w:tcPr>
            <w:tcW w:w="400" w:type="dxa"/>
            <w:vAlign w:val="bottom"/>
          </w:tcPr>
          <w:p>
            <w:pPr>
              <w:spacing w:after="0"/>
              <w:rPr>
                <w:sz w:val="24"/>
                <w:szCs w:val="24"/>
                <w:color w:val="auto"/>
              </w:rPr>
            </w:pPr>
          </w:p>
        </w:tc>
        <w:tc>
          <w:tcPr>
            <w:tcW w:w="6520" w:type="dxa"/>
            <w:vAlign w:val="bottom"/>
            <w:gridSpan w:val="17"/>
          </w:tcPr>
          <w:p>
            <w:pPr>
              <w:spacing w:after="0"/>
              <w:rPr>
                <w:sz w:val="20"/>
                <w:szCs w:val="20"/>
                <w:color w:val="auto"/>
              </w:rPr>
            </w:pPr>
            <w:r>
              <w:rPr>
                <w:rFonts w:ascii="Times New Roman" w:cs="Times New Roman" w:eastAsia="Times New Roman" w:hAnsi="Times New Roman"/>
                <w:sz w:val="16"/>
                <w:szCs w:val="16"/>
                <w:color w:val="0000EE"/>
              </w:rPr>
              <w:t>Risk Factors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240" w:type="dxa"/>
            <w:vAlign w:val="bottom"/>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85"/>
        </w:trPr>
        <w:tc>
          <w:tcPr>
            <w:tcW w:w="240" w:type="dxa"/>
            <w:vAlign w:val="bottom"/>
          </w:tcPr>
          <w:p>
            <w:pPr>
              <w:spacing w:after="0"/>
              <w:rPr>
                <w:sz w:val="24"/>
                <w:szCs w:val="24"/>
                <w:color w:val="auto"/>
              </w:rPr>
            </w:pPr>
          </w:p>
        </w:tc>
        <w:tc>
          <w:tcPr>
            <w:tcW w:w="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Item 5.</w:t>
            </w:r>
          </w:p>
        </w:tc>
        <w:tc>
          <w:tcPr>
            <w:tcW w:w="100" w:type="dxa"/>
            <w:vAlign w:val="bottom"/>
          </w:tcPr>
          <w:p>
            <w:pPr>
              <w:spacing w:after="0"/>
              <w:rPr>
                <w:sz w:val="24"/>
                <w:szCs w:val="24"/>
                <w:color w:val="auto"/>
              </w:rPr>
            </w:pPr>
          </w:p>
        </w:tc>
        <w:tc>
          <w:tcPr>
            <w:tcW w:w="30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6"/>
                <w:szCs w:val="16"/>
                <w:color w:val="0000EE"/>
                <w:w w:val="99"/>
              </w:rPr>
              <w:t>Other information</w:t>
            </w:r>
          </w:p>
        </w:tc>
        <w:tc>
          <w:tcPr>
            <w:tcW w:w="5340" w:type="dxa"/>
            <w:vAlign w:val="bottom"/>
            <w:gridSpan w:val="14"/>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85"/>
        </w:trPr>
        <w:tc>
          <w:tcPr>
            <w:tcW w:w="240" w:type="dxa"/>
            <w:vAlign w:val="bottom"/>
          </w:tcPr>
          <w:p>
            <w:pPr>
              <w:spacing w:after="0"/>
              <w:rPr>
                <w:sz w:val="24"/>
                <w:szCs w:val="24"/>
                <w:color w:val="auto"/>
              </w:rPr>
            </w:pPr>
          </w:p>
        </w:tc>
        <w:tc>
          <w:tcPr>
            <w:tcW w:w="4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6"/>
                <w:szCs w:val="16"/>
                <w:color w:val="0000EE"/>
              </w:rPr>
              <w:t>Item 6.</w:t>
            </w:r>
          </w:p>
        </w:tc>
        <w:tc>
          <w:tcPr>
            <w:tcW w:w="40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7"/>
              </w:rPr>
              <w:t>Exhibits</w:t>
            </w:r>
          </w:p>
        </w:tc>
        <w:tc>
          <w:tcPr>
            <w:tcW w:w="5980" w:type="dxa"/>
            <w:vAlign w:val="bottom"/>
            <w:gridSpan w:val="1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85"/>
        </w:trPr>
        <w:tc>
          <w:tcPr>
            <w:tcW w:w="112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SIGNATURES</w:t>
            </w: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1496"/>
        </w:trPr>
        <w:tc>
          <w:tcPr>
            <w:tcW w:w="24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7"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PART I - FINANCIAL INFORMATION</w:t>
      </w:r>
    </w:p>
    <w:p>
      <w:pPr>
        <w:spacing w:after="0" w:line="14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4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6"/>
          <w:szCs w:val="16"/>
          <w:b w:val="1"/>
          <w:bCs w:val="1"/>
          <w:color w:val="auto"/>
        </w:rPr>
        <w:t>MERIT MEDICAL SYSTEMS,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1"/>
        </w:trPr>
        <w:tc>
          <w:tcPr>
            <w:tcW w:w="6560" w:type="dxa"/>
            <w:vAlign w:val="bottom"/>
            <w:gridSpan w:val="2"/>
            <w:vMerge w:val="continue"/>
          </w:tcPr>
          <w:p>
            <w:pPr>
              <w:spacing w:after="0"/>
              <w:rPr>
                <w:sz w:val="15"/>
                <w:szCs w:val="15"/>
                <w:color w:val="auto"/>
              </w:rPr>
            </w:pPr>
          </w:p>
        </w:tc>
        <w:tc>
          <w:tcPr>
            <w:tcW w:w="2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780" w:type="dxa"/>
            <w:vAlign w:val="bottom"/>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Pr>
          <w:p>
            <w:pPr>
              <w:spacing w:after="0"/>
              <w:rPr>
                <w:sz w:val="15"/>
                <w:szCs w:val="15"/>
                <w:color w:val="auto"/>
              </w:rPr>
            </w:pPr>
          </w:p>
        </w:tc>
        <w:tc>
          <w:tcPr>
            <w:tcW w:w="200" w:type="dxa"/>
            <w:vAlign w:val="bottom"/>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(unaudited)</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503,551</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446,404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Trade receivables — net of allowance for credit losses — 2026 — $10,994 and 2025 — $10,136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221,866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203,710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receivables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391,022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income taxes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refund receivables</w:t>
            </w: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1,198,815</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1,040,154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Land and land improvements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30,332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Buildings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238,765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Manufacturing equipment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394,081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Furniture and fixtures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67,099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Construction-in-progress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40,745</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property and equipment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833,795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804,846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(396,448)</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(376,445)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 net</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437,347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428,401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40" w:type="dxa"/>
            <w:vAlign w:val="bottom"/>
            <w:shd w:val="clear" w:color="auto" w:fill="CCEEFF"/>
          </w:tcPr>
          <w:p>
            <w:pPr>
              <w:ind w:left="180"/>
              <w:spacing w:after="0" w:line="178" w:lineRule="exact"/>
              <w:rPr>
                <w:sz w:val="20"/>
                <w:szCs w:val="20"/>
                <w:color w:val="auto"/>
              </w:rPr>
            </w:pPr>
            <w:r>
              <w:rPr>
                <w:rFonts w:ascii="Times New Roman" w:cs="Times New Roman" w:eastAsia="Times New Roman" w:hAnsi="Times New Roman"/>
                <w:sz w:val="16"/>
                <w:szCs w:val="16"/>
                <w:color w:val="auto"/>
              </w:rPr>
              <w:t>Developed technology — net of accumulated amortization — 2026 — $491,025 and</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 — $452,525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522,618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 net of accumulated amortization — 2026 — $100,924 and 2025 — $96,436</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68,586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537,135</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506,837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Right-of-use operating lease assets</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84,379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68,753</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assets</w:t>
            </w:r>
          </w:p>
        </w:tc>
        <w:tc>
          <w:tcPr>
            <w:tcW w:w="2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1,288,744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1,217,367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6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2,924,906</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2,685,922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20" w:type="dxa"/>
            <w:vAlign w:val="bottom"/>
          </w:tcPr>
          <w:p>
            <w:pPr>
              <w:spacing w:after="0"/>
              <w:rPr>
                <w:sz w:val="24"/>
                <w:szCs w:val="24"/>
                <w:color w:val="auto"/>
              </w:rPr>
            </w:pPr>
          </w:p>
        </w:tc>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(continued)</w:t>
            </w:r>
          </w:p>
        </w:tc>
        <w:tc>
          <w:tcPr>
            <w:tcW w:w="0" w:type="dxa"/>
            <w:vAlign w:val="bottom"/>
          </w:tcPr>
          <w:p>
            <w:pPr>
              <w:spacing w:after="0"/>
              <w:rPr>
                <w:sz w:val="1"/>
                <w:szCs w:val="1"/>
                <w:color w:val="auto"/>
              </w:rPr>
            </w:pPr>
          </w:p>
        </w:tc>
      </w:tr>
      <w:tr>
        <w:trPr>
          <w:trHeight w:val="744"/>
        </w:trPr>
        <w:tc>
          <w:tcPr>
            <w:tcW w:w="6560" w:type="dxa"/>
            <w:vAlign w:val="bottom"/>
            <w:gridSpan w:val="2"/>
          </w:tcPr>
          <w:p>
            <w:pPr>
              <w:jc w:val="right"/>
              <w:ind w:right="1979"/>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7"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MERIT MEDICAL SYSTEMS,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3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80" w:type="dxa"/>
            <w:vAlign w:val="bottom"/>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3"/>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20" w:type="dxa"/>
            <w:vAlign w:val="bottom"/>
            <w:gridSpan w:val="2"/>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81"/>
        </w:trPr>
        <w:tc>
          <w:tcPr>
            <w:tcW w:w="6360" w:type="dxa"/>
            <w:vAlign w:val="bottom"/>
            <w:tcBorders>
              <w:bottom w:val="single" w:sz="8" w:color="CCEEFF"/>
            </w:tcBorders>
            <w:vMerge w:val="continue"/>
          </w:tcPr>
          <w:p>
            <w:pPr>
              <w:spacing w:after="0"/>
              <w:rPr>
                <w:sz w:val="15"/>
                <w:szCs w:val="15"/>
                <w:color w:val="auto"/>
              </w:rPr>
            </w:pPr>
          </w:p>
        </w:tc>
        <w:tc>
          <w:tcPr>
            <w:tcW w:w="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3"/>
                <w:szCs w:val="13"/>
                <w:color w:val="auto"/>
              </w:rPr>
              <w:t>(unaudited)</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Trade payables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66,286</w:t>
            </w: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174,024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10,382</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Income taxes payable</w:t>
            </w:r>
          </w:p>
        </w:tc>
        <w:tc>
          <w:tcPr>
            <w:tcW w:w="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14,391</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265,083</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239,764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737,404</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related to unrecognized tax benefits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Deferred compensation payable</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credits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74,273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4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43,437</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Total liabilities</w:t>
            </w:r>
          </w:p>
        </w:tc>
        <w:tc>
          <w:tcPr>
            <w:tcW w:w="4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1,180,355</w:t>
            </w:r>
          </w:p>
        </w:tc>
        <w:tc>
          <w:tcPr>
            <w:tcW w:w="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1,101,619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6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Preferred stock — 5,000 shares authorized; no shares issued as of September 30, 2026 and</w:t>
            </w: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December 31, 2025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6360" w:type="dxa"/>
            <w:vAlign w:val="bottom"/>
          </w:tcPr>
          <w:p>
            <w:pPr>
              <w:ind w:left="100"/>
              <w:spacing w:after="0" w:line="178" w:lineRule="exact"/>
              <w:rPr>
                <w:sz w:val="20"/>
                <w:szCs w:val="20"/>
                <w:color w:val="auto"/>
              </w:rPr>
            </w:pPr>
            <w:r>
              <w:rPr>
                <w:rFonts w:ascii="Times New Roman" w:cs="Times New Roman" w:eastAsia="Times New Roman" w:hAnsi="Times New Roman"/>
                <w:sz w:val="16"/>
                <w:szCs w:val="16"/>
                <w:color w:val="auto"/>
              </w:rPr>
              <w:t>Common stock, no par value — 100,000 shares authorized; issued and outstanding as of</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September 30, 2026 - 59,898 and December 31, 2025 - 59,424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808,930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763,909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Retained earnings</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946,139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1,744,551</w:t>
            </w: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1,584,303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2,924,906</w:t>
            </w: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2,685,922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(concluded)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MERIT MEDICAL SYSTEMS,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INCOME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 - unaudited)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720" w:type="dxa"/>
            <w:vAlign w:val="bottom"/>
            <w:gridSpan w:val="5"/>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0" w:type="dxa"/>
            <w:vAlign w:val="bottom"/>
            <w:gridSpan w:val="5"/>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1720" w:type="dxa"/>
            <w:vAlign w:val="bottom"/>
            <w:gridSpan w:val="5"/>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2000" w:type="dxa"/>
            <w:vAlign w:val="bottom"/>
            <w:gridSpan w:val="5"/>
          </w:tcPr>
          <w:p>
            <w:pPr>
              <w:jc w:val="center"/>
              <w:ind w:right="7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81"/>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gridSpan w:val="2"/>
          </w:tcPr>
          <w:p>
            <w:pPr>
              <w:jc w:val="right"/>
              <w:ind w:right="24"/>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tcBorders>
          </w:tcPr>
          <w:p>
            <w:pPr>
              <w:jc w:val="right"/>
              <w:ind w:right="20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61"/>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Borders>
              <w:top w:val="single" w:sz="8" w:color="auto"/>
            </w:tcBorders>
            <w:gridSpan w:val="2"/>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top w:val="single" w:sz="8" w:color="auto"/>
            </w:tcBorders>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0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416,244</w:t>
            </w: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384,157</w:t>
            </w: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1,216,964</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1,121,970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0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215,613</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197,746</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616,370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579,052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200,631</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186,411</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600,594</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542,918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119,511</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119,801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340,384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23,966</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70,391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Contingent consideration (benefit) expense</w:t>
            </w:r>
          </w:p>
        </w:tc>
        <w:tc>
          <w:tcPr>
            <w:tcW w:w="10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141,868</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143,799</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437,271</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412,393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58,763</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42,612</w:t>
            </w: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163,323</w:t>
            </w: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(25,977)</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10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11,519</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other expense — net</w:t>
            </w:r>
          </w:p>
        </w:tc>
        <w:tc>
          <w:tcPr>
            <w:tcW w:w="10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55,785</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38,540</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160,645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0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13,474</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1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38,536</w:t>
            </w:r>
          </w:p>
        </w:tc>
        <w:tc>
          <w:tcPr>
            <w:tcW w:w="1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42,311</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3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common share</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Basic</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Diluted</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8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59,806</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59,245</w:t>
            </w:r>
          </w:p>
        </w:tc>
        <w:tc>
          <w:tcPr>
            <w:tcW w:w="1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59,666</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20" w:type="dxa"/>
            <w:vAlign w:val="bottom"/>
            <w:tcBorders>
              <w:bottom w:val="single" w:sz="8" w:color="CCEEFF"/>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60,379</w:t>
            </w:r>
          </w:p>
        </w:tc>
        <w:tc>
          <w:tcPr>
            <w:tcW w:w="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59,919</w:t>
            </w:r>
          </w:p>
        </w:tc>
        <w:tc>
          <w:tcPr>
            <w:tcW w:w="1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60,134</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60,604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0" w:right="59"/>
        <w:spacing w:after="0" w:line="273" w:lineRule="auto"/>
        <w:rPr>
          <w:sz w:val="20"/>
          <w:szCs w:val="20"/>
          <w:color w:val="auto"/>
        </w:rPr>
      </w:pPr>
      <w:r>
        <w:rPr>
          <w:rFonts w:ascii="Times New Roman" w:cs="Times New Roman" w:eastAsia="Times New Roman" w:hAnsi="Times New Roman"/>
          <w:sz w:val="16"/>
          <w:szCs w:val="16"/>
          <w:b w:val="1"/>
          <w:bCs w:val="1"/>
          <w:color w:val="auto"/>
        </w:rPr>
        <w:t>MERIT MEDICAL SYSTEMS, INC. AND SUBSIDIARIES CONSOLIDATED STATEMENTS OF COMPREHENSIVE INCOME (In thousands - unaudited)</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620" w:type="dxa"/>
            <w:vAlign w:val="bottom"/>
          </w:tcPr>
          <w:p>
            <w:pPr>
              <w:ind w:left="45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820" w:type="dxa"/>
            <w:vAlign w:val="bottom"/>
            <w:gridSpan w:val="4"/>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w:t>
            </w:r>
          </w:p>
        </w:tc>
        <w:tc>
          <w:tcPr>
            <w:tcW w:w="1900" w:type="dxa"/>
            <w:vAlign w:val="bottom"/>
            <w:gridSpan w:val="5"/>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0" w:type="dxa"/>
            <w:vAlign w:val="bottom"/>
          </w:tcPr>
          <w:p>
            <w:pPr>
              <w:spacing w:after="0"/>
              <w:rPr>
                <w:sz w:val="1"/>
                <w:szCs w:val="1"/>
                <w:color w:val="auto"/>
              </w:rPr>
            </w:pPr>
          </w:p>
        </w:tc>
      </w:tr>
      <w:tr>
        <w:trPr>
          <w:trHeight w:val="156"/>
        </w:trPr>
        <w:tc>
          <w:tcPr>
            <w:tcW w:w="4620" w:type="dxa"/>
            <w:vAlign w:val="bottom"/>
            <w:vMerge w:val="restart"/>
          </w:tcPr>
          <w:p>
            <w:pPr>
              <w:ind w:left="450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620" w:type="dxa"/>
            <w:vAlign w:val="bottom"/>
            <w:tcBorders>
              <w:bottom w:val="single" w:sz="8" w:color="auto"/>
            </w:tcBorders>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center"/>
              <w:ind w:left="304"/>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6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244"/>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gridSpan w:val="2"/>
          </w:tcPr>
          <w:p>
            <w:pPr>
              <w:jc w:val="center"/>
              <w:ind w:right="19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241"/>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jc w:val="right"/>
              <w:ind w:right="244"/>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gridSpan w:val="2"/>
          </w:tcPr>
          <w:p>
            <w:pPr>
              <w:jc w:val="center"/>
              <w:ind w:right="19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ind w:right="261"/>
              <w:spacing w:after="0" w:line="126"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42,311</w:t>
            </w:r>
          </w:p>
        </w:tc>
        <w:tc>
          <w:tcPr>
            <w:tcW w:w="2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27,755</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122,109</w:t>
            </w:r>
          </w:p>
        </w:tc>
        <w:tc>
          <w:tcPr>
            <w:tcW w:w="2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6"/>
                <w:szCs w:val="16"/>
                <w:color w:val="auto"/>
              </w:rPr>
            </w:pPr>
          </w:p>
        </w:tc>
        <w:tc>
          <w:tcPr>
            <w:tcW w:w="40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6"/>
                <w:szCs w:val="16"/>
                <w:color w:val="auto"/>
              </w:rPr>
            </w:pPr>
          </w:p>
        </w:tc>
        <w:tc>
          <w:tcPr>
            <w:tcW w:w="52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flow hedges</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(2,711)</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comprehensive (loss) income</w:t>
            </w: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39,709</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29,098</w:t>
            </w:r>
          </w:p>
        </w:tc>
        <w:tc>
          <w:tcPr>
            <w:tcW w:w="200" w:type="dxa"/>
            <w:vAlign w:val="bottom"/>
          </w:tcPr>
          <w:p>
            <w:pPr>
              <w:spacing w:after="0"/>
              <w:rPr>
                <w:sz w:val="16"/>
                <w:szCs w:val="16"/>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115,227</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106,165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0" w:right="59"/>
        <w:spacing w:after="0" w:line="273" w:lineRule="auto"/>
        <w:rPr>
          <w:sz w:val="20"/>
          <w:szCs w:val="20"/>
          <w:color w:val="auto"/>
        </w:rPr>
      </w:pPr>
      <w:r>
        <w:rPr>
          <w:rFonts w:ascii="Times New Roman" w:cs="Times New Roman" w:eastAsia="Times New Roman" w:hAnsi="Times New Roman"/>
          <w:sz w:val="16"/>
          <w:szCs w:val="16"/>
          <w:b w:val="1"/>
          <w:bCs w:val="1"/>
          <w:color w:val="auto"/>
        </w:rPr>
        <w:t>MERIT MEDICAL SYSTEMS, INC. AND SUBSIDIARIES CONSOLIDATED STATEMENTS OF STOCKHOLDERS’ EQUITY (In thousands - unaudited)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9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99"/>
              </w:rPr>
              <w:t>Accumulated Other</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020" w:type="dxa"/>
            <w:vAlign w:val="bottom"/>
            <w:gridSpan w:val="2"/>
          </w:tcPr>
          <w:p>
            <w:pPr>
              <w:ind w:left="388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right"/>
              <w:ind w:right="79"/>
              <w:spacing w:after="0" w:line="126" w:lineRule="exact"/>
              <w:rPr>
                <w:sz w:val="20"/>
                <w:szCs w:val="20"/>
                <w:color w:val="auto"/>
              </w:rPr>
            </w:pPr>
            <w:r>
              <w:rPr>
                <w:rFonts w:ascii="Times New Roman" w:cs="Times New Roman" w:eastAsia="Times New Roman" w:hAnsi="Times New Roman"/>
                <w:sz w:val="13"/>
                <w:szCs w:val="13"/>
                <w:b w:val="1"/>
                <w:bCs w:val="1"/>
                <w:color w:val="auto"/>
              </w:rPr>
              <w:t>Shares</w:t>
            </w:r>
          </w:p>
        </w:tc>
        <w:tc>
          <w:tcPr>
            <w:tcW w:w="200" w:type="dxa"/>
            <w:vAlign w:val="bottom"/>
            <w:gridSpan w:val="2"/>
          </w:tcPr>
          <w:p>
            <w:pPr>
              <w:ind w:left="2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99"/>
              <w:spacing w:after="0" w:line="126"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Pr>
          <w:p>
            <w:pPr>
              <w:spacing w:after="0"/>
              <w:rPr>
                <w:sz w:val="10"/>
                <w:szCs w:val="10"/>
                <w:color w:val="auto"/>
              </w:rPr>
            </w:pPr>
          </w:p>
        </w:tc>
        <w:tc>
          <w:tcPr>
            <w:tcW w:w="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380" w:type="dxa"/>
            <w:vAlign w:val="bottom"/>
            <w:gridSpan w:val="3"/>
          </w:tcPr>
          <w:p>
            <w:pPr>
              <w:jc w:val="right"/>
              <w:ind w:right="1"/>
              <w:spacing w:after="0" w:line="126" w:lineRule="exact"/>
              <w:rPr>
                <w:sz w:val="20"/>
                <w:szCs w:val="20"/>
                <w:color w:val="auto"/>
              </w:rPr>
            </w:pPr>
            <w:r>
              <w:rPr>
                <w:rFonts w:ascii="Times New Roman" w:cs="Times New Roman" w:eastAsia="Times New Roman" w:hAnsi="Times New Roman"/>
                <w:sz w:val="13"/>
                <w:szCs w:val="13"/>
                <w:b w:val="1"/>
                <w:bCs w:val="1"/>
                <w:color w:val="auto"/>
              </w:rPr>
              <w:t>​​​ Comprehensive Loss</w:t>
            </w:r>
          </w:p>
        </w:tc>
        <w:tc>
          <w:tcPr>
            <w:tcW w:w="2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59"/>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7"/>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January 1, 2026</w:t>
            </w: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59,424</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763,909</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824,030</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1,584,303</w:t>
            </w:r>
          </w:p>
        </w:tc>
        <w:tc>
          <w:tcPr>
            <w:tcW w:w="0" w:type="dxa"/>
            <w:vAlign w:val="bottom"/>
          </w:tcPr>
          <w:p>
            <w:pPr>
              <w:spacing w:after="0"/>
              <w:rPr>
                <w:sz w:val="1"/>
                <w:szCs w:val="1"/>
                <w:color w:val="auto"/>
              </w:rPr>
            </w:pPr>
          </w:p>
        </w:tc>
      </w:tr>
      <w:tr>
        <w:trPr>
          <w:trHeight w:val="195"/>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40,995</w:t>
            </w:r>
          </w:p>
        </w:tc>
        <w:tc>
          <w:tcPr>
            <w:tcW w:w="0" w:type="dxa"/>
            <w:vAlign w:val="bottom"/>
          </w:tcPr>
          <w:p>
            <w:pPr>
              <w:spacing w:after="0"/>
              <w:rPr>
                <w:sz w:val="1"/>
                <w:szCs w:val="1"/>
                <w:color w:val="auto"/>
              </w:rPr>
            </w:pPr>
          </w:p>
        </w:tc>
      </w:tr>
      <w:tr>
        <w:trPr>
          <w:trHeight w:val="19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(3,932)</w:t>
            </w:r>
          </w:p>
        </w:tc>
        <w:tc>
          <w:tcPr>
            <w:tcW w:w="0" w:type="dxa"/>
            <w:vAlign w:val="bottom"/>
          </w:tcPr>
          <w:p>
            <w:pPr>
              <w:spacing w:after="0"/>
              <w:rPr>
                <w:sz w:val="1"/>
                <w:szCs w:val="1"/>
                <w:color w:val="auto"/>
              </w:rPr>
            </w:pPr>
          </w:p>
        </w:tc>
      </w:tr>
      <w:tr>
        <w:trPr>
          <w:trHeight w:val="195"/>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0" w:type="dxa"/>
            <w:vAlign w:val="bottom"/>
          </w:tcPr>
          <w:p>
            <w:pPr>
              <w:spacing w:after="0"/>
              <w:rPr>
                <w:sz w:val="1"/>
                <w:szCs w:val="1"/>
                <w:color w:val="auto"/>
              </w:rPr>
            </w:pPr>
          </w:p>
        </w:tc>
      </w:tr>
      <w:tr>
        <w:trPr>
          <w:trHeight w:val="19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exercised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0" w:type="dxa"/>
            <w:vAlign w:val="bottom"/>
          </w:tcPr>
          <w:p>
            <w:pPr>
              <w:spacing w:after="0"/>
              <w:rPr>
                <w:sz w:val="1"/>
                <w:szCs w:val="1"/>
                <w:color w:val="auto"/>
              </w:rPr>
            </w:pPr>
          </w:p>
        </w:tc>
      </w:tr>
      <w:tr>
        <w:trPr>
          <w:trHeight w:val="179"/>
        </w:trPr>
        <w:tc>
          <w:tcPr>
            <w:tcW w:w="402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19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 issued from time-vested restricted stock units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402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Shares surrendered in exchange for payment of payroll</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tax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0" w:type="dxa"/>
            <w:vAlign w:val="bottom"/>
          </w:tcPr>
          <w:p>
            <w:pPr>
              <w:spacing w:after="0"/>
              <w:rPr>
                <w:sz w:val="1"/>
                <w:szCs w:val="1"/>
                <w:color w:val="auto"/>
              </w:rPr>
            </w:pPr>
          </w:p>
        </w:tc>
      </w:tr>
      <w:tr>
        <w:trPr>
          <w:trHeight w:val="188"/>
        </w:trPr>
        <w:tc>
          <w:tcPr>
            <w:tcW w:w="3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March 31, 2026</w:t>
            </w: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59,655</w:t>
            </w: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769,271</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865,025</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1,626,728</w:t>
            </w:r>
          </w:p>
        </w:tc>
        <w:tc>
          <w:tcPr>
            <w:tcW w:w="0" w:type="dxa"/>
            <w:vAlign w:val="bottom"/>
          </w:tcPr>
          <w:p>
            <w:pPr>
              <w:spacing w:after="0"/>
              <w:rPr>
                <w:sz w:val="1"/>
                <w:szCs w:val="1"/>
                <w:color w:val="auto"/>
              </w:rPr>
            </w:pPr>
          </w:p>
        </w:tc>
      </w:tr>
      <w:tr>
        <w:trPr>
          <w:trHeight w:val="195"/>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38,803</w:t>
            </w:r>
          </w:p>
        </w:tc>
        <w:tc>
          <w:tcPr>
            <w:tcW w:w="0" w:type="dxa"/>
            <w:vAlign w:val="bottom"/>
          </w:tcPr>
          <w:p>
            <w:pPr>
              <w:spacing w:after="0"/>
              <w:rPr>
                <w:sz w:val="1"/>
                <w:szCs w:val="1"/>
                <w:color w:val="auto"/>
              </w:rPr>
            </w:pPr>
          </w:p>
        </w:tc>
      </w:tr>
      <w:tr>
        <w:trPr>
          <w:trHeight w:val="19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195"/>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12,824</w:t>
            </w:r>
          </w:p>
        </w:tc>
        <w:tc>
          <w:tcPr>
            <w:tcW w:w="0" w:type="dxa"/>
            <w:vAlign w:val="bottom"/>
          </w:tcPr>
          <w:p>
            <w:pPr>
              <w:spacing w:after="0"/>
              <w:rPr>
                <w:sz w:val="1"/>
                <w:szCs w:val="1"/>
                <w:color w:val="auto"/>
              </w:rPr>
            </w:pPr>
          </w:p>
        </w:tc>
      </w:tr>
      <w:tr>
        <w:trPr>
          <w:trHeight w:val="19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exercised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0" w:type="dxa"/>
            <w:vAlign w:val="bottom"/>
          </w:tcPr>
          <w:p>
            <w:pPr>
              <w:spacing w:after="0"/>
              <w:rPr>
                <w:sz w:val="1"/>
                <w:szCs w:val="1"/>
                <w:color w:val="auto"/>
              </w:rPr>
            </w:pPr>
          </w:p>
        </w:tc>
      </w:tr>
      <w:tr>
        <w:trPr>
          <w:trHeight w:val="179"/>
        </w:trPr>
        <w:tc>
          <w:tcPr>
            <w:tcW w:w="402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19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 issued from time-vested restricted stock units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402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Shares surrendered in exchange for payment of payroll</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tax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8"/>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June 30, 2026</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783,892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903,828</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1,679,804</w:t>
            </w:r>
          </w:p>
        </w:tc>
        <w:tc>
          <w:tcPr>
            <w:tcW w:w="0" w:type="dxa"/>
            <w:vAlign w:val="bottom"/>
          </w:tcPr>
          <w:p>
            <w:pPr>
              <w:spacing w:after="0"/>
              <w:rPr>
                <w:sz w:val="1"/>
                <w:szCs w:val="1"/>
                <w:color w:val="auto"/>
              </w:rPr>
            </w:pPr>
          </w:p>
        </w:tc>
      </w:tr>
      <w:tr>
        <w:trPr>
          <w:trHeight w:val="20"/>
        </w:trPr>
        <w:tc>
          <w:tcPr>
            <w:tcW w:w="39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9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42,311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Times New Roman" w:cs="Times New Roman" w:eastAsia="Times New Roman" w:hAnsi="Times New Roman"/>
                <w:sz w:val="16"/>
                <w:szCs w:val="16"/>
                <w:color w:val="auto"/>
              </w:rPr>
              <w:t>42,311</w:t>
            </w:r>
          </w:p>
        </w:tc>
        <w:tc>
          <w:tcPr>
            <w:tcW w:w="0" w:type="dxa"/>
            <w:vAlign w:val="bottom"/>
          </w:tcPr>
          <w:p>
            <w:pPr>
              <w:spacing w:after="0"/>
              <w:rPr>
                <w:sz w:val="1"/>
                <w:szCs w:val="1"/>
                <w:color w:val="auto"/>
              </w:rPr>
            </w:pPr>
          </w:p>
        </w:tc>
      </w:tr>
      <w:tr>
        <w:trPr>
          <w:trHeight w:val="19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195"/>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13,389</w:t>
            </w:r>
          </w:p>
        </w:tc>
        <w:tc>
          <w:tcPr>
            <w:tcW w:w="0" w:type="dxa"/>
            <w:vAlign w:val="bottom"/>
          </w:tcPr>
          <w:p>
            <w:pPr>
              <w:spacing w:after="0"/>
              <w:rPr>
                <w:sz w:val="1"/>
                <w:szCs w:val="1"/>
                <w:color w:val="auto"/>
              </w:rPr>
            </w:pPr>
          </w:p>
        </w:tc>
      </w:tr>
      <w:tr>
        <w:trPr>
          <w:trHeight w:val="195"/>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exercised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11,368</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11,368</w:t>
            </w:r>
          </w:p>
        </w:tc>
        <w:tc>
          <w:tcPr>
            <w:tcW w:w="0" w:type="dxa"/>
            <w:vAlign w:val="bottom"/>
          </w:tcPr>
          <w:p>
            <w:pPr>
              <w:spacing w:after="0"/>
              <w:rPr>
                <w:sz w:val="1"/>
                <w:szCs w:val="1"/>
                <w:color w:val="auto"/>
              </w:rPr>
            </w:pPr>
          </w:p>
        </w:tc>
      </w:tr>
      <w:tr>
        <w:trPr>
          <w:trHeight w:val="179"/>
        </w:trPr>
        <w:tc>
          <w:tcPr>
            <w:tcW w:w="402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188"/>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September 30, 2026</w:t>
            </w: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59,898</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808,930</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946,139</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(10,518)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1,744,551</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02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(continued)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left="40" w:right="59"/>
        <w:spacing w:after="0" w:line="273" w:lineRule="auto"/>
        <w:rPr>
          <w:sz w:val="20"/>
          <w:szCs w:val="20"/>
          <w:color w:val="auto"/>
        </w:rPr>
      </w:pPr>
      <w:r>
        <w:rPr>
          <w:rFonts w:ascii="Times New Roman" w:cs="Times New Roman" w:eastAsia="Times New Roman" w:hAnsi="Times New Roman"/>
          <w:sz w:val="16"/>
          <w:szCs w:val="16"/>
          <w:b w:val="1"/>
          <w:bCs w:val="1"/>
          <w:color w:val="auto"/>
        </w:rPr>
        <w:t>MERIT MEDICAL SYSTEMS, INC. AND SUBSIDIARIES CONSOLIDATED STATEMENTS OF STOCKHOLDERS’ EQUITY (In thousands - unaudited)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39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26"/>
        </w:trPr>
        <w:tc>
          <w:tcPr>
            <w:tcW w:w="3980" w:type="dxa"/>
            <w:vAlign w:val="bottom"/>
            <w:gridSpan w:val="2"/>
          </w:tcPr>
          <w:p>
            <w:pPr>
              <w:ind w:left="384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41"/>
              <w:spacing w:after="0" w:line="126" w:lineRule="exact"/>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jc w:val="right"/>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380" w:type="dxa"/>
            <w:vAlign w:val="bottom"/>
            <w:gridSpan w:val="3"/>
          </w:tcPr>
          <w:p>
            <w:pPr>
              <w:jc w:val="right"/>
              <w:spacing w:after="0" w:line="126" w:lineRule="exact"/>
              <w:rPr>
                <w:sz w:val="20"/>
                <w:szCs w:val="20"/>
                <w:color w:val="auto"/>
              </w:rPr>
            </w:pPr>
            <w:r>
              <w:rPr>
                <w:rFonts w:ascii="Times New Roman" w:cs="Times New Roman" w:eastAsia="Times New Roman" w:hAnsi="Times New Roman"/>
                <w:sz w:val="13"/>
                <w:szCs w:val="13"/>
                <w:b w:val="1"/>
                <w:bCs w:val="1"/>
                <w:color w:val="auto"/>
              </w:rPr>
              <w:t>​​​ Comprehensive Loss</w:t>
            </w:r>
          </w:p>
        </w:tc>
        <w:tc>
          <w:tcPr>
            <w:tcW w:w="20" w:type="dxa"/>
            <w:vAlign w:val="bottom"/>
          </w:tcPr>
          <w:p>
            <w:pPr>
              <w:spacing w:after="0"/>
              <w:rPr>
                <w:sz w:val="10"/>
                <w:szCs w:val="10"/>
                <w:color w:val="auto"/>
              </w:rPr>
            </w:pPr>
          </w:p>
        </w:tc>
        <w:tc>
          <w:tcPr>
            <w:tcW w:w="2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ind w:right="259"/>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87"/>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January 1, 2025</w:t>
            </w:r>
          </w:p>
        </w:tc>
        <w:tc>
          <w:tcPr>
            <w:tcW w:w="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58,743</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703,219</w:t>
            </w: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695,541</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(19,401)</w:t>
            </w: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1,379,359</w:t>
            </w:r>
          </w:p>
        </w:tc>
      </w:tr>
      <w:tr>
        <w:trPr>
          <w:trHeight w:val="195"/>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30,147</w:t>
            </w:r>
          </w:p>
        </w:tc>
      </w:tr>
      <w:tr>
        <w:trPr>
          <w:trHeight w:val="195"/>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r>
      <w:tr>
        <w:trPr>
          <w:trHeight w:val="195"/>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w:t>
            </w:r>
          </w:p>
        </w:tc>
      </w:tr>
      <w:tr>
        <w:trPr>
          <w:trHeight w:val="195"/>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exercised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14,610</w:t>
            </w:r>
          </w:p>
        </w:tc>
      </w:tr>
      <w:tr>
        <w:trPr>
          <w:trHeight w:val="179"/>
        </w:trPr>
        <w:tc>
          <w:tcPr>
            <w:tcW w:w="398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195"/>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Shares issued from time-vested restricted stock units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79"/>
        </w:trPr>
        <w:tc>
          <w:tcPr>
            <w:tcW w:w="398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Shares surrendered in exchange for payment of payroll</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tax liabilities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(6,145)</w:t>
            </w:r>
          </w:p>
        </w:tc>
      </w:tr>
      <w:tr>
        <w:trPr>
          <w:trHeight w:val="179"/>
        </w:trPr>
        <w:tc>
          <w:tcPr>
            <w:tcW w:w="3980" w:type="dxa"/>
            <w:vAlign w:val="bottom"/>
            <w:gridSpan w:val="2"/>
            <w:shd w:val="clear" w:color="auto" w:fill="CCEEFF"/>
          </w:tcPr>
          <w:p>
            <w:pPr>
              <w:ind w:left="100"/>
              <w:spacing w:after="0" w:line="179" w:lineRule="exact"/>
              <w:rPr>
                <w:sz w:val="20"/>
                <w:szCs w:val="20"/>
                <w:color w:val="auto"/>
              </w:rPr>
            </w:pPr>
            <w:r>
              <w:rPr>
                <w:rFonts w:ascii="Times New Roman" w:cs="Times New Roman" w:eastAsia="Times New Roman" w:hAnsi="Times New Roman"/>
                <w:sz w:val="16"/>
                <w:szCs w:val="16"/>
                <w:color w:val="auto"/>
              </w:rPr>
              <w:t>Shares surrendered in exchange for exercise of stock</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2"/>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r>
      <w:tr>
        <w:trPr>
          <w:trHeight w:val="187"/>
        </w:trPr>
        <w:tc>
          <w:tcPr>
            <w:tcW w:w="3920" w:type="dxa"/>
            <w:vAlign w:val="bottom"/>
          </w:tcPr>
          <w:p>
            <w:pPr>
              <w:spacing w:after="0"/>
              <w:rPr>
                <w:sz w:val="20"/>
                <w:szCs w:val="20"/>
                <w:color w:val="auto"/>
              </w:rPr>
            </w:pPr>
            <w:r>
              <w:rPr>
                <w:rFonts w:ascii="Times New Roman" w:cs="Times New Roman" w:eastAsia="Times New Roman" w:hAnsi="Times New Roman"/>
                <w:sz w:val="16"/>
                <w:szCs w:val="16"/>
                <w:color w:val="auto"/>
              </w:rPr>
              <w:t>Balance — March 31, 2025</w:t>
            </w:r>
          </w:p>
        </w:tc>
        <w:tc>
          <w:tcPr>
            <w:tcW w:w="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59,078</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718,111</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725,688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(15,376)</w:t>
            </w: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1,428,423</w:t>
            </w:r>
          </w:p>
        </w:tc>
      </w:tr>
      <w:tr>
        <w:trPr>
          <w:trHeight w:val="195"/>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32,581</w:t>
            </w:r>
          </w:p>
        </w:tc>
      </w:tr>
      <w:tr>
        <w:trPr>
          <w:trHeight w:val="195"/>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4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10,314</w:t>
            </w:r>
          </w:p>
        </w:tc>
      </w:tr>
      <w:tr>
        <w:trPr>
          <w:trHeight w:val="195"/>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9,868</w:t>
            </w:r>
          </w:p>
        </w:tc>
      </w:tr>
      <w:tr>
        <w:trPr>
          <w:trHeight w:val="195"/>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Options exercised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6,523</w:t>
            </w:r>
          </w:p>
        </w:tc>
      </w:tr>
      <w:tr>
        <w:trPr>
          <w:trHeight w:val="179"/>
        </w:trPr>
        <w:tc>
          <w:tcPr>
            <w:tcW w:w="3980" w:type="dxa"/>
            <w:vAlign w:val="bottom"/>
            <w:gridSpan w:val="2"/>
            <w:shd w:val="clear" w:color="auto" w:fill="CCEEFF"/>
          </w:tcPr>
          <w:p>
            <w:pPr>
              <w:ind w:left="10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2"/>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195"/>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Shares issued from time-vested restricted stock units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June 30, 2025</w:t>
            </w:r>
          </w:p>
        </w:tc>
        <w:tc>
          <w:tcPr>
            <w:tcW w:w="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59,218</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734,841</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758,269</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1,488,048</w:t>
            </w:r>
          </w:p>
        </w:tc>
      </w:tr>
      <w:tr>
        <w:trPr>
          <w:trHeight w:val="195"/>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spacing w:after="0"/>
              <w:rPr>
                <w:sz w:val="16"/>
                <w:szCs w:val="16"/>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27,755</w:t>
            </w:r>
          </w:p>
        </w:tc>
      </w:tr>
      <w:tr>
        <w:trPr>
          <w:trHeight w:val="195"/>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4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r>
      <w:tr>
        <w:trPr>
          <w:trHeight w:val="195"/>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tcPr>
          <w:p>
            <w:pPr>
              <w:spacing w:after="0"/>
              <w:rPr>
                <w:sz w:val="16"/>
                <w:szCs w:val="16"/>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12,549</w:t>
            </w:r>
          </w:p>
        </w:tc>
      </w:tr>
      <w:tr>
        <w:trPr>
          <w:trHeight w:val="195"/>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exercised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10,853</w:t>
            </w:r>
          </w:p>
        </w:tc>
      </w:tr>
      <w:tr>
        <w:trPr>
          <w:trHeight w:val="179"/>
        </w:trPr>
        <w:tc>
          <w:tcPr>
            <w:tcW w:w="398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r>
      <w:tr>
        <w:trPr>
          <w:trHeight w:val="179"/>
        </w:trPr>
        <w:tc>
          <w:tcPr>
            <w:tcW w:w="3980" w:type="dxa"/>
            <w:vAlign w:val="bottom"/>
            <w:gridSpan w:val="2"/>
            <w:shd w:val="clear" w:color="auto" w:fill="CCEEFF"/>
          </w:tcPr>
          <w:p>
            <w:pPr>
              <w:ind w:left="100"/>
              <w:spacing w:after="0" w:line="179" w:lineRule="exact"/>
              <w:rPr>
                <w:sz w:val="20"/>
                <w:szCs w:val="20"/>
                <w:color w:val="auto"/>
              </w:rPr>
            </w:pPr>
            <w:r>
              <w:rPr>
                <w:rFonts w:ascii="Times New Roman" w:cs="Times New Roman" w:eastAsia="Times New Roman" w:hAnsi="Times New Roman"/>
                <w:sz w:val="16"/>
                <w:szCs w:val="16"/>
                <w:color w:val="auto"/>
              </w:rPr>
              <w:t>Shares surrendered in exchange for payment of payroll</w:t>
            </w: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2"/>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 liabilities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r>
      <w:tr>
        <w:trPr>
          <w:trHeight w:val="179"/>
        </w:trPr>
        <w:tc>
          <w:tcPr>
            <w:tcW w:w="398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6"/>
                <w:szCs w:val="16"/>
                <w:color w:val="auto"/>
              </w:rPr>
              <w:t>Shares surrendered in exchange for exercise of stock</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3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options</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(8,981)</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(8,981)</w:t>
            </w:r>
          </w:p>
        </w:tc>
      </w:tr>
      <w:tr>
        <w:trPr>
          <w:trHeight w:val="20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September 30, 2025</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747,103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786,024</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1,529,408</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66"/>
        </w:trPr>
        <w:tc>
          <w:tcPr>
            <w:tcW w:w="398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6"/>
              </w:rPr>
              <w:t>(concluded)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MERIT MEDICAL SYSTEMS,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 unaudited)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5"/>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6840" w:type="dxa"/>
            <w:vAlign w:val="bottom"/>
            <w:vMerge w:val="restart"/>
          </w:tcPr>
          <w:p>
            <w:pPr>
              <w:ind w:left="672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3"/>
                <w:szCs w:val="13"/>
                <w:color w:val="auto"/>
              </w:rPr>
            </w:pPr>
          </w:p>
        </w:tc>
        <w:tc>
          <w:tcPr>
            <w:tcW w:w="1920" w:type="dxa"/>
            <w:vAlign w:val="bottom"/>
            <w:gridSpan w:val="5"/>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26"/>
        </w:trPr>
        <w:tc>
          <w:tcPr>
            <w:tcW w:w="6840" w:type="dxa"/>
            <w:vAlign w:val="bottom"/>
            <w:vMerge w:val="continue"/>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340" w:type="dxa"/>
            <w:vAlign w:val="bottom"/>
            <w:tcBorders>
              <w:top w:val="single" w:sz="8" w:color="auto"/>
            </w:tcBorders>
            <w:gridSpan w:val="2"/>
          </w:tcPr>
          <w:p>
            <w:pPr>
              <w:jc w:val="center"/>
              <w:ind w:right="3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ind w:right="259"/>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84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122,109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93,383</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Gain on disposition of business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 of equity investee loss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Loss on sale or abandonment of property and equipment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Write-off of certain intangible assets and other long-term assets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right-of-use operating lease assets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adjustments related to contingent consideration liabilities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deferred credits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long-term debt issuance costs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35,497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Trade receivables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(18,804)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receivables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(59,867)</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 refund receivables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Trade payables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4,888</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compensation payable</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(8,425)</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Total adjustments</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53,121</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cash, cash equivalents, and restricted cash provided by operating activities</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175,230</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198,861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Capital expenditures for:</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and equipment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(45,686)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asset and business dispositions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notes receivable and other investments</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(9,242)</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Cash paid in acquisitions, net of cash acquired</w:t>
            </w: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(93,049)</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(122,834)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cash equivalents, and restricted cash used in investing activities</w:t>
            </w: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(124,715)</w:t>
            </w:r>
          </w:p>
        </w:tc>
        <w:tc>
          <w:tcPr>
            <w:tcW w:w="1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(197,051)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(continued)</w:t>
            </w:r>
          </w:p>
        </w:tc>
        <w:tc>
          <w:tcPr>
            <w:tcW w:w="0" w:type="dxa"/>
            <w:vAlign w:val="bottom"/>
          </w:tcPr>
          <w:p>
            <w:pPr>
              <w:spacing w:after="0"/>
              <w:rPr>
                <w:sz w:val="1"/>
                <w:szCs w:val="1"/>
                <w:color w:val="auto"/>
              </w:rPr>
            </w:pPr>
          </w:p>
        </w:tc>
      </w:tr>
      <w:tr>
        <w:trPr>
          <w:trHeight w:val="780"/>
        </w:trPr>
        <w:tc>
          <w:tcPr>
            <w:tcW w:w="6840" w:type="dxa"/>
            <w:vAlign w:val="bottom"/>
          </w:tcPr>
          <w:p>
            <w:pPr>
              <w:ind w:left="4420"/>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6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7"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MERIT MEDICAL SYSTEMS, INC. AND SUBSIDIARIES</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 unaudited)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840" w:type="dxa"/>
            <w:vAlign w:val="bottom"/>
          </w:tcPr>
          <w:p>
            <w:pPr>
              <w:ind w:left="67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2"/>
                <w:szCs w:val="12"/>
                <w:color w:val="auto"/>
              </w:rPr>
            </w:pPr>
          </w:p>
        </w:tc>
        <w:tc>
          <w:tcPr>
            <w:tcW w:w="1900" w:type="dxa"/>
            <w:vAlign w:val="bottom"/>
            <w:gridSpan w:val="5"/>
          </w:tcPr>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6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5"/>
          </w:tcPr>
          <w:p>
            <w:pPr>
              <w:jc w:val="center"/>
              <w:ind w:right="199"/>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0" w:type="dxa"/>
            <w:vAlign w:val="bottom"/>
          </w:tcPr>
          <w:p>
            <w:pPr>
              <w:spacing w:after="0"/>
              <w:rPr>
                <w:sz w:val="1"/>
                <w:szCs w:val="1"/>
                <w:color w:val="auto"/>
              </w:rPr>
            </w:pPr>
          </w:p>
        </w:tc>
      </w:tr>
      <w:tr>
        <w:trPr>
          <w:trHeight w:val="126"/>
        </w:trPr>
        <w:tc>
          <w:tcPr>
            <w:tcW w:w="684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261"/>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Borders>
              <w:top w:val="single" w:sz="8" w:color="auto"/>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684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Contingent payments related to acquisitions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Payment of taxes related to an exchange of common stock</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(6,973)</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cash equivalents, and restricted cash provided by financing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Beginning of period</w:t>
            </w: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448,549</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378,767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End of period</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505,787</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RECONCILIATION OF CASH, CASH EQUIVALENTS AND RESTRICTED CASH TO THE</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CONSOLIDATED BALANCE SHEETS: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503,551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Restricted cash reported in prepaid expenses and other current assets</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505,787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394,561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(net of capitalized interest of $1,302 and $934, respectively)</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27,341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Income taxes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8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6"/>
                <w:szCs w:val="16"/>
                <w:color w:val="auto"/>
              </w:rPr>
              <w:t>SUPPLEMENTAL DISCLOSURES OF NON-CASH INVESTING AND FINANCING</w:t>
            </w: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and equipment purchases in accounts payable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Acquisition purchases in accrued expenses and other long-term obligations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49,272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840" w:type="dxa"/>
            <w:vAlign w:val="bottom"/>
          </w:tcPr>
          <w:p>
            <w:pPr>
              <w:ind w:left="100"/>
              <w:spacing w:after="0" w:line="178" w:lineRule="exact"/>
              <w:rPr>
                <w:sz w:val="20"/>
                <w:szCs w:val="20"/>
                <w:color w:val="auto"/>
              </w:rPr>
            </w:pPr>
            <w:r>
              <w:rPr>
                <w:rFonts w:ascii="Times New Roman" w:cs="Times New Roman" w:eastAsia="Times New Roman" w:hAnsi="Times New Roman"/>
                <w:sz w:val="16"/>
                <w:szCs w:val="16"/>
                <w:color w:val="auto"/>
              </w:rPr>
              <w:t>Merit common stock surrendered (0 and 118 shares, respectively) in exchange for exercise of stock</w:t>
            </w: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8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Right-of-use operating lease assets obtained in exchange for operating lease liabilities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2"/>
        </w:trPr>
        <w:tc>
          <w:tcPr>
            <w:tcW w:w="6840" w:type="dxa"/>
            <w:vAlign w:val="bottom"/>
          </w:tcPr>
          <w:p>
            <w:pPr>
              <w:spacing w:after="0"/>
              <w:rPr>
                <w:sz w:val="20"/>
                <w:szCs w:val="20"/>
                <w:color w:val="auto"/>
              </w:rPr>
            </w:pPr>
            <w:r>
              <w:rPr>
                <w:rFonts w:ascii="Times New Roman" w:cs="Times New Roman" w:eastAsia="Times New Roman" w:hAnsi="Times New Roman"/>
                <w:sz w:val="16"/>
                <w:szCs w:val="16"/>
                <w:color w:val="auto"/>
              </w:rPr>
              <w:t>See condensed notes to consolidated financial statements.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(concluded)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0" w:right="59"/>
        <w:spacing w:after="0" w:line="284" w:lineRule="auto"/>
        <w:rPr>
          <w:sz w:val="20"/>
          <w:szCs w:val="20"/>
          <w:color w:val="auto"/>
        </w:rPr>
      </w:pPr>
      <w:r>
        <w:rPr>
          <w:rFonts w:ascii="Times New Roman" w:cs="Times New Roman" w:eastAsia="Times New Roman" w:hAnsi="Times New Roman"/>
          <w:sz w:val="16"/>
          <w:szCs w:val="16"/>
          <w:b w:val="1"/>
          <w:bCs w:val="1"/>
          <w:color w:val="auto"/>
        </w:rPr>
        <w:t>MERIT MEDICAL SYSTEMS, INC. AND SUBSIDIARIES CONDENSED NOTES TO CONSOLIDATED FINANCIAL STATEMENTS (Unaudited)</w:t>
      </w:r>
    </w:p>
    <w:p>
      <w:pPr>
        <w:spacing w:after="0" w:line="320" w:lineRule="exact"/>
        <w:rPr>
          <w:sz w:val="20"/>
          <w:szCs w:val="20"/>
          <w:color w:val="auto"/>
        </w:rPr>
      </w:pPr>
    </w:p>
    <w:p>
      <w:pPr>
        <w:jc w:val="both"/>
        <w:ind w:left="40" w:right="59" w:firstLine="2"/>
        <w:spacing w:after="0" w:line="258" w:lineRule="auto"/>
        <w:tabs>
          <w:tab w:leader="none" w:pos="373" w:val="left"/>
        </w:tabs>
        <w:numPr>
          <w:ilvl w:val="0"/>
          <w:numId w:val="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Basis of Presentation and Other Items. </w:t>
      </w:r>
      <w:r>
        <w:rPr>
          <w:rFonts w:ascii="Times New Roman" w:cs="Times New Roman" w:eastAsia="Times New Roman" w:hAnsi="Times New Roman"/>
          <w:sz w:val="16"/>
          <w:szCs w:val="16"/>
          <w:color w:val="auto"/>
        </w:rPr>
        <w:t>The interim consolidated financial statements of Merit Medical Systems, Inc. ("Merit,"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"we" or "us") for the three and nine-month periods ended September 30, 2026 and 2025 are not audited. Our consolidated financial statements are prepared in accordance with the requirements for unaudited interim periods and, consequently, do not include all disclosures required to be made in conformity with accounting principles generally accepted in the United States of America. In the opinion of our management, the accompanying consolidated financial statements contain all adjustments, consisting of normal recurring accruals, necessary for a fair presentation of our financial position, results of operations and cash flows for the periods presented in conformity with GAAP. The results of operations presented in these interim consolidated financial statements are not necessarily indicative of the results for a full-year period. Amounts presented in this report are rounded, while percentages and earnings per share amounts presented are calculated from the underlying amounts. These interim consolidated financial statements should be read in conjunction with the financial statements and risk factors included in our Annual Report on Form 10-K for the year ended December 31, 2025 (the “2025 Annual Report on Form 10-K”).</w:t>
      </w:r>
    </w:p>
    <w:p>
      <w:pPr>
        <w:spacing w:after="0" w:line="131"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 xml:space="preserve">On October 3, 2025, Martha G. Aronson became Merit’s new Chief Executive Officer and chief operating decision maker (“CODM”). Beginning in the first quarter of 2026, the CODM began managing Merit’s operations and allocating resources on a consolidated basis and evaluating performance using net income. Based on the information regularly provided to and reviewed by the CODM, Merit has determined that it operates as a single segment. All information previously reported by segment has been recast to conform to this single segment conclusion. Refer to Note 13, </w:t>
      </w:r>
      <w:r>
        <w:rPr>
          <w:rFonts w:ascii="Times New Roman" w:cs="Times New Roman" w:eastAsia="Times New Roman" w:hAnsi="Times New Roman"/>
          <w:sz w:val="16"/>
          <w:szCs w:val="16"/>
          <w:i w:val="1"/>
          <w:iCs w:val="1"/>
          <w:color w:val="auto"/>
        </w:rPr>
        <w:t>Segment Reporting</w:t>
      </w:r>
      <w:r>
        <w:rPr>
          <w:rFonts w:ascii="Times New Roman" w:cs="Times New Roman" w:eastAsia="Times New Roman" w:hAnsi="Times New Roman"/>
          <w:sz w:val="16"/>
          <w:szCs w:val="16"/>
          <w:color w:val="auto"/>
        </w:rPr>
        <w:t xml:space="preserve"> for further details.</w:t>
      </w:r>
    </w:p>
    <w:p>
      <w:pPr>
        <w:spacing w:after="0" w:line="12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b w:val="1"/>
          <w:bCs w:val="1"/>
          <w:color w:val="auto"/>
        </w:rPr>
        <w:t xml:space="preserve">Restructuring. </w:t>
      </w:r>
      <w:r>
        <w:rPr>
          <w:rFonts w:ascii="Times New Roman" w:cs="Times New Roman" w:eastAsia="Times New Roman" w:hAnsi="Times New Roman"/>
          <w:sz w:val="16"/>
          <w:szCs w:val="16"/>
          <w:color w:val="auto"/>
        </w:rPr>
        <w:t>Restructuring charges consist primarily of termination benefits for employees affected by initiatives aimed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streamlining our operations, improving efficiencies and more effectively aligning teams to our strategic goals. We account for involuntary employee termination benefits that represent a one-time benefit in accordance with Accounting Standards Codification (“ASC”) 420, </w:t>
      </w:r>
      <w:r>
        <w:rPr>
          <w:rFonts w:ascii="Times New Roman" w:cs="Times New Roman" w:eastAsia="Times New Roman" w:hAnsi="Times New Roman"/>
          <w:sz w:val="16"/>
          <w:szCs w:val="16"/>
          <w:i w:val="1"/>
          <w:iCs w:val="1"/>
          <w:color w:val="auto"/>
        </w:rPr>
        <w:t>Exit or Disposal Cost Obligations</w:t>
      </w:r>
      <w:r>
        <w:rPr>
          <w:rFonts w:ascii="Times New Roman" w:cs="Times New Roman" w:eastAsia="Times New Roman" w:hAnsi="Times New Roman"/>
          <w:sz w:val="16"/>
          <w:szCs w:val="16"/>
          <w:color w:val="auto"/>
        </w:rPr>
        <w:t>. Severance costs accounted for under ASC 420 are recognized when management with the proper level of authority commits to a restructuring plan and communicates these actions to employees and other applicable criteria are met. We record such costs into expense over the employee’s future service period, if any. Other exit costs are accounted for under ASC 420 and are either deferred or expensed as incurred based on the nature of the expense. We recorded restructuring charges of $2.5 million and $2.9 million for the nine-month periods ended September 30, 2026 and 2025, respectively. These expenses are reflected within selling, general and administrative expenses within our consolidated statements of income. The restructuring reserve balance as of September 30, 2026 and December 31, 2025 was $0.4 million and $0.2 million, respectively, and is recorded within accrued expenses.</w:t>
      </w:r>
    </w:p>
    <w:p>
      <w:pPr>
        <w:spacing w:after="0" w:line="339" w:lineRule="exact"/>
        <w:rPr>
          <w:sz w:val="20"/>
          <w:szCs w:val="20"/>
          <w:color w:val="auto"/>
        </w:rPr>
      </w:pPr>
    </w:p>
    <w:p>
      <w:pPr>
        <w:jc w:val="both"/>
        <w:ind w:left="40" w:right="59" w:firstLine="2"/>
        <w:spacing w:after="0" w:line="260" w:lineRule="auto"/>
        <w:tabs>
          <w:tab w:leader="none" w:pos="393"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Recently Issued Accounting Standards. </w:t>
      </w:r>
      <w:r>
        <w:rPr>
          <w:rFonts w:ascii="Times New Roman" w:cs="Times New Roman" w:eastAsia="Times New Roman" w:hAnsi="Times New Roman"/>
          <w:sz w:val="16"/>
          <w:szCs w:val="16"/>
          <w:color w:val="auto"/>
        </w:rPr>
        <w:t>In November 2024, the Financial Accounting Standards Board issued Accounting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Standards Update (“ASU”) 2024-03, </w:t>
      </w:r>
      <w:r>
        <w:rPr>
          <w:rFonts w:ascii="Times New Roman" w:cs="Times New Roman" w:eastAsia="Times New Roman" w:hAnsi="Times New Roman"/>
          <w:sz w:val="16"/>
          <w:szCs w:val="16"/>
          <w:i w:val="1"/>
          <w:iCs w:val="1"/>
          <w:color w:val="auto"/>
        </w:rPr>
        <w:t>Disaggregation of Income Statement Expenses,</w:t>
      </w:r>
      <w:r>
        <w:rPr>
          <w:rFonts w:ascii="Times New Roman" w:cs="Times New Roman" w:eastAsia="Times New Roman" w:hAnsi="Times New Roman"/>
          <w:sz w:val="16"/>
          <w:szCs w:val="16"/>
          <w:color w:val="auto"/>
        </w:rPr>
        <w:t xml:space="preserve"> which requires a public entity to disclose certain operating expenses disaggregated into categories, such as purchases of inventory, employee compensation, depreciation, and intangible asset amortization on an annual and interim basis. ASU 2024-03 is effective for fiscal years beginning after December 15, 2026, and interim periods within fiscal years beginning after December 15, 2027, with early adoption permitted. The provisions within the update may be applied retrospectively for all periods presented in the financial statements. While we are still evaluating the specific impacts and adoption method, we anticipate this guidance will have a significant impact on our consolidated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40" w:right="59" w:firstLine="2"/>
        <w:spacing w:after="0" w:line="273" w:lineRule="auto"/>
        <w:tabs>
          <w:tab w:leader="none" w:pos="288" w:val="left"/>
        </w:tabs>
        <w:numPr>
          <w:ilvl w:val="0"/>
          <w:numId w:val="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Revenue from Contracts with Customers. </w:t>
      </w:r>
      <w:r>
        <w:rPr>
          <w:rFonts w:ascii="Times New Roman" w:cs="Times New Roman" w:eastAsia="Times New Roman" w:hAnsi="Times New Roman"/>
          <w:sz w:val="16"/>
          <w:szCs w:val="16"/>
          <w:color w:val="auto"/>
        </w:rPr>
        <w:t>We recognize revenue when a customer obtains control of promised goods. The amount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revenue recognized reflects the consideration we expect to receive in exchange for these goods. Our revenue recognition policies have not changed from those disclosed in Note 1 to our consolidated financial statements in Item 8 of the 2025 Annual Report on Form 10-K.</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Disaggregation of Revenue</w:t>
      </w:r>
    </w:p>
    <w:p>
      <w:pPr>
        <w:spacing w:after="0" w:line="17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Our revenue is disaggregated based on product category, platform and geographic region. In addition to the change in segments, beginning in the first quarter of 2026, we adjusted our product categories and platforms to better reflect the clinical uses of our products. As a result of these changes, our revenue categories have been recast for the historical periods presented.</w:t>
      </w:r>
    </w:p>
    <w:p>
      <w:pPr>
        <w:spacing w:after="0" w:line="12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We design, develop, manufacture and market medical products for interventional, diagnostic and therapeutic procedures. For financial reporting purposes, we report our operations as a single operating segment with two product categories: foundational and therapeutic. Foundational products are used primarily for access and enabling functions in vascular and other procedures, and include product platforms such as access devices, procedural solutions, original equipment manufacturer (“OEM”) products, and vascular intervention. Therapeutic products are devices and systems used to treat a broad array of diseases, and include product platforms such as cardiac therapies, oncology, renal therapies, vascular intervention, OEM products and endoscopy.</w:t>
      </w:r>
    </w:p>
    <w:p>
      <w:pPr>
        <w:spacing w:after="0" w:line="141"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following table presents revenue from contracts with customers by product category and platform for the three and nine-month periods ended September 30, 2026 and 2025 (in thousands):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4"/>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4"/>
          </w:tcPr>
          <w:p>
            <w:pPr>
              <w:jc w:val="center"/>
              <w:ind w:left="436"/>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left="39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360" w:type="dxa"/>
            <w:vAlign w:val="bottom"/>
          </w:tcPr>
          <w:p>
            <w:pPr>
              <w:ind w:left="328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15"/>
                <w:szCs w:val="15"/>
                <w:color w:val="auto"/>
              </w:rPr>
            </w:pPr>
          </w:p>
        </w:tc>
        <w:tc>
          <w:tcPr>
            <w:tcW w:w="440" w:type="dxa"/>
            <w:vAlign w:val="bottom"/>
            <w:gridSpan w:val="2"/>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436"/>
              <w:spacing w:after="0"/>
              <w:rPr>
                <w:sz w:val="20"/>
                <w:szCs w:val="20"/>
                <w:color w:val="auto"/>
              </w:rPr>
            </w:pPr>
            <w:r>
              <w:rPr>
                <w:rFonts w:ascii="Times New Roman" w:cs="Times New Roman" w:eastAsia="Times New Roman" w:hAnsi="Times New Roman"/>
                <w:sz w:val="11"/>
                <w:szCs w:val="11"/>
                <w:b w:val="1"/>
                <w:bCs w:val="1"/>
                <w:color w:val="auto"/>
              </w:rPr>
              <w:t>2026</w:t>
            </w:r>
          </w:p>
        </w:tc>
        <w:tc>
          <w:tcPr>
            <w:tcW w:w="620" w:type="dxa"/>
            <w:vAlign w:val="bottom"/>
            <w:gridSpan w:val="3"/>
          </w:tcPr>
          <w:p>
            <w:pPr>
              <w:jc w:val="center"/>
              <w:ind w:right="45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6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Foundational</w:t>
            </w: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Access</w:t>
            </w:r>
          </w:p>
        </w:tc>
        <w:tc>
          <w:tcPr>
            <w:tcW w:w="760" w:type="dxa"/>
            <w:vAlign w:val="bottom"/>
            <w:gridSpan w:val="2"/>
          </w:tcPr>
          <w:p>
            <w:pPr>
              <w:jc w:val="right"/>
              <w:ind w:right="626"/>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w w:val="99"/>
              </w:rPr>
              <w:t>157,922</w:t>
            </w:r>
          </w:p>
        </w:tc>
        <w:tc>
          <w:tcPr>
            <w:tcW w:w="140" w:type="dxa"/>
            <w:vAlign w:val="bottom"/>
          </w:tcPr>
          <w:p>
            <w:pPr>
              <w:spacing w:after="0"/>
              <w:rPr>
                <w:sz w:val="11"/>
                <w:szCs w:val="11"/>
                <w:color w:val="auto"/>
              </w:rPr>
            </w:pPr>
          </w:p>
        </w:tc>
        <w:tc>
          <w:tcPr>
            <w:tcW w:w="840" w:type="dxa"/>
            <w:vAlign w:val="bottom"/>
            <w:gridSpan w:val="2"/>
          </w:tcPr>
          <w:p>
            <w:pPr>
              <w:jc w:val="right"/>
              <w:ind w:right="706"/>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151,508</w:t>
            </w:r>
          </w:p>
        </w:tc>
        <w:tc>
          <w:tcPr>
            <w:tcW w:w="440" w:type="dxa"/>
            <w:vAlign w:val="bottom"/>
            <w:gridSpan w:val="2"/>
          </w:tcPr>
          <w:p>
            <w:pPr>
              <w:jc w:val="right"/>
              <w:ind w:right="166"/>
              <w:spacing w:after="0" w:line="134"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470,832</w:t>
            </w:r>
          </w:p>
        </w:tc>
        <w:tc>
          <w:tcPr>
            <w:tcW w:w="620" w:type="dxa"/>
            <w:vAlign w:val="bottom"/>
            <w:gridSpan w:val="3"/>
          </w:tcPr>
          <w:p>
            <w:pPr>
              <w:jc w:val="right"/>
              <w:ind w:right="373"/>
              <w:spacing w:after="0" w:line="13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438,028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OEM</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46,278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41,499</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134,156</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128,140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Procedural Solutions</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27,162</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32,287</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81,599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92,597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Vascular Intervention</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42,367</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35,391</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123,057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103,195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2,006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221</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2,531</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1,710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Total Foundational</w:t>
            </w: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w w:val="99"/>
              </w:rPr>
              <w:t>275,735</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260,906</w:t>
            </w: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812,175</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763,670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33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Therapeutic</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Cardiac Therapies</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27,547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25,530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83,461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69,019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Endoscopy</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23,428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17,631</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68,767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52,582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OEM</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13,089</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9,953</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33,365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30,830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Oncology</w:t>
            </w: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27,085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23,263</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76,367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69,257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Renal Therapies</w:t>
            </w: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13,550</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13,808</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37,775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40,014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Vascular Intervention</w:t>
            </w:r>
          </w:p>
        </w:tc>
        <w:tc>
          <w:tcPr>
            <w:tcW w:w="2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35,810</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33,066</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105,054</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96,598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60" w:type="dxa"/>
            <w:vAlign w:val="bottom"/>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Total Therapeutic</w:t>
            </w: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w w:val="99"/>
              </w:rPr>
              <w:t>140,509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123,251</w:t>
            </w: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404,789</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358,300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38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0"/>
                <w:szCs w:val="10"/>
                <w:color w:val="auto"/>
              </w:rPr>
            </w:pPr>
          </w:p>
        </w:tc>
        <w:tc>
          <w:tcPr>
            <w:tcW w:w="740" w:type="dxa"/>
            <w:vAlign w:val="bottom"/>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w w:val="99"/>
              </w:rPr>
              <w:t>416,244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384,157</w:t>
            </w:r>
          </w:p>
        </w:tc>
        <w:tc>
          <w:tcPr>
            <w:tcW w:w="160" w:type="dxa"/>
            <w:vAlign w:val="bottom"/>
          </w:tcPr>
          <w:p>
            <w:pPr>
              <w:spacing w:after="0"/>
              <w:rPr>
                <w:sz w:val="10"/>
                <w:szCs w:val="10"/>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1,216,964</w:t>
            </w:r>
          </w:p>
        </w:tc>
        <w:tc>
          <w:tcPr>
            <w:tcW w:w="180" w:type="dxa"/>
            <w:vAlign w:val="bottom"/>
            <w:gridSpan w:val="2"/>
          </w:tcPr>
          <w:p>
            <w:pPr>
              <w:spacing w:after="0"/>
              <w:rPr>
                <w:sz w:val="10"/>
                <w:szCs w:val="10"/>
                <w:color w:val="auto"/>
              </w:rPr>
            </w:pPr>
          </w:p>
        </w:tc>
        <w:tc>
          <w:tcPr>
            <w:tcW w:w="440" w:type="dxa"/>
            <w:vAlign w:val="bottom"/>
          </w:tcPr>
          <w:p>
            <w:pPr>
              <w:jc w:val="right"/>
              <w:ind w:right="373"/>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line="126" w:lineRule="exact"/>
              <w:rPr>
                <w:sz w:val="20"/>
                <w:szCs w:val="20"/>
                <w:color w:val="auto"/>
              </w:rPr>
            </w:pPr>
            <w:r>
              <w:rPr>
                <w:rFonts w:ascii="Times New Roman" w:cs="Times New Roman" w:eastAsia="Times New Roman" w:hAnsi="Times New Roman"/>
                <w:sz w:val="13"/>
                <w:szCs w:val="13"/>
                <w:color w:val="auto"/>
              </w:rPr>
              <w:t>1,121,970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presents revenue from contracts with customers by geographic region for the three and nine-month periods ended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September 30, 2026 and 2025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60" w:type="dxa"/>
            <w:vAlign w:val="bottom"/>
            <w:gridSpan w:val="4"/>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jc w:val="center"/>
              <w:ind w:left="439"/>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780" w:type="dxa"/>
            <w:vAlign w:val="bottom"/>
          </w:tcPr>
          <w:p>
            <w:pPr>
              <w:spacing w:after="0"/>
              <w:rPr>
                <w:sz w:val="12"/>
                <w:szCs w:val="12"/>
                <w:color w:val="auto"/>
              </w:rPr>
            </w:pPr>
          </w:p>
        </w:tc>
      </w:tr>
      <w:tr>
        <w:trPr>
          <w:trHeight w:val="185"/>
        </w:trPr>
        <w:tc>
          <w:tcPr>
            <w:tcW w:w="3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399"/>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75"/>
        </w:trPr>
        <w:tc>
          <w:tcPr>
            <w:tcW w:w="3380" w:type="dxa"/>
            <w:vAlign w:val="bottom"/>
          </w:tcPr>
          <w:p>
            <w:pPr>
              <w:ind w:left="330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2026</w:t>
            </w:r>
          </w:p>
        </w:tc>
        <w:tc>
          <w:tcPr>
            <w:tcW w:w="48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Pr>
          <w:p>
            <w:pPr>
              <w:spacing w:after="0"/>
              <w:rPr>
                <w:sz w:val="15"/>
                <w:szCs w:val="15"/>
                <w:color w:val="auto"/>
              </w:rPr>
            </w:pPr>
          </w:p>
        </w:tc>
        <w:tc>
          <w:tcPr>
            <w:tcW w:w="440" w:type="dxa"/>
            <w:vAlign w:val="bottom"/>
            <w:gridSpan w:val="2"/>
          </w:tcPr>
          <w:p>
            <w:pPr>
              <w:jc w:val="right"/>
              <w:ind w:right="28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ind w:right="439"/>
              <w:spacing w:after="0"/>
              <w:rPr>
                <w:sz w:val="20"/>
                <w:szCs w:val="20"/>
                <w:color w:val="auto"/>
              </w:rPr>
            </w:pPr>
            <w:r>
              <w:rPr>
                <w:rFonts w:ascii="Times New Roman" w:cs="Times New Roman" w:eastAsia="Times New Roman" w:hAnsi="Times New Roman"/>
                <w:sz w:val="11"/>
                <w:szCs w:val="11"/>
                <w:b w:val="1"/>
                <w:bCs w:val="1"/>
                <w:color w:val="auto"/>
              </w:rPr>
              <w:t>2026</w:t>
            </w:r>
          </w:p>
        </w:tc>
        <w:tc>
          <w:tcPr>
            <w:tcW w:w="620" w:type="dxa"/>
            <w:vAlign w:val="bottom"/>
            <w:gridSpan w:val="2"/>
          </w:tcPr>
          <w:p>
            <w:pPr>
              <w:jc w:val="center"/>
              <w:ind w:right="42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26"/>
        </w:trPr>
        <w:tc>
          <w:tcPr>
            <w:tcW w:w="338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Domestic</w:t>
            </w: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w w:val="99"/>
              </w:rPr>
              <w:t>255,946</w:t>
            </w: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230,597</w:t>
            </w:r>
          </w:p>
        </w:tc>
        <w:tc>
          <w:tcPr>
            <w:tcW w:w="1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734,513</w:t>
            </w:r>
          </w:p>
        </w:tc>
        <w:tc>
          <w:tcPr>
            <w:tcW w:w="16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671,243</w:t>
            </w:r>
          </w:p>
        </w:tc>
      </w:tr>
      <w:tr>
        <w:trPr>
          <w:trHeight w:val="134"/>
        </w:trPr>
        <w:tc>
          <w:tcPr>
            <w:tcW w:w="3380" w:type="dxa"/>
            <w:vAlign w:val="bottom"/>
            <w:tcBorders>
              <w:bottom w:val="single" w:sz="8" w:color="CCEEFF"/>
            </w:tcBorders>
          </w:tcPr>
          <w:p>
            <w:pPr>
              <w:spacing w:after="0" w:line="134" w:lineRule="exact"/>
              <w:rPr>
                <w:sz w:val="20"/>
                <w:szCs w:val="20"/>
                <w:color w:val="auto"/>
              </w:rPr>
            </w:pPr>
            <w:r>
              <w:rPr>
                <w:rFonts w:ascii="Times New Roman" w:cs="Times New Roman" w:eastAsia="Times New Roman" w:hAnsi="Times New Roman"/>
                <w:sz w:val="13"/>
                <w:szCs w:val="13"/>
                <w:color w:val="auto"/>
              </w:rPr>
              <w:t>International</w:t>
            </w: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w w:val="99"/>
              </w:rPr>
              <w:t>160,298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153,560</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482,451</w:t>
            </w:r>
          </w:p>
        </w:tc>
        <w:tc>
          <w:tcPr>
            <w:tcW w:w="1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450,727</w:t>
            </w:r>
          </w:p>
        </w:tc>
      </w:tr>
      <w:tr>
        <w:trPr>
          <w:trHeight w:val="126"/>
        </w:trPr>
        <w:tc>
          <w:tcPr>
            <w:tcW w:w="3380" w:type="dxa"/>
            <w:vAlign w:val="bottom"/>
            <w:tcBorders>
              <w:bottom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Total</w:t>
            </w:r>
          </w:p>
        </w:tc>
        <w:tc>
          <w:tcPr>
            <w:tcW w:w="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6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w w:val="99"/>
              </w:rPr>
              <w:t>416,244</w:t>
            </w:r>
          </w:p>
        </w:tc>
        <w:tc>
          <w:tcPr>
            <w:tcW w:w="1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ind w:right="70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384,157</w:t>
            </w:r>
          </w:p>
        </w:tc>
        <w:tc>
          <w:tcPr>
            <w:tcW w:w="1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1,216,964</w:t>
            </w:r>
          </w:p>
        </w:tc>
        <w:tc>
          <w:tcPr>
            <w:tcW w:w="16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1,121,970</w:t>
            </w:r>
          </w:p>
        </w:tc>
      </w:tr>
      <w:tr>
        <w:trPr>
          <w:trHeight w:val="20"/>
        </w:trPr>
        <w:tc>
          <w:tcPr>
            <w:tcW w:w="3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right="6659" w:firstLine="2"/>
        <w:spacing w:after="0" w:line="470" w:lineRule="auto"/>
        <w:tabs>
          <w:tab w:leader="none" w:pos="284" w:val="left"/>
        </w:tabs>
        <w:numPr>
          <w:ilvl w:val="0"/>
          <w:numId w:val="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and Divestitures. Acquisitions</w:t>
      </w:r>
    </w:p>
    <w:p>
      <w:pPr>
        <w:spacing w:after="0" w:line="1"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6"/>
          <w:szCs w:val="16"/>
          <w:color w:val="auto"/>
        </w:rPr>
        <w:t>On April 1, 2026, Merit entered into an Agreement and Plan of Merger (the “View Point Agreement”) by and among Merit, View Point Medical, Inc., a Delaware corporation (“View Point”), VPM Merger Sub Inc, a Delaware corporation, and Fortis Advisors LLC, a Delaware limited liability company. Pursuant to the terms of the View Point Agreement, on April 1, 2026, VPM Merger Sub, Inc merged with and into View Point, with View Point continuing as the surviving corporation and a wholly-owned subsidiary of Merit (the “View Point Merger”). The purchase consideration consisted of an upfront payment of $90 million plus working capital and other adjustments of $2.8 million in cash, plus two deferred payments of $25 million each, due on the first and second anniversaries of the View Point Merger, respectively. Such deferred payments may be subject to acceleration based on the achievement of specified sales targets prior to the first and second anniversaries and were determined to have a total fair value of $47.2 million on the acquisition date, which is recorded within accrued expenses and other long-term obligations. View Point manufactures the OneMark® Detection Imaging System and OneMark Tissue Markers. We accounted for the View Point Merger as a business combination. Our net sales of View Point products since the date of the View Point Merger were $0.1 million for the three and nine-month periods ended September 30, 2026. It is not practical to separately report earnings related to the products acquired in connection with the View Point Merger, as we cannot split our administrative costs related solely to the View Point products, principally as a result of the integration of the acquired commercial and administrative infrastructure. Acquisition-related costs associated with the View Point Merger, which are included in selling, general and administrative expenses in the accompanying consolidated statements of income, were $5.7 million during the nine-month period ended September 30, 2026. The purchase price was preliminarily allocated as follows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2860" w:type="dxa"/>
            <w:vAlign w:val="bottom"/>
            <w:gridSpan w:val="2"/>
          </w:tcPr>
          <w:p>
            <w:pPr>
              <w:jc w:val="right"/>
              <w:ind w:right="1084"/>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60" w:type="dxa"/>
            <w:vAlign w:val="bottom"/>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receivables</w:t>
            </w: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Property and equipment</w:t>
            </w:r>
          </w:p>
        </w:tc>
        <w:tc>
          <w:tcPr>
            <w:tcW w:w="1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assets</w:t>
            </w: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1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Trademarks</w:t>
            </w: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196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assets acquired</w:t>
            </w: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157,854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6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Trade payables</w:t>
            </w:r>
          </w:p>
        </w:tc>
        <w:tc>
          <w:tcPr>
            <w:tcW w:w="1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w:t>
            </w: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96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assumed</w:t>
            </w:r>
          </w:p>
        </w:tc>
        <w:tc>
          <w:tcPr>
            <w:tcW w:w="1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 acquired, net of liabilities assumed</w:t>
            </w:r>
          </w:p>
        </w:tc>
        <w:tc>
          <w:tcPr>
            <w:tcW w:w="1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139,974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Cash acquired</w:t>
            </w:r>
          </w:p>
        </w:tc>
        <w:tc>
          <w:tcPr>
            <w:tcW w:w="19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price, net of cash acquired</w:t>
            </w:r>
          </w:p>
        </w:tc>
        <w:tc>
          <w:tcPr>
            <w:tcW w:w="19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137,250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are amortizing the View Point developed technology and trademark intangible assets over 12 years, with the estimated weighted average life of all intangible assets acquired in connection with the View Point Merger to be 12 years. The goodwill consists largely of the synergies expected from combining operations and View Point’s assembled workforce and is not expected to be deductible for tax purposes. The pro forma effects to our consolidated results of operations of the View Point Merger are not material in relation to reported sales.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On November 3, 2025, we entered into an Asset Purchase Agreement with Pentax of America, Inc., a subsidiary of PENTAX® Medical, Inc. (“Pentax”), pursuant to which we acquired the C2 CryoBalloon® device and related technology (the “C2 Acquisition”). The total purchase price consisted of a $19 million cash payment at closing and contingent payments of $3 million paid in 2026 upon meeting certain milestones relating to the operational transition of the acquired assets. We accounted for this transaction under the acquisition method of accounting as a business combination. Acquisition-related costs associated with the C2 Acquisition, which are included in selling, general and administrative expenses in the accompanying consolidated statements of income, were $0.4 million during the year ended December 31, 2025. The purchase price was allocated as follows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3560" w:type="dxa"/>
            <w:vAlign w:val="bottom"/>
            <w:gridSpan w:val="3"/>
          </w:tcPr>
          <w:p>
            <w:pPr>
              <w:jc w:val="right"/>
              <w:ind w:right="1124"/>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ind w:left="1380"/>
              <w:spacing w:after="0"/>
              <w:rPr>
                <w:sz w:val="20"/>
                <w:szCs w:val="20"/>
                <w:color w:val="auto"/>
              </w:rPr>
            </w:pPr>
            <w:r>
              <w:rPr>
                <w:rFonts w:ascii="Times New Roman" w:cs="Times New Roman" w:eastAsia="Times New Roman" w:hAnsi="Times New Roman"/>
                <w:sz w:val="16"/>
                <w:szCs w:val="16"/>
                <w:color w:val="auto"/>
              </w:rPr>
              <w:t>​</w:t>
            </w:r>
          </w:p>
        </w:tc>
      </w:tr>
      <w:tr>
        <w:trPr>
          <w:trHeight w:val="195"/>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Inventories</w:t>
            </w:r>
          </w:p>
        </w:tc>
        <w:tc>
          <w:tcPr>
            <w:tcW w:w="3560" w:type="dxa"/>
            <w:vAlign w:val="bottom"/>
            <w:gridSpan w:val="3"/>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40" w:type="dxa"/>
            <w:vAlign w:val="bottom"/>
          </w:tcPr>
          <w:p>
            <w:pPr>
              <w:spacing w:after="0"/>
              <w:rPr>
                <w:sz w:val="16"/>
                <w:szCs w:val="16"/>
                <w:color w:val="auto"/>
              </w:rPr>
            </w:pPr>
          </w:p>
        </w:tc>
      </w:tr>
      <w:tr>
        <w:trPr>
          <w:trHeight w:val="195"/>
        </w:trPr>
        <w:tc>
          <w:tcPr>
            <w:tcW w:w="39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Property and equipment</w:t>
            </w: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40" w:type="dxa"/>
            <w:vAlign w:val="bottom"/>
          </w:tcPr>
          <w:p>
            <w:pPr>
              <w:spacing w:after="0"/>
              <w:rPr>
                <w:sz w:val="16"/>
                <w:szCs w:val="16"/>
                <w:color w:val="auto"/>
              </w:rPr>
            </w:pPr>
          </w:p>
        </w:tc>
      </w:tr>
      <w:tr>
        <w:trPr>
          <w:trHeight w:val="207"/>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Intangible assets</w:t>
            </w:r>
          </w:p>
        </w:tc>
        <w:tc>
          <w:tcPr>
            <w:tcW w:w="2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Developed technology</w:t>
            </w: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40" w:type="dxa"/>
            <w:vAlign w:val="bottom"/>
          </w:tcPr>
          <w:p>
            <w:pPr>
              <w:spacing w:after="0"/>
              <w:rPr>
                <w:sz w:val="16"/>
                <w:szCs w:val="16"/>
                <w:color w:val="auto"/>
              </w:rPr>
            </w:pPr>
          </w:p>
        </w:tc>
      </w:tr>
      <w:tr>
        <w:trPr>
          <w:trHeight w:val="195"/>
        </w:trPr>
        <w:tc>
          <w:tcPr>
            <w:tcW w:w="3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Trademarks</w:t>
            </w:r>
          </w:p>
        </w:tc>
        <w:tc>
          <w:tcPr>
            <w:tcW w:w="2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40" w:type="dxa"/>
            <w:vAlign w:val="bottom"/>
          </w:tcPr>
          <w:p>
            <w:pPr>
              <w:spacing w:after="0"/>
              <w:rPr>
                <w:sz w:val="16"/>
                <w:szCs w:val="16"/>
                <w:color w:val="auto"/>
              </w:rPr>
            </w:pPr>
          </w:p>
        </w:tc>
      </w:tr>
      <w:tr>
        <w:trPr>
          <w:trHeight w:val="195"/>
        </w:trPr>
        <w:tc>
          <w:tcPr>
            <w:tcW w:w="3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Customer list</w:t>
            </w:r>
          </w:p>
        </w:tc>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40" w:type="dxa"/>
            <w:vAlign w:val="bottom"/>
          </w:tcPr>
          <w:p>
            <w:pPr>
              <w:spacing w:after="0"/>
              <w:rPr>
                <w:sz w:val="16"/>
                <w:szCs w:val="16"/>
                <w:color w:val="auto"/>
              </w:rPr>
            </w:pPr>
          </w:p>
        </w:tc>
      </w:tr>
      <w:tr>
        <w:trPr>
          <w:trHeight w:val="195"/>
        </w:trPr>
        <w:tc>
          <w:tcPr>
            <w:tcW w:w="3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40" w:type="dxa"/>
            <w:vAlign w:val="bottom"/>
          </w:tcPr>
          <w:p>
            <w:pPr>
              <w:spacing w:after="0"/>
              <w:rPr>
                <w:sz w:val="16"/>
                <w:szCs w:val="16"/>
                <w:color w:val="auto"/>
              </w:rPr>
            </w:pPr>
          </w:p>
        </w:tc>
      </w:tr>
      <w:tr>
        <w:trPr>
          <w:trHeight w:val="187"/>
        </w:trPr>
        <w:tc>
          <w:tcPr>
            <w:tcW w:w="3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net assets acquired</w:t>
            </w:r>
          </w:p>
        </w:tc>
        <w:tc>
          <w:tcPr>
            <w:tcW w:w="2620" w:type="dxa"/>
            <w:vAlign w:val="bottom"/>
            <w:gridSpan w:val="2"/>
          </w:tcPr>
          <w:p>
            <w:pPr>
              <w:spacing w:after="0"/>
              <w:rPr>
                <w:sz w:val="16"/>
                <w:szCs w:val="16"/>
                <w:color w:val="auto"/>
              </w:rPr>
            </w:pPr>
          </w:p>
        </w:tc>
        <w:tc>
          <w:tcPr>
            <w:tcW w:w="940" w:type="dxa"/>
            <w:vAlign w:val="bottom"/>
          </w:tcPr>
          <w:p>
            <w:pPr>
              <w:jc w:val="right"/>
              <w:ind w:right="8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21,876</w:t>
            </w:r>
          </w:p>
        </w:tc>
        <w:tc>
          <w:tcPr>
            <w:tcW w:w="40" w:type="dxa"/>
            <w:vAlign w:val="bottom"/>
          </w:tcPr>
          <w:p>
            <w:pPr>
              <w:spacing w:after="0"/>
              <w:rPr>
                <w:sz w:val="16"/>
                <w:szCs w:val="16"/>
                <w:color w:val="auto"/>
              </w:rPr>
            </w:pPr>
          </w:p>
        </w:tc>
      </w:tr>
      <w:tr>
        <w:trPr>
          <w:trHeight w:val="20"/>
        </w:trPr>
        <w:tc>
          <w:tcPr>
            <w:tcW w:w="39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are amortizing the C2 developed technology intangible assets over 12 years, the trademark intangible assets over 12 years, and the customer list intangible asset on an accelerated basis over 12 years. We have estimated the weighted average life of the intangible assets acquired from Pentax to be 12 years. The goodwill consists largely of the synergies expected from combining operations and is expected to be deductible for tax purposes. The pro forma effects to our consolidated results of operations of the C2 Acquisition are not material in relation to reported sales.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6"/>
          <w:szCs w:val="16"/>
          <w:color w:val="auto"/>
        </w:rPr>
        <w:t>On May 16, 2025, Merit entered into an Agreement and Plan of Merger (the “Biolife Agreement”) by and among, Merit, Biolife, L.L.C., a Florida limited liability company (“FL Biolife”), Biolife Transaction Sub, LLC, a Delaware limited liability company (“Biolife Merger Sub”), and Shareholder Representative Services LLC, a Colorado limited liability company. Promptly following the execution of the Biolife Agreement, FL Biolife converted from a Florida limited liability company to a Delaware limited liability company called Biolife Delaware, L.L.C. (“Biolife”). Pursuant to the terms of the Biolife Agreement, on May 20, 2025, Biolife Merger Sub merged with and into Biolife, with Biolife continuing as the surviving corporation and a wholly-owned subsidiary of Merit (the “Biolife Merger”). The purchase consideration consisted of an upfront payment of $120 million plus working capital and other adjustments of $7.2 million in cash. Biolife manufactures unique patented hemostatic devices under the brand names StatSeal and WoundSeal. We accounted for the Biolife Merger as a business combination. Acquisition-related costs associated with the Biolife Merger, which are included in selling, general and administrative expenses in the accompanying consolidated statements of income, were $1.9 million during the year ended December 31, 2025. The purchase price was allocated as follows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Assets Acquired</w:t>
            </w:r>
          </w:p>
        </w:tc>
        <w:tc>
          <w:tcPr>
            <w:tcW w:w="2820" w:type="dxa"/>
            <w:vAlign w:val="bottom"/>
            <w:gridSpan w:val="2"/>
          </w:tcPr>
          <w:p>
            <w:pPr>
              <w:jc w:val="right"/>
              <w:ind w:right="1084"/>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ind w:left="14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20" w:type="dxa"/>
            <w:vAlign w:val="bottom"/>
            <w:gridSpan w:val="2"/>
            <w:shd w:val="clear" w:color="auto" w:fill="CCEEFF"/>
          </w:tcPr>
          <w:p>
            <w:pPr>
              <w:jc w:val="right"/>
              <w:ind w:right="784"/>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Trade receivables</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Inventories</w:t>
            </w:r>
          </w:p>
        </w:tc>
        <w:tc>
          <w:tcPr>
            <w:tcW w:w="1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Income tax refund receivables</w:t>
            </w:r>
          </w:p>
        </w:tc>
        <w:tc>
          <w:tcPr>
            <w:tcW w:w="1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and equipment</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Intangible assets</w:t>
            </w:r>
          </w:p>
        </w:tc>
        <w:tc>
          <w:tcPr>
            <w:tcW w:w="1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Developed technology</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Trademarks</w:t>
            </w:r>
          </w:p>
        </w:tc>
        <w:tc>
          <w:tcPr>
            <w:tcW w:w="1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Customer list</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19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assets acquired</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Assumed</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Trade payables</w:t>
            </w:r>
          </w:p>
        </w:tc>
        <w:tc>
          <w:tcPr>
            <w:tcW w:w="1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Accrued expenses</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1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Liabilities related to unrecognized tax benefits</w:t>
            </w:r>
          </w:p>
        </w:tc>
        <w:tc>
          <w:tcPr>
            <w:tcW w:w="1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19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liabilities assumed</w:t>
            </w:r>
          </w:p>
        </w:tc>
        <w:tc>
          <w:tcPr>
            <w:tcW w:w="19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 acquired, net of liabilities assumed</w:t>
            </w:r>
          </w:p>
        </w:tc>
        <w:tc>
          <w:tcPr>
            <w:tcW w:w="19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127,231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Less: Cash acquired</w:t>
            </w:r>
          </w:p>
        </w:tc>
        <w:tc>
          <w:tcPr>
            <w:tcW w:w="19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Purchase price, net of cash acquired</w:t>
            </w:r>
          </w:p>
        </w:tc>
        <w:tc>
          <w:tcPr>
            <w:tcW w:w="19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119,851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are amortizing the Biolife developed technology intangible assets over 12 years, the trademark intangible assets over 12 years, and the customer list intangible asset on an accelerated basis over 12 years. We have estimated the weighted average life of the intangible assets acquired in connection with the Biolife Merger to be 12 years. The goodwill consists largely of the synergies expected from combining operations and is not expected to be deductible for tax purposes. The pro forma effects to our consolidated results of operations of the Biolife Merger are not material in relation to reported sales.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Divestitures</w:t>
      </w:r>
    </w:p>
    <w:p>
      <w:pPr>
        <w:spacing w:after="0" w:line="18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On January 31, 2026, Merit and Health Line International Corporation (“Health Line”) entered into an Asset Purchase Agreement (the “Health Line Purchase Agreement”), pursuant to which Merit agreed to sell certain assets relating to the DualCap® product line to Health Line for a purchase price of $28 million (the “Purchase Price” and such transaction, the “Health Line Transaction”), resulting in a pre-tax book gain of $12.5 million. Merit and Health Line closed the Health Line Transaction on February 17, 2026. Pursuant to the terms of the Health Line Purchase Agreement, at the closing, Health Line (i) paid Merit $25.5 million of the Purchase Price and (ii) held back the remaining $2.5 million of the Purchase Price for a period of 18 months following closing as security (with a right of offset) for breaches of Merit’s representations and warranties and certain other obligations under the Health Line Purchase Agreement.</w:t>
      </w:r>
    </w:p>
    <w:p>
      <w:pPr>
        <w:spacing w:after="0" w:line="12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In order to facilitate the transition of the DualCap® business from Merit to Health Line, at the closing of the Health Line Transaction, Merit and Health Line entered into, among other agreements, a contract manufacturing agreement and a transition and distribution services agreement, pursuant to which Merit is obligated to perform certain manufacturing, transition and distribution services to Health Line for a period of up to 24 months after the closing.</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table summarizes the major classes of assets sold on the date of the sale:</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5"/>
                <w:szCs w:val="15"/>
                <w:color w:val="auto"/>
              </w:rPr>
            </w:pPr>
          </w:p>
        </w:tc>
        <w:tc>
          <w:tcPr>
            <w:tcW w:w="5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580" w:type="dxa"/>
            <w:vAlign w:val="bottom"/>
            <w:gridSpan w:val="3"/>
            <w:shd w:val="clear" w:color="auto" w:fill="CCEEFF"/>
          </w:tcPr>
          <w:p>
            <w:pPr>
              <w:jc w:val="right"/>
              <w:ind w:right="824"/>
              <w:spacing w:after="0"/>
              <w:rPr>
                <w:sz w:val="20"/>
                <w:szCs w:val="20"/>
                <w:color w:val="auto"/>
              </w:rPr>
            </w:pPr>
            <w:r>
              <w:rPr>
                <w:rFonts w:ascii="Times New Roman" w:cs="Times New Roman" w:eastAsia="Times New Roman" w:hAnsi="Times New Roman"/>
                <w:sz w:val="16"/>
                <w:szCs w:val="16"/>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Developed technology</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Trademarks</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Patents</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0" w:type="dxa"/>
            <w:vAlign w:val="bottom"/>
          </w:tcPr>
          <w:p>
            <w:pPr>
              <w:spacing w:after="0"/>
              <w:rPr>
                <w:sz w:val="1"/>
                <w:szCs w:val="1"/>
                <w:color w:val="auto"/>
              </w:rPr>
            </w:pPr>
          </w:p>
        </w:tc>
      </w:tr>
      <w:tr>
        <w:trPr>
          <w:trHeight w:val="187"/>
        </w:trPr>
        <w:tc>
          <w:tcPr>
            <w:tcW w:w="5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40" w:type="dxa"/>
            <w:vAlign w:val="bottom"/>
            <w:gridSpan w:val="2"/>
          </w:tcPr>
          <w:p>
            <w:pPr>
              <w:spacing w:after="0"/>
              <w:rPr>
                <w:sz w:val="16"/>
                <w:szCs w:val="16"/>
                <w:color w:val="auto"/>
              </w:rPr>
            </w:pPr>
          </w:p>
        </w:tc>
        <w:tc>
          <w:tcPr>
            <w:tcW w:w="940" w:type="dxa"/>
            <w:vAlign w:val="bottom"/>
          </w:tcPr>
          <w:p>
            <w:pPr>
              <w:jc w:val="right"/>
              <w:ind w:right="8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280" w:hanging="238"/>
        <w:spacing w:after="0"/>
        <w:tabs>
          <w:tab w:leader="none" w:pos="28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Inventories. </w:t>
      </w:r>
      <w:r>
        <w:rPr>
          <w:rFonts w:ascii="Times New Roman" w:cs="Times New Roman" w:eastAsia="Times New Roman" w:hAnsi="Times New Roman"/>
          <w:sz w:val="16"/>
          <w:szCs w:val="16"/>
          <w:color w:val="auto"/>
        </w:rPr>
        <w:t>Inventories at September 30, 2026 and December 31, 2025 consisted of the following (in thousands):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840" w:type="dxa"/>
            <w:vAlign w:val="bottom"/>
          </w:tcPr>
          <w:p>
            <w:pPr>
              <w:ind w:left="56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3"/>
                <w:szCs w:val="13"/>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380" w:type="dxa"/>
            <w:vAlign w:val="bottom"/>
            <w:gridSpan w:val="3"/>
          </w:tcPr>
          <w:p>
            <w:pPr>
              <w:jc w:val="right"/>
              <w:ind w:right="144"/>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December 31, 2025</w:t>
            </w:r>
          </w:p>
        </w:tc>
      </w:tr>
      <w:tr>
        <w:trPr>
          <w:trHeight w:val="187"/>
        </w:trPr>
        <w:tc>
          <w:tcPr>
            <w:tcW w:w="5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216,223</w:t>
            </w:r>
          </w:p>
        </w:tc>
        <w:tc>
          <w:tcPr>
            <w:tcW w:w="260" w:type="dxa"/>
            <w:vAlign w:val="bottom"/>
            <w:tcBorders>
              <w:top w:val="single" w:sz="8" w:color="CCEEFF"/>
            </w:tcBorders>
            <w:gridSpan w:val="2"/>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190,616</w:t>
            </w:r>
          </w:p>
        </w:tc>
      </w:tr>
      <w:tr>
        <w:trPr>
          <w:trHeight w:val="195"/>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Work-in-process</w:t>
            </w:r>
          </w:p>
        </w:tc>
        <w:tc>
          <w:tcPr>
            <w:tcW w:w="12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44,362</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32,391</w:t>
            </w:r>
          </w:p>
        </w:tc>
      </w:tr>
      <w:tr>
        <w:trPr>
          <w:trHeight w:val="195"/>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12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130,437</w:t>
            </w:r>
          </w:p>
        </w:tc>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110,698</w:t>
            </w:r>
          </w:p>
        </w:tc>
      </w:tr>
      <w:tr>
        <w:trPr>
          <w:trHeight w:val="187"/>
        </w:trPr>
        <w:tc>
          <w:tcPr>
            <w:tcW w:w="5840" w:type="dxa"/>
            <w:vAlign w:val="bottom"/>
          </w:tcPr>
          <w:p>
            <w:pPr>
              <w:spacing w:after="0"/>
              <w:rPr>
                <w:sz w:val="20"/>
                <w:szCs w:val="20"/>
                <w:color w:val="auto"/>
              </w:rPr>
            </w:pPr>
            <w:r>
              <w:rPr>
                <w:rFonts w:ascii="Times New Roman" w:cs="Times New Roman" w:eastAsia="Times New Roman" w:hAnsi="Times New Roman"/>
                <w:sz w:val="16"/>
                <w:szCs w:val="16"/>
                <w:color w:val="auto"/>
              </w:rPr>
              <w:t>Total inventories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391,022</w:t>
            </w:r>
          </w:p>
        </w:tc>
        <w:tc>
          <w:tcPr>
            <w:tcW w:w="260" w:type="dxa"/>
            <w:vAlign w:val="bottom"/>
            <w:gridSpan w:val="2"/>
          </w:tcPr>
          <w:p>
            <w:pPr>
              <w:spacing w:after="0"/>
              <w:rPr>
                <w:sz w:val="16"/>
                <w:szCs w:val="16"/>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333,705</w:t>
            </w:r>
          </w:p>
        </w:tc>
      </w:tr>
      <w:tr>
        <w:trPr>
          <w:trHeight w:val="20"/>
        </w:trPr>
        <w:tc>
          <w:tcPr>
            <w:tcW w:w="58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40" w:right="1279" w:firstLine="2"/>
        <w:spacing w:after="0" w:line="292" w:lineRule="auto"/>
        <w:tabs>
          <w:tab w:leader="none" w:pos="284"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Goodwill and Intangible Assets. </w:t>
      </w:r>
      <w:r>
        <w:rPr>
          <w:rFonts w:ascii="Times New Roman" w:cs="Times New Roman" w:eastAsia="Times New Roman" w:hAnsi="Times New Roman"/>
          <w:sz w:val="16"/>
          <w:szCs w:val="16"/>
          <w:color w:val="auto"/>
        </w:rPr>
        <w:t>The change in the carrying amount of goodwill for the nine-month period ended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September 30, 2026 is detailed as follows (in thousands):</w:t>
      </w:r>
    </w:p>
    <w:p>
      <w:pPr>
        <w:sectPr>
          <w:pgSz w:w="11900" w:h="16838" w:orient="portrait"/>
          <w:cols w:equalWidth="0" w:num="1">
            <w:col w:w="9019"/>
          </w:cols>
          <w:pgMar w:left="1440" w:top="477" w:right="1440" w:bottom="1440" w:gutter="0" w:footer="0" w:header="0"/>
        </w:sectPr>
      </w:pP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Goodwill balance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-113665</wp:posOffset>
            </wp:positionV>
            <wp:extent cx="5659120" cy="1314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9120" cy="13144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Effect of foreign exchange</w:t>
      </w:r>
    </w:p>
    <w:p>
      <w:pPr>
        <w:spacing w:after="0" w:line="11" w:lineRule="exact"/>
        <w:rPr>
          <w:sz w:val="20"/>
          <w:szCs w:val="20"/>
          <w:color w:val="auto"/>
        </w:rPr>
      </w:pPr>
    </w:p>
    <w:p>
      <w:pPr>
        <w:ind w:left="40" w:right="2120"/>
        <w:spacing w:after="0" w:line="260" w:lineRule="auto"/>
        <w:rPr>
          <w:sz w:val="20"/>
          <w:szCs w:val="20"/>
          <w:color w:val="auto"/>
        </w:rPr>
      </w:pPr>
      <w:r>
        <w:rPr>
          <w:rFonts w:ascii="Times New Roman" w:cs="Times New Roman" w:eastAsia="Times New Roman" w:hAnsi="Times New Roman"/>
          <w:sz w:val="16"/>
          <w:szCs w:val="16"/>
          <w:color w:val="auto"/>
        </w:rPr>
        <w:t>Additions and adjustments as the result of acquisitions Disposals as the result of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-252095</wp:posOffset>
            </wp:positionV>
            <wp:extent cx="5659120" cy="1238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9120" cy="12382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wp:posOffset>
            </wp:positionV>
            <wp:extent cx="565912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9120" cy="13906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6"/>
          <w:szCs w:val="16"/>
          <w:color w:val="auto"/>
        </w:rPr>
        <w:t>Goodwill balance at September 30</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3"/>
          <w:szCs w:val="13"/>
          <w:b w:val="1"/>
          <w:bCs w:val="1"/>
          <w:color w:val="auto"/>
        </w:rPr>
        <w:t>Nine Months Ended September 30, 2026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top w:val="single" w:sz="8" w:color="auto"/>
            </w:tcBorders>
          </w:tcPr>
          <w:p>
            <w:pPr>
              <w:jc w:val="right"/>
              <w:ind w:right="85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506,837</w:t>
            </w:r>
          </w:p>
        </w:tc>
      </w:tr>
      <w:tr>
        <w:trPr>
          <w:trHeight w:val="195"/>
        </w:trPr>
        <w:tc>
          <w:tcPr>
            <w:tcW w:w="10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195"/>
        </w:trPr>
        <w:tc>
          <w:tcPr>
            <w:tcW w:w="10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33,880</w:t>
            </w:r>
          </w:p>
        </w:tc>
      </w:tr>
      <w:tr>
        <w:trPr>
          <w:trHeight w:val="211"/>
        </w:trPr>
        <w:tc>
          <w:tcPr>
            <w:tcW w:w="10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(2,928)</w:t>
            </w:r>
          </w:p>
        </w:tc>
      </w:tr>
      <w:tr>
        <w:trPr>
          <w:trHeight w:val="188"/>
        </w:trPr>
        <w:tc>
          <w:tcPr>
            <w:tcW w:w="102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537,135</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2">
            <w:col w:w="5720" w:space="720"/>
            <w:col w:w="2579"/>
          </w:cols>
          <w:pgMar w:left="1440" w:top="477" w:right="1440" w:bottom="1440" w:gutter="0" w:footer="0" w:header="0"/>
          <w:type w:val="continuous"/>
        </w:sectPr>
      </w:pPr>
    </w:p>
    <w:p>
      <w:pPr>
        <w:ind w:left="40" w:right="59"/>
        <w:spacing w:after="0" w:line="289" w:lineRule="auto"/>
        <w:rPr>
          <w:sz w:val="20"/>
          <w:szCs w:val="20"/>
          <w:color w:val="auto"/>
        </w:rPr>
      </w:pPr>
      <w:r>
        <w:rPr>
          <w:rFonts w:ascii="Times New Roman" w:cs="Times New Roman" w:eastAsia="Times New Roman" w:hAnsi="Times New Roman"/>
          <w:sz w:val="16"/>
          <w:szCs w:val="16"/>
          <w:color w:val="auto"/>
        </w:rPr>
        <w:t>Total accumulated goodwill impairment losses aggregated to $8.3 million as of September 30, 2026 and December 31, 2025. We did not have any goodwill impairments for the nine-month periods ended September 30, 2026 or 2025.</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Other intangible assets at September 30, 2026 and December 31, 2025 consisted of the following (in thousands):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55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w w:val="99"/>
              </w:rPr>
              <w:t>September 30, 2026</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5560" w:type="dxa"/>
            <w:vAlign w:val="bottom"/>
            <w:vMerge w:val="restart"/>
          </w:tcPr>
          <w:p>
            <w:pPr>
              <w:ind w:left="54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Gross Carrying</w:t>
            </w:r>
          </w:p>
        </w:tc>
        <w:tc>
          <w:tcPr>
            <w:tcW w:w="3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center"/>
              <w:ind w:right="23"/>
              <w:spacing w:after="0" w:line="105" w:lineRule="exact"/>
              <w:rPr>
                <w:sz w:val="20"/>
                <w:szCs w:val="20"/>
                <w:color w:val="auto"/>
              </w:rPr>
            </w:pPr>
            <w:r>
              <w:rPr>
                <w:rFonts w:ascii="Times New Roman" w:cs="Times New Roman" w:eastAsia="Times New Roman" w:hAnsi="Times New Roman"/>
                <w:sz w:val="12"/>
                <w:szCs w:val="12"/>
                <w:b w:val="1"/>
                <w:bCs w:val="1"/>
                <w:color w:val="auto"/>
              </w:rPr>
              <w:t>Net Carrying</w:t>
            </w:r>
          </w:p>
        </w:tc>
        <w:tc>
          <w:tcPr>
            <w:tcW w:w="0" w:type="dxa"/>
            <w:vAlign w:val="bottom"/>
          </w:tcPr>
          <w:p>
            <w:pPr>
              <w:spacing w:after="0"/>
              <w:rPr>
                <w:sz w:val="1"/>
                <w:szCs w:val="1"/>
                <w:color w:val="auto"/>
              </w:rPr>
            </w:pPr>
          </w:p>
        </w:tc>
      </w:tr>
      <w:tr>
        <w:trPr>
          <w:trHeight w:val="156"/>
        </w:trPr>
        <w:tc>
          <w:tcPr>
            <w:tcW w:w="5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gridSpan w:val="2"/>
            <w:vMerge w:val="continue"/>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260" w:type="dxa"/>
            <w:vAlign w:val="bottom"/>
            <w:gridSpan w:val="2"/>
            <w:vMerge w:val="continue"/>
          </w:tcPr>
          <w:p>
            <w:pPr>
              <w:spacing w:after="0"/>
              <w:rPr>
                <w:sz w:val="13"/>
                <w:szCs w:val="13"/>
                <w:color w:val="auto"/>
              </w:rPr>
            </w:pPr>
          </w:p>
        </w:tc>
        <w:tc>
          <w:tcPr>
            <w:tcW w:w="8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87"/>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35,179</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(15,886)</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19,293</w:t>
            </w:r>
          </w:p>
        </w:tc>
        <w:tc>
          <w:tcPr>
            <w:tcW w:w="0" w:type="dxa"/>
            <w:vAlign w:val="bottom"/>
          </w:tcPr>
          <w:p>
            <w:pPr>
              <w:spacing w:after="0"/>
              <w:rPr>
                <w:sz w:val="1"/>
                <w:szCs w:val="1"/>
                <w:color w:val="auto"/>
              </w:rPr>
            </w:pPr>
          </w:p>
        </w:tc>
      </w:tr>
      <w:tr>
        <w:trPr>
          <w:trHeight w:val="195"/>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 agreements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(3,125)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19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agreements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(11,088)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3,025</w:t>
            </w:r>
          </w:p>
        </w:tc>
        <w:tc>
          <w:tcPr>
            <w:tcW w:w="0" w:type="dxa"/>
            <w:vAlign w:val="bottom"/>
          </w:tcPr>
          <w:p>
            <w:pPr>
              <w:spacing w:after="0"/>
              <w:rPr>
                <w:sz w:val="1"/>
                <w:szCs w:val="1"/>
                <w:color w:val="auto"/>
              </w:rPr>
            </w:pPr>
          </w:p>
        </w:tc>
      </w:tr>
      <w:tr>
        <w:trPr>
          <w:trHeight w:val="195"/>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Trademarks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53,943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(28,747)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25,196</w:t>
            </w:r>
          </w:p>
        </w:tc>
        <w:tc>
          <w:tcPr>
            <w:tcW w:w="0" w:type="dxa"/>
            <w:vAlign w:val="bottom"/>
          </w:tcPr>
          <w:p>
            <w:pPr>
              <w:spacing w:after="0"/>
              <w:rPr>
                <w:sz w:val="1"/>
                <w:szCs w:val="1"/>
                <w:color w:val="auto"/>
              </w:rPr>
            </w:pPr>
          </w:p>
        </w:tc>
      </w:tr>
      <w:tr>
        <w:trPr>
          <w:trHeight w:val="19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lists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63,025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(42,078)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20,947</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169,510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68,586</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ind w:left="95"/>
              <w:spacing w:after="0"/>
              <w:rPr>
                <w:sz w:val="20"/>
                <w:szCs w:val="20"/>
                <w:color w:val="auto"/>
              </w:rPr>
            </w:pPr>
            <w:r>
              <w:rPr>
                <w:rFonts w:ascii="Times New Roman" w:cs="Times New Roman" w:eastAsia="Times New Roman" w:hAnsi="Times New Roman"/>
                <w:sz w:val="13"/>
                <w:szCs w:val="13"/>
                <w:b w:val="1"/>
                <w:bCs w:val="1"/>
                <w:color w:val="auto"/>
                <w:w w:val="98"/>
              </w:rPr>
              <w:t>December 31, 2025</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5560" w:type="dxa"/>
            <w:vAlign w:val="bottom"/>
            <w:vMerge w:val="restart"/>
          </w:tcPr>
          <w:p>
            <w:pPr>
              <w:ind w:left="54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Gross Carrying</w:t>
            </w:r>
          </w:p>
        </w:tc>
        <w:tc>
          <w:tcPr>
            <w:tcW w:w="30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2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center"/>
              <w:ind w:right="23"/>
              <w:spacing w:after="0" w:line="105" w:lineRule="exact"/>
              <w:rPr>
                <w:sz w:val="20"/>
                <w:szCs w:val="20"/>
                <w:color w:val="auto"/>
              </w:rPr>
            </w:pPr>
            <w:r>
              <w:rPr>
                <w:rFonts w:ascii="Times New Roman" w:cs="Times New Roman" w:eastAsia="Times New Roman" w:hAnsi="Times New Roman"/>
                <w:sz w:val="12"/>
                <w:szCs w:val="12"/>
                <w:b w:val="1"/>
                <w:bCs w:val="1"/>
                <w:color w:val="auto"/>
              </w:rPr>
              <w:t>Net Carrying</w:t>
            </w:r>
          </w:p>
        </w:tc>
        <w:tc>
          <w:tcPr>
            <w:tcW w:w="0" w:type="dxa"/>
            <w:vAlign w:val="bottom"/>
          </w:tcPr>
          <w:p>
            <w:pPr>
              <w:spacing w:after="0"/>
              <w:rPr>
                <w:sz w:val="1"/>
                <w:szCs w:val="1"/>
                <w:color w:val="auto"/>
              </w:rPr>
            </w:pPr>
          </w:p>
        </w:tc>
      </w:tr>
      <w:tr>
        <w:trPr>
          <w:trHeight w:val="156"/>
        </w:trPr>
        <w:tc>
          <w:tcPr>
            <w:tcW w:w="5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00" w:type="dxa"/>
            <w:vAlign w:val="bottom"/>
            <w:gridSpan w:val="2"/>
            <w:vMerge w:val="continue"/>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260" w:type="dxa"/>
            <w:vAlign w:val="bottom"/>
            <w:gridSpan w:val="2"/>
            <w:vMerge w:val="continue"/>
          </w:tcPr>
          <w:p>
            <w:pPr>
              <w:spacing w:after="0"/>
              <w:rPr>
                <w:sz w:val="13"/>
                <w:szCs w:val="13"/>
                <w:color w:val="auto"/>
              </w:rPr>
            </w:pPr>
          </w:p>
        </w:tc>
        <w:tc>
          <w:tcPr>
            <w:tcW w:w="880" w:type="dxa"/>
            <w:vAlign w:val="bottom"/>
          </w:tcPr>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87"/>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33,979</w:t>
            </w: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(14,760)</w:t>
            </w: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19,219</w:t>
            </w:r>
          </w:p>
        </w:tc>
        <w:tc>
          <w:tcPr>
            <w:tcW w:w="0" w:type="dxa"/>
            <w:vAlign w:val="bottom"/>
          </w:tcPr>
          <w:p>
            <w:pPr>
              <w:spacing w:after="0"/>
              <w:rPr>
                <w:sz w:val="1"/>
                <w:szCs w:val="1"/>
                <w:color w:val="auto"/>
              </w:rPr>
            </w:pPr>
          </w:p>
        </w:tc>
      </w:tr>
      <w:tr>
        <w:trPr>
          <w:trHeight w:val="195"/>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 agreements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(3,069)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9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License agreements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(10,218)</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w:t>
            </w:r>
          </w:p>
        </w:tc>
        <w:tc>
          <w:tcPr>
            <w:tcW w:w="0" w:type="dxa"/>
            <w:vAlign w:val="bottom"/>
          </w:tcPr>
          <w:p>
            <w:pPr>
              <w:spacing w:after="0"/>
              <w:rPr>
                <w:sz w:val="1"/>
                <w:szCs w:val="1"/>
                <w:color w:val="auto"/>
              </w:rPr>
            </w:pPr>
          </w:p>
        </w:tc>
      </w:tr>
      <w:tr>
        <w:trPr>
          <w:trHeight w:val="195"/>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Trademarks</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52,556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(28,293)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24,263</w:t>
            </w:r>
          </w:p>
        </w:tc>
        <w:tc>
          <w:tcPr>
            <w:tcW w:w="0" w:type="dxa"/>
            <w:vAlign w:val="bottom"/>
          </w:tcPr>
          <w:p>
            <w:pPr>
              <w:spacing w:after="0"/>
              <w:rPr>
                <w:sz w:val="1"/>
                <w:szCs w:val="1"/>
                <w:color w:val="auto"/>
              </w:rPr>
            </w:pPr>
          </w:p>
        </w:tc>
      </w:tr>
      <w:tr>
        <w:trPr>
          <w:trHeight w:val="19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lists</w:t>
            </w: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63,775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(40,096)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23,679</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168,150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(96,436)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71,714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Aggregate amortization expense for developed technology and other intangible assets for the three and nine-month periods ended September 30, 2026 was $21.5 million and $63.4 million, respectively. Aggregate amortization expense for the three and nine-month periods ended September 30, 2025 was $21.8 million and $63.3 million, respectively.</w:t>
      </w:r>
    </w:p>
    <w:p>
      <w:pPr>
        <w:spacing w:after="0" w:line="12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We evaluate long-lived assets, including amortizing intangible assets, for impairment whenever events or changes in circumstances indicate that their carrying amounts may not be recoverable. We perform the impairment analysis at the asset group for which the lowest level of identifiable cash flows is largely independent of the cash flows of other assets and liabilities. If a triggering event is identified, we determine the fair value of our amortizing assets based on estimated future cash flows discounted back to their present value using a discount rate that reflects the risk profiles of the underlying activities. We did not identify indicators of impairment for our intangible assets based on our consideration of triggering events for the nine-month periods ended September 30, 2026 and 2025.</w:t>
      </w:r>
    </w:p>
    <w:p>
      <w:pPr>
        <w:spacing w:after="0" w:line="141"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Estimated amortization expense for developed technology and other intangible assets for the next five years consisted of the following as of September 30, 2026 (in thousands):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ending December 31,</w:t>
            </w:r>
          </w:p>
        </w:tc>
        <w:tc>
          <w:tcPr>
            <w:tcW w:w="3740" w:type="dxa"/>
            <w:vAlign w:val="bottom"/>
          </w:tcPr>
          <w:p>
            <w:pPr>
              <w:spacing w:after="0"/>
              <w:rPr>
                <w:sz w:val="13"/>
                <w:szCs w:val="13"/>
                <w:color w:val="auto"/>
              </w:rPr>
            </w:pPr>
          </w:p>
        </w:tc>
        <w:tc>
          <w:tcPr>
            <w:tcW w:w="280" w:type="dxa"/>
            <w:vAlign w:val="bottom"/>
            <w:gridSpan w:val="2"/>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w:t>
            </w:r>
          </w:p>
        </w:tc>
        <w:tc>
          <w:tcPr>
            <w:tcW w:w="198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Estimated Amortization Expense</w:t>
            </w:r>
          </w:p>
        </w:tc>
      </w:tr>
      <w:tr>
        <w:trPr>
          <w:trHeight w:val="187"/>
        </w:trPr>
        <w:tc>
          <w:tcPr>
            <w:tcW w:w="2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2026</w:t>
            </w:r>
          </w:p>
        </w:tc>
        <w:tc>
          <w:tcPr>
            <w:tcW w:w="3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22,544</w:t>
            </w:r>
          </w:p>
        </w:tc>
      </w:t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88,767</w:t>
            </w:r>
          </w:p>
        </w:tc>
      </w:tr>
      <w:tr>
        <w:trPr>
          <w:trHeight w:val="19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3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86,917</w:t>
            </w:r>
          </w:p>
        </w:tc>
      </w:tr>
      <w:tr>
        <w:trPr>
          <w:trHeight w:val="195"/>
        </w:trPr>
        <w:tc>
          <w:tcPr>
            <w:tcW w:w="292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77,162</w:t>
            </w:r>
          </w:p>
        </w:tc>
      </w:tr>
      <w:tr>
        <w:trPr>
          <w:trHeight w:val="19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3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65,332</w:t>
            </w:r>
          </w:p>
        </w:tc>
      </w:tr>
      <w:tr>
        <w:trPr>
          <w:trHeight w:val="792"/>
        </w:trPr>
        <w:tc>
          <w:tcPr>
            <w:tcW w:w="2920" w:type="dxa"/>
            <w:vAlign w:val="bottom"/>
          </w:tcPr>
          <w:p>
            <w:pPr>
              <w:spacing w:after="0"/>
              <w:rPr>
                <w:sz w:val="24"/>
                <w:szCs w:val="24"/>
                <w:color w:val="auto"/>
              </w:rPr>
            </w:pPr>
          </w:p>
        </w:tc>
        <w:tc>
          <w:tcPr>
            <w:tcW w:w="3740" w:type="dxa"/>
            <w:vAlign w:val="bottom"/>
          </w:tcPr>
          <w:p>
            <w:pPr>
              <w:jc w:val="right"/>
              <w:ind w:right="2039"/>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5"/>
        </w:trPr>
        <w:tc>
          <w:tcPr>
            <w:tcW w:w="29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77"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0" w:right="59" w:firstLine="2"/>
        <w:spacing w:after="0" w:line="263" w:lineRule="auto"/>
        <w:tabs>
          <w:tab w:leader="none" w:pos="320"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Income Taxes. </w:t>
      </w:r>
      <w:r>
        <w:rPr>
          <w:rFonts w:ascii="Times New Roman" w:cs="Times New Roman" w:eastAsia="Times New Roman" w:hAnsi="Times New Roman"/>
          <w:sz w:val="16"/>
          <w:szCs w:val="16"/>
          <w:color w:val="auto"/>
        </w:rPr>
        <w:t>On July 4, 2025, the U.S. enacted a budget reconciliation package (known as the “One Big Beautiful Bill Act”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“OBBBA”) which includes a broad range of tax provisions affecting businesses. The legislation has multiple effective dates, with certain provisions effective in 2025 and others implemented through 2027. We have included the estimated impacts of the bill in the consolidated financial statements for the nine-month periods ended September 30, 2026 and 2025. We will continue to evaluate the full impact of these legislative changes as additional guidance and results become available.</w:t>
      </w:r>
    </w:p>
    <w:p>
      <w:pPr>
        <w:spacing w:after="0" w:line="14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Our provision for income taxes for the three-month periods ended September 30, 2026 and 2025 was a tax expense of $13.5 million and $10.8 million, respectively, which resulted in an effective tax rate of 24.2% and 28.0%, respectively. Our provision for income taxes for the nine-month periods ended September 30, 2026 and 2025 was a tax expense of $38.5 million and $29.4 million, respectively, which resulted in an effective tax rate of 24.0% and 24.5%, respectively. The decrease in the effective income tax rate for the three and nine-month periods ended September 30, 2026, when compared to the prior-year periods, was primarily due to increased benefit from discrete items such as share-based compensation, and impacts from the enacted OBBBA tax law. The increase in income tax expense for the three and nine-month periods ended September 30, 2026, when compared to the prior-year periods, was primarily due to increased pre-tax book income. Our effective tax rate differs from the U.S. statutory rate primarily due to the impact of net controlled foreign corporation tested income and Subpart F inclusions, state income taxes, foreign taxes, other nondeductible permanent items and discrete items (such as share-based compensation).</w:t>
      </w:r>
    </w:p>
    <w:p>
      <w:pPr>
        <w:spacing w:after="0" w:line="131"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The Organization for Economic Cooperation and Development (“OECD”) Pillar Two global minimum tax rules, which generally provide for a minimum effective tax rate of 15%, are intended to apply for tax years beginning in 2024. On February 2, 2023, the OECD issued administrative guidance providing transition and safe harbor rules around the implementation of the Pillar Two global minimum tax, and on January 5, 2026, the OECD issued Side-by-Side guidance extending these safe harbor rules and exempting certain U.S. multinational enterprises from several top-up taxes under Pillar Two. The safe harbor transition period will apply to fiscal years beginning on or before December 31, 2027. We are closely monitoring developments and evaluating the impact these new rules are anticipated to have on our tax rate, including eligibility to qualify for these safe harbor rules. Based on year-to-date financial results and safe harbor rules, we currently do not anticipate the Pillar Two laws to have a material impact on our effective tax rate.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right="59" w:firstLine="2"/>
        <w:spacing w:after="0" w:line="292" w:lineRule="auto"/>
        <w:tabs>
          <w:tab w:leader="none" w:pos="366"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Debt. </w:t>
      </w:r>
      <w:r>
        <w:rPr>
          <w:rFonts w:ascii="Times New Roman" w:cs="Times New Roman" w:eastAsia="Times New Roman" w:hAnsi="Times New Roman"/>
          <w:sz w:val="16"/>
          <w:szCs w:val="16"/>
          <w:color w:val="auto"/>
        </w:rPr>
        <w:t>Principal balances outstanding under our long-term debt obligations as of September 30, 2026 and December 31, 2025</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consisted of the following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6340" w:type="dxa"/>
            <w:vAlign w:val="bottom"/>
          </w:tcPr>
          <w:p>
            <w:pPr>
              <w:ind w:left="624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December 31, 2025</w:t>
            </w:r>
          </w:p>
        </w:tc>
      </w:tr>
      <w:tr>
        <w:trPr>
          <w:trHeight w:val="187"/>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Convertible notes</w:t>
            </w:r>
          </w:p>
        </w:tc>
        <w:tc>
          <w:tcPr>
            <w:tcW w:w="360" w:type="dxa"/>
            <w:vAlign w:val="bottom"/>
            <w:tcBorders>
              <w:top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747,500</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747,500</w:t>
            </w:r>
          </w:p>
        </w:tc>
      </w:tr>
      <w:tr>
        <w:trPr>
          <w:trHeight w:val="195"/>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36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(10,096)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(13,462)</w:t>
            </w:r>
          </w:p>
        </w:tc>
      </w:tr>
      <w:tr>
        <w:trPr>
          <w:trHeight w:val="187"/>
        </w:trPr>
        <w:tc>
          <w:tcPr>
            <w:tcW w:w="6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737,404</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734,038</w:t>
            </w:r>
          </w:p>
        </w:tc>
      </w:tr>
      <w:tr>
        <w:trPr>
          <w:trHeight w:val="195"/>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Less current portion</w:t>
            </w:r>
          </w:p>
        </w:tc>
        <w:tc>
          <w:tcPr>
            <w:tcW w:w="36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7"/>
        </w:trPr>
        <w:tc>
          <w:tcPr>
            <w:tcW w:w="6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portion</w:t>
            </w: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737,404</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734,038</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Future minimum principal payments on our long-term debt, as of September 30, 2026, were as follows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7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Year Ending</w:t>
            </w:r>
          </w:p>
        </w:tc>
        <w:tc>
          <w:tcPr>
            <w:tcW w:w="32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Future Minimum</w:t>
            </w:r>
          </w:p>
        </w:tc>
        <w:tc>
          <w:tcPr>
            <w:tcW w:w="0" w:type="dxa"/>
            <w:vAlign w:val="bottom"/>
          </w:tcPr>
          <w:p>
            <w:pPr>
              <w:spacing w:after="0"/>
              <w:rPr>
                <w:sz w:val="1"/>
                <w:szCs w:val="1"/>
                <w:color w:val="auto"/>
              </w:rPr>
            </w:pPr>
          </w:p>
        </w:tc>
      </w:tr>
      <w:tr>
        <w:trPr>
          <w:trHeight w:val="156"/>
        </w:trPr>
        <w:tc>
          <w:tcPr>
            <w:tcW w:w="7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320" w:type="dxa"/>
            <w:vAlign w:val="bottom"/>
            <w:gridSpan w:val="2"/>
            <w:vMerge w:val="continue"/>
          </w:tcPr>
          <w:p>
            <w:pPr>
              <w:spacing w:after="0"/>
              <w:rPr>
                <w:sz w:val="13"/>
                <w:szCs w:val="13"/>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9"/>
              </w:rPr>
              <w:t>Principal Payments</w:t>
            </w:r>
          </w:p>
        </w:tc>
        <w:tc>
          <w:tcPr>
            <w:tcW w:w="0" w:type="dxa"/>
            <w:vAlign w:val="bottom"/>
          </w:tcPr>
          <w:p>
            <w:pPr>
              <w:spacing w:after="0"/>
              <w:rPr>
                <w:sz w:val="1"/>
                <w:szCs w:val="1"/>
                <w:color w:val="auto"/>
              </w:rPr>
            </w:pPr>
          </w:p>
        </w:tc>
      </w:tr>
      <w:tr>
        <w:trPr>
          <w:trHeight w:val="187"/>
        </w:trPr>
        <w:tc>
          <w:tcPr>
            <w:tcW w:w="7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Remaining 2026</w:t>
            </w: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7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2029</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747,500</w:t>
            </w:r>
          </w:p>
        </w:tc>
        <w:tc>
          <w:tcPr>
            <w:tcW w:w="0" w:type="dxa"/>
            <w:vAlign w:val="bottom"/>
          </w:tcPr>
          <w:p>
            <w:pPr>
              <w:spacing w:after="0"/>
              <w:rPr>
                <w:sz w:val="1"/>
                <w:szCs w:val="1"/>
                <w:color w:val="auto"/>
              </w:rPr>
            </w:pPr>
          </w:p>
        </w:tc>
      </w:tr>
      <w:tr>
        <w:trPr>
          <w:trHeight w:val="187"/>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future minimum principal payments</w:t>
            </w: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747,500</w:t>
            </w: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rPr>
              <w:t>Fourth Amended and Restated Credit Agreement</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7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On June 6, 2023, we entered into a Fourth Amended and Restated Credit Agreement (the "Fourth A&amp;R Credit Agreement"). The Fourth A&amp;R Credit Agreement is a syndicated loan agreement with Wells Fargo Bank, National Association and other parties. The Fourth A&amp;R Credit Agreement amended and restated in its entirety our previously outstanding Third Amended and Restated Credit Agreement and all amendments thereto. The Fourth A&amp;R Credit Agreement provides for a term loan of $150 million and a revolving credit commitment of up to an aggregate amount of $700 million, inclusive of sub-facilities for multicurrency borrowings, standby letters of credit and swingline loans. On June 6, 2028, all principal, interest and other amounts outstanding under the Fourth A&amp;R Credit Agreement are payable in full. At any time prior to the maturity date, we may repay any amounts owing under all term loans and revolving credit loans in whole or in part, without premium or penalty.</w:t>
      </w:r>
    </w:p>
    <w:p>
      <w:pPr>
        <w:spacing w:after="0" w:line="143"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6"/>
          <w:szCs w:val="16"/>
          <w:color w:val="auto"/>
        </w:rPr>
        <w:t>On December 5, 2023, we executed an amendment to the Fourth A&amp;R Credit Agreement (as amended, the "Amended Fourth A&amp;R Credit Agreement”) to facilitate the issuance of our Convertible Notes described below. Among other things, the amendment also updated the definition of the Applicable Margin used in determining the interest rates and amended the financial covenants, all as described below.</w:t>
      </w:r>
    </w:p>
    <w:p>
      <w:pPr>
        <w:spacing w:after="0" w:line="320"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Term loans made under the Amended Fourth A&amp;R Credit Agreement bear interest, at our election, at either (i) the Base Rate plus the Applicable Margin (as defined in the Amended Fourth A&amp;R Credit Agreement) or, (ii) Adjusted Term SOFR plus the Applicable Margin (as defined in the Amended Fourth A&amp;R Credit Agreement). Revolving credit loans bear interest, at our election, at either (a) the Base Rate plus the Applicable Margin, (b) Adjusted Term SOFR plus the Applicable Margin, (c) Adjusted Eurocurrency Rate plus the Applicable Margin (as defined in the Amended Fourth A&amp;R Credit Agreement), or (d) Adjusted Daily Simple SONIA plus the Applicable Margin (as defined in the Amended Fourth A&amp;R Credit Agreement). Swingline loans bear interest at the Base Rate plus the Applicable Margin. Interest on each loan featuring the Base Rate and each Daily Simple SONIA Loan is due and payable on the last business day of each calendar month; interest on each loan featuring the Eurocurrency Rate and each Term SOFR Loan is due and payable on the last day of each interest period applicable thereto, and if such interest period extends over three months, at the end of each three-month interval during such interest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Amended Fourth A&amp;R Credit Agreement is collateralized by substantially all of our assets. The Amended Fourth A&amp;R Credit Agreement contains affirmative and negative covenants, representations and warranties, events of default and other terms customary for loans of this nature. In particular, the Amended Fourth A&amp;R Credit Agreement requires that we maintain certain financial covenants,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7220" w:type="dxa"/>
            <w:vAlign w:val="bottom"/>
          </w:tcPr>
          <w:p>
            <w:pPr>
              <w:spacing w:after="0"/>
              <w:rPr>
                <w:sz w:val="13"/>
                <w:szCs w:val="13"/>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Covenant Requirement</w:t>
            </w:r>
          </w:p>
        </w:tc>
      </w:tr>
      <w:tr>
        <w:trPr>
          <w:trHeight w:val="187"/>
        </w:trPr>
        <w:tc>
          <w:tcPr>
            <w:tcW w:w="722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auto"/>
              </w:rPr>
              <w:t xml:space="preserve">Consolidated Total Net Leverage Ratio </w:t>
            </w:r>
            <w:r>
              <w:rPr>
                <w:rFonts w:ascii="Times New Roman" w:cs="Times New Roman" w:eastAsia="Times New Roman" w:hAnsi="Times New Roman"/>
                <w:sz w:val="21"/>
                <w:szCs w:val="21"/>
                <w:color w:val="auto"/>
                <w:vertAlign w:val="superscript"/>
              </w:rPr>
              <w:t>(1)</w:t>
            </w:r>
          </w:p>
        </w:tc>
        <w:tc>
          <w:tcPr>
            <w:tcW w:w="14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5.0 to 1.0</w:t>
            </w:r>
          </w:p>
        </w:tc>
        <w:tc>
          <w:tcPr>
            <w:tcW w:w="220" w:type="dxa"/>
            <w:vAlign w:val="bottom"/>
            <w:tcBorders>
              <w:top w:val="single" w:sz="8" w:color="CCEEFF"/>
            </w:tcBorders>
            <w:shd w:val="clear" w:color="auto" w:fill="CCEEFF"/>
          </w:tcPr>
          <w:p>
            <w:pPr>
              <w:spacing w:after="0"/>
              <w:rPr>
                <w:sz w:val="16"/>
                <w:szCs w:val="16"/>
                <w:color w:val="auto"/>
              </w:rPr>
            </w:pPr>
          </w:p>
        </w:tc>
      </w:tr>
      <w:tr>
        <w:trPr>
          <w:trHeight w:val="195"/>
        </w:trPr>
        <w:tc>
          <w:tcPr>
            <w:tcW w:w="7220" w:type="dxa"/>
            <w:vAlign w:val="bottom"/>
          </w:tcPr>
          <w:p>
            <w:pPr>
              <w:spacing w:after="0" w:line="196" w:lineRule="exact"/>
              <w:rPr>
                <w:sz w:val="20"/>
                <w:szCs w:val="20"/>
                <w:color w:val="auto"/>
              </w:rPr>
            </w:pPr>
            <w:r>
              <w:rPr>
                <w:rFonts w:ascii="Times New Roman" w:cs="Times New Roman" w:eastAsia="Times New Roman" w:hAnsi="Times New Roman"/>
                <w:sz w:val="15"/>
                <w:szCs w:val="15"/>
                <w:color w:val="auto"/>
              </w:rPr>
              <w:t xml:space="preserve">Consolidated Senior Secured Net Leverage Ratio </w:t>
            </w:r>
            <w:r>
              <w:rPr>
                <w:rFonts w:ascii="Times New Roman" w:cs="Times New Roman" w:eastAsia="Times New Roman" w:hAnsi="Times New Roman"/>
                <w:sz w:val="22"/>
                <w:szCs w:val="22"/>
                <w:color w:val="auto"/>
                <w:vertAlign w:val="superscript"/>
              </w:rPr>
              <w:t>(2)</w:t>
            </w:r>
          </w:p>
        </w:tc>
        <w:tc>
          <w:tcPr>
            <w:tcW w:w="170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3.0 to 1.0</w:t>
            </w:r>
          </w:p>
        </w:tc>
      </w:tr>
      <w:tr>
        <w:trPr>
          <w:trHeight w:val="195"/>
        </w:trPr>
        <w:tc>
          <w:tcPr>
            <w:tcW w:w="7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 xml:space="preserve">Consolidated Interest Coverage Ratio </w:t>
            </w:r>
            <w:r>
              <w:rPr>
                <w:rFonts w:ascii="Times New Roman" w:cs="Times New Roman" w:eastAsia="Times New Roman" w:hAnsi="Times New Roman"/>
                <w:sz w:val="22"/>
                <w:szCs w:val="22"/>
                <w:color w:val="auto"/>
                <w:vertAlign w:val="superscript"/>
              </w:rPr>
              <w:t>(3)</w:t>
            </w:r>
          </w:p>
        </w:tc>
        <w:tc>
          <w:tcPr>
            <w:tcW w:w="1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3.0 to 1.0</w:t>
            </w:r>
          </w:p>
        </w:tc>
      </w:tr>
    </w:tbl>
    <w:p>
      <w:pPr>
        <w:ind w:left="340" w:hanging="298"/>
        <w:spacing w:after="0"/>
        <w:tabs>
          <w:tab w:leader="none" w:pos="34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Maximum Consolidated Total Net Leverage Ratio (as defined in the Amended Fourth A&amp;R Credit Agreement) as of any fiscal quarter end.</w:t>
      </w:r>
    </w:p>
    <w:p>
      <w:pPr>
        <w:spacing w:after="0" w:line="8" w:lineRule="exact"/>
        <w:rPr>
          <w:rFonts w:ascii="Times New Roman" w:cs="Times New Roman" w:eastAsia="Times New Roman" w:hAnsi="Times New Roman"/>
          <w:sz w:val="24"/>
          <w:szCs w:val="24"/>
          <w:color w:val="auto"/>
          <w:vertAlign w:val="superscript"/>
        </w:rPr>
      </w:pPr>
    </w:p>
    <w:p>
      <w:pPr>
        <w:ind w:left="340" w:right="79" w:hanging="298"/>
        <w:spacing w:after="0" w:line="191" w:lineRule="auto"/>
        <w:tabs>
          <w:tab w:leader="none" w:pos="34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Maximum Consolidated Senior Secured Net Leverage Ratio (as defined in the Amended Fourth A&amp;R Credit Agreement) as of any fiscal quarter end.</w:t>
      </w:r>
    </w:p>
    <w:p>
      <w:pPr>
        <w:ind w:left="340" w:right="59" w:hanging="298"/>
        <w:spacing w:after="0" w:line="195" w:lineRule="auto"/>
        <w:tabs>
          <w:tab w:leader="none" w:pos="34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Minimum ratio of Consolidated EBITDA (as defined in the Amended Fourth A&amp;R Credit Agreement and adjusted for certain expenditures) to Consolidated Interest Expense (as defined in the Amended Fourth A&amp;R Credit Agreement) for any period of four consecutive fiscal quarters.</w:t>
      </w:r>
    </w:p>
    <w:p>
      <w:pPr>
        <w:spacing w:after="0" w:line="148" w:lineRule="exact"/>
        <w:rPr>
          <w:sz w:val="20"/>
          <w:szCs w:val="20"/>
          <w:color w:val="auto"/>
        </w:rPr>
      </w:pPr>
    </w:p>
    <w:p>
      <w:pPr>
        <w:jc w:val="both"/>
        <w:ind w:left="40" w:right="59"/>
        <w:spacing w:after="0" w:line="264" w:lineRule="auto"/>
        <w:rPr>
          <w:sz w:val="20"/>
          <w:szCs w:val="20"/>
          <w:color w:val="auto"/>
        </w:rPr>
      </w:pPr>
      <w:r>
        <w:rPr>
          <w:rFonts w:ascii="Times New Roman" w:cs="Times New Roman" w:eastAsia="Times New Roman" w:hAnsi="Times New Roman"/>
          <w:sz w:val="16"/>
          <w:szCs w:val="16"/>
          <w:color w:val="auto"/>
        </w:rPr>
        <w:t>We were in compliance with these financial covenants set forth in the Amended Fourth A&amp;R Credit Agreement as of September 30, 2026.</w:t>
      </w:r>
    </w:p>
    <w:p>
      <w:pPr>
        <w:spacing w:after="0" w:line="346"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As of September 30, 2026, we had no outstanding borrowings and issued letter of credit guarantees of $3.0 million under the Amended Fourth A&amp;R Credit Agreement, with additional available borrowings of $697 million, based on the maximum net leverage ratio required pursuant to the Amended Fourth A&amp;R Credit Agreement.</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Convertible Notes</w:t>
      </w:r>
    </w:p>
    <w:p>
      <w:pPr>
        <w:spacing w:after="0" w:line="17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In December 2023, we issued convertible notes which bear interest at 3.00% per year, payable semi-annually in arrears on February 1 and August 1 of each year, which commenced August 1, 2024 (the “Convertible Notes”). The Convertible Notes are senior unsecured obligations (as defined in the indenture governing the Convertible Notes (the “Indenture”)) of Merit and will mature on February 1, 2029, unless repurchased, redeemed or converted in accordance with their terms prior to such date. The net proceeds from the sale of the Convertible Notes were $724.8 million after deducting offering and issuance costs and before the costs of the Capped Call Transactions, as described below.</w:t>
      </w:r>
    </w:p>
    <w:p>
      <w:pPr>
        <w:spacing w:after="0" w:line="12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The initial conversion rate of the notes will be 11.5171 shares of our common stock (the “Common Stock”) per $1,000 principal amount of notes, which equates to an initial conversion price of $86.83 per share of Common Stock, subject to adjustments as provided in the Indenture upon the occurrence of certain specified events.</w:t>
      </w:r>
    </w:p>
    <w:p>
      <w:pPr>
        <w:spacing w:after="0" w:line="133"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6"/>
          <w:szCs w:val="16"/>
          <w:color w:val="auto"/>
        </w:rPr>
        <w:t>Conversion can occur at the option of the holders of the Convertible Notes (“Holders”) at any time on or after October 1, 2028. Prior to October 1, 2028, Holders may only elect to convert the Convertible Notes under the following circumstances: (1) During the five business day period after any ten consecutive trading day period in which, for each day of that period, the trading price per $1,000 principal amount of the Convertible Notes for such trading day was less than 98% of the product of the last reported sale price of the Common Stock and the applicable conversion rate on such trading day; (2) Merit issues to common shareholders any rights, options, or warrants, entitling them, for a period of not more than 60 days, to purchase shares of Common Stock at a price per share less than the average closing sale price of 10 consecutive trading days, or Merit’s election to make a distribution to common shareholders exceeding 10% of the previous day’s closing sale price; (3) Upon the occurrence of a Fundamental Change, as set forth in the Indenture; (4) During any calendar quarter (and only during such calendar quarter) beginning after March 31, 2024, if, the last reported sale price per share of the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 or (5) Prior to the related redemption date if Merit calls any Convertible Notes for redemption. As of September 30, 2026, none of the conditions permitting the Holders to convert their Convertible Notes early had been met. Therefore, the Convertible Notes are classified as long-term debt obligations.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Upon conversion, Merit will (1) pay cash up to the aggregate principal amount of the Convertible Notes to be converted and (2) pay or deliver, as the case may be, cash, shares of Common Stock, or a combination of cash and shares of Common Stock, at Merit’s election, in respect of the remainder, if any, of its conversion obligation in excess of the aggregate principal amount of the Convertible Notes being converted.</w:t>
      </w:r>
    </w:p>
    <w:p>
      <w:pPr>
        <w:spacing w:after="0" w:line="135"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In addition, Holders will have the right to require Merit to repurchase all or a part of their notes upon the occurrence of a “fundamental change” (as defined in the Indenture) in cash at a fundamental change repurchase price of 100% of their principal amount plus accrued and unpaid interest up to, but excluding, the fundamental change repurchase date.</w:t>
      </w:r>
    </w:p>
    <w:p>
      <w:pPr>
        <w:spacing w:after="0" w:line="1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On or after February 7, 2027, we may redeem for cash all or part of the Convertible Notes, at our option, if the last reported sales price of Common Stock has been at least 130% of the conversion price then in effect for at least 20 trading days (whether or not consecutive), including the trading day immediately preceding the date on which we provide notice of redemption, during any 30 consecutive trading days ending on, and including, the trading day immediately before the date we send the related notice of the redemption.</w:t>
      </w:r>
    </w:p>
    <w:p>
      <w:pPr>
        <w:spacing w:after="0" w:line="123"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Under the terms of the Indenture, if we did not remove restrictive legends on the Convertible Notes as of the 380th day following the date of issuance of the Convertible Notes, we were required to pay additional interest at the rate of 0.50% per annum (the “Additional Interest”) until the restrictive legends were removed. During the nine-month period ended September 30, 2026, we determined that we had not removed the restrictive legends or paid the Additional Interest. We promptly caused the restrictive legends to be removed and recorded and paid an aggregate of $5.1 million in Additional Interest during the nine-month period ended September 30, 2026. We believe that no further Additional Interest or other amounts arising from the failure to timely remove the restrictive legends are in arrearage as of the date of this Report.</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Capped Call Transactions</w:t>
      </w:r>
    </w:p>
    <w:p>
      <w:pPr>
        <w:spacing w:after="0" w:line="172"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In December 2023, in connection with the pricing of the Convertible Notes, Merit entered into privately negotiated capped call transactions (“Capped Call Transactions”) with certain of the initial purchasers and/or their respective affiliates and certain other financial institutions. The Capped Call Transactions cover, subject to customary anti-dilution adjustments, the number of shares of Common Stock initially underlying the Convertible Notes and are generally expected to reduce potential dilution to the Common Stock upon any conversion of Convertible Notes and/or offset any cash payments Merit is required to make in excess of the principal amount of converted Convertible Notes, as the case may be, with such reduction and/or offset subject to a cap, based on a cap price initially equal to $114.68 per share of Common Stock, subject to certain adjustments under the terms of the Capped Call Transactions. The cost of the Capped Call Transactions was $66.5 million. The Capped Call Transactions do not meet the criteria for separate accounting as a derivative as they are indexed to the Common Stock. The premiums paid for the Capped Call Transactions have been included as a net reduction to Common Stock within stockholders' equity.</w:t>
      </w: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9.  Derivatives.</w:t>
      </w:r>
    </w:p>
    <w:p>
      <w:pPr>
        <w:spacing w:after="0" w:line="170"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General. </w:t>
      </w:r>
      <w:r>
        <w:rPr>
          <w:rFonts w:ascii="Times New Roman" w:cs="Times New Roman" w:eastAsia="Times New Roman" w:hAnsi="Times New Roman"/>
          <w:sz w:val="16"/>
          <w:szCs w:val="16"/>
          <w:color w:val="auto"/>
        </w:rPr>
        <w:t>Our earnings and cash flows are subject to fluctuations due to changes in interest rates and foreign currency exchange rates,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and we seek to mitigate a portion of the risks attributable to those fluctuations by entering into derivative contracts. The derivative instruments we use are foreign currency forward contracts. We recognize derivative instruments as either assets or liabilities at fair value in the accompanying consolidated balance sheets, regardless of whether hedge accounting is applied. We report cash flows arising from our hedging instruments consistent with the classification of cash flows from the underlying hedged items. Accordingly, cash flows associated with our derivative contracts are classified as operating activities in the accompanying consolidated statements of cash flows.</w:t>
      </w:r>
    </w:p>
    <w:p>
      <w:pPr>
        <w:spacing w:after="0" w:line="14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We formally document, designate and assess the effectiveness of transactions that receive hedge accounting treatment initially and on an ongoing basis. For qualifying hedges, the change in fair value is deferred in accumulated other comprehensive income, a component of stockholders’ equity in the accompanying consolidated balance sheets, and recognized in earnings at the same time the hedged item affects earnings. Changes in the fair value of derivative instruments not designated as hedging instruments are recorded in earnings throughout the term of the derivative.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b w:val="1"/>
          <w:bCs w:val="1"/>
          <w:color w:val="auto"/>
        </w:rPr>
        <w:t xml:space="preserve">Foreign Currency Risk. </w:t>
      </w:r>
      <w:r>
        <w:rPr>
          <w:rFonts w:ascii="Times New Roman" w:cs="Times New Roman" w:eastAsia="Times New Roman" w:hAnsi="Times New Roman"/>
          <w:sz w:val="16"/>
          <w:szCs w:val="16"/>
          <w:color w:val="auto"/>
        </w:rPr>
        <w:t>We operate on a global basis and are exposed to the risk that our financial condition, results of operations,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cash flows could be adversely affected by changes in foreign currency exchange rates. To reduce the potential effects of foreign currency exchange rate movements on net earnings, we enter into derivative financial instruments in the form of foreign currency exchange forward contracts with major financial institutions. Our policy is to enter into foreign currency derivative contracts with maturities of up to two years. We are exposed to foreign currency exchange rate risk with respect to transactions and balances denominated in various currencies, with our most significant exposure related to transactions and balances denominated in Chinese Renminbi and Euro, among others. We do not use derivative financial instruments for trading or speculative purposes. We do not believe we are subject to any credit risk contingent features related to our derivative contracts, and we seek to manage counterparty risk by allocating derivative contracts among several major financial institutions.</w:t>
      </w:r>
    </w:p>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Derivatives Designated as Cash Flow Hedges</w:t>
      </w:r>
    </w:p>
    <w:p>
      <w:pPr>
        <w:spacing w:after="0" w:line="172"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For derivative instruments that are designated and qualify as cash flow hedges, the gain or loss on the derivative instrument is temporarily reported as a component of other comprehensive income and then reclassified into earnings in the same line item associated with the forecasted transaction and in the same period or periods during which the hedged transaction affects earnings. We entered into forward contracts on various foreign currencies to manage the risk associated with forecasted exchange rates which impact revenues, cost of sales, and operating expenses in various international markets. The objective of the forward contracts is to reduce the variability of cash flows associated with the forecasted purchase or sale of the foreign currencies. As of September 30, 2026 and December 31, 2025, we had entered into foreign currency forward contracts, which qualified as cash flow hedges, with aggregate notional amounts of $157.0 million and $138.6 million, respectively.</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Derivatives Not Designated as Cash Flow Hedges</w:t>
      </w:r>
    </w:p>
    <w:p>
      <w:pPr>
        <w:spacing w:after="0" w:line="18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We forecast our net exposure in various receivables and payables to fluctuations in the value of various currencies, and we enter into foreign currency forward contracts to mitigate a portion of that exposure. As of September 30, 2026 and December 31, 2025, we had entered into foreign currency forward contracts related to those balance sheet accounts with aggregate notional amounts of $151.0 million and $107.6 million, respectively.</w:t>
      </w:r>
    </w:p>
    <w:p>
      <w:pPr>
        <w:spacing w:after="0" w:line="121"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Balance Sheet Presentation of Derivative Instruments. </w:t>
      </w:r>
      <w:r>
        <w:rPr>
          <w:rFonts w:ascii="Times New Roman" w:cs="Times New Roman" w:eastAsia="Times New Roman" w:hAnsi="Times New Roman"/>
          <w:sz w:val="16"/>
          <w:szCs w:val="16"/>
          <w:color w:val="auto"/>
        </w:rPr>
        <w:t>As of September 30, 2026 and December 31, 2025, all derivative instruments,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both those designated as hedging instruments and those that were not designated as hedging instruments, were recorded at fair value on a gross basis on our consolidated balance sheets. We are not subject to any master netting agreements.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fair value of derivative instruments on a gross basis was as follows on the dates indicated (in thousands):</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Fair Value of Derivative Instruments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Designated as Hedging Instruments</w:t>
            </w: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400" w:type="dxa"/>
            <w:vAlign w:val="bottom"/>
            <w:gridSpan w:val="4"/>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 September 30, 2026</w:t>
            </w: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 December 31, 2025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Assets</w:t>
            </w:r>
          </w:p>
        </w:tc>
        <w:tc>
          <w:tcPr>
            <w:tcW w:w="200" w:type="dxa"/>
            <w:vAlign w:val="bottom"/>
            <w:tcBorders>
              <w:top w:val="single" w:sz="8" w:color="CCEEFF"/>
            </w:tcBorders>
            <w:shd w:val="clear" w:color="auto" w:fill="CCEEFF"/>
          </w:tcPr>
          <w:p>
            <w:pPr>
              <w:spacing w:after="0"/>
              <w:rPr>
                <w:sz w:val="16"/>
                <w:szCs w:val="16"/>
                <w:color w:val="auto"/>
              </w:rPr>
            </w:pPr>
          </w:p>
        </w:tc>
        <w:tc>
          <w:tcPr>
            <w:tcW w:w="30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c>
          <w:tcPr>
            <w:tcW w:w="40" w:type="dxa"/>
            <w:vAlign w:val="bottom"/>
          </w:tcPr>
          <w:p>
            <w:pPr>
              <w:spacing w:after="0"/>
              <w:rPr>
                <w:sz w:val="16"/>
                <w:szCs w:val="16"/>
                <w:color w:val="auto"/>
              </w:rPr>
            </w:pPr>
          </w:p>
        </w:tc>
        <w:tc>
          <w:tcPr>
            <w:tcW w:w="4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assets (long-term)</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(Liabilities)</w:t>
            </w:r>
          </w:p>
        </w:tc>
        <w:tc>
          <w:tcPr>
            <w:tcW w:w="200" w:type="dxa"/>
            <w:vAlign w:val="bottom"/>
            <w:shd w:val="clear" w:color="auto" w:fill="CCEEFF"/>
          </w:tcPr>
          <w:p>
            <w:pPr>
              <w:spacing w:after="0"/>
              <w:rPr>
                <w:sz w:val="16"/>
                <w:szCs w:val="16"/>
                <w:color w:val="auto"/>
              </w:rPr>
            </w:pPr>
          </w:p>
        </w:tc>
        <w:tc>
          <w:tcPr>
            <w:tcW w:w="3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9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Fair Value of Derivative Instruments Not</w:t>
            </w:r>
          </w:p>
        </w:tc>
        <w:tc>
          <w:tcPr>
            <w:tcW w:w="20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Designated as Hedging Instruments</w:t>
            </w:r>
          </w:p>
        </w:tc>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400" w:type="dxa"/>
            <w:vAlign w:val="bottom"/>
            <w:gridSpan w:val="4"/>
            <w:shd w:val="clear" w:color="auto" w:fill="CCEEFF"/>
          </w:tcPr>
          <w:p>
            <w:pPr>
              <w:jc w:val="right"/>
              <w:ind w:right="115"/>
              <w:spacing w:after="0"/>
              <w:rPr>
                <w:sz w:val="20"/>
                <w:szCs w:val="20"/>
                <w:color w:val="auto"/>
              </w:rPr>
            </w:pPr>
            <w:r>
              <w:rPr>
                <w:rFonts w:ascii="Times New Roman" w:cs="Times New Roman" w:eastAsia="Times New Roman" w:hAnsi="Times New Roman"/>
                <w:sz w:val="13"/>
                <w:szCs w:val="13"/>
                <w:b w:val="1"/>
                <w:bCs w:val="1"/>
                <w:color w:val="auto"/>
              </w:rPr>
              <w:t>​​​ September 30, 2026</w:t>
            </w:r>
          </w:p>
        </w:tc>
        <w:tc>
          <w:tcPr>
            <w:tcW w:w="1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 December 31, 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Assets</w:t>
            </w:r>
          </w:p>
        </w:tc>
        <w:tc>
          <w:tcPr>
            <w:tcW w:w="200" w:type="dxa"/>
            <w:vAlign w:val="bottom"/>
          </w:tcPr>
          <w:p>
            <w:pPr>
              <w:spacing w:after="0"/>
              <w:rPr>
                <w:sz w:val="16"/>
                <w:szCs w:val="16"/>
                <w:color w:val="auto"/>
              </w:rPr>
            </w:pPr>
          </w:p>
        </w:tc>
        <w:tc>
          <w:tcPr>
            <w:tcW w:w="30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4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2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(Liabilities)</w:t>
            </w:r>
          </w:p>
        </w:tc>
        <w:tc>
          <w:tcPr>
            <w:tcW w:w="200" w:type="dxa"/>
            <w:vAlign w:val="bottom"/>
            <w:shd w:val="clear" w:color="auto" w:fill="CCEEFF"/>
          </w:tcPr>
          <w:p>
            <w:pPr>
              <w:spacing w:after="0"/>
              <w:rPr>
                <w:sz w:val="16"/>
                <w:szCs w:val="16"/>
                <w:color w:val="auto"/>
              </w:rPr>
            </w:pPr>
          </w:p>
        </w:tc>
        <w:tc>
          <w:tcPr>
            <w:tcW w:w="3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forward contracts</w:t>
            </w:r>
          </w:p>
        </w:tc>
        <w:tc>
          <w:tcPr>
            <w:tcW w:w="326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260" w:type="dxa"/>
            <w:vAlign w:val="bottom"/>
            <w:gridSpan w:val="2"/>
          </w:tcPr>
          <w:p>
            <w:pPr>
              <w:jc w:val="right"/>
              <w:ind w:right="1619"/>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7"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Income Statement Presentation of Derivative Instruments.</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Derivative Instruments Designated as Cash Flow Hedges</w:t>
      </w:r>
    </w:p>
    <w:p>
      <w:pPr>
        <w:spacing w:after="0" w:line="17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Derivative instruments designated as cash flow hedges had the following effects, before income taxes, on other comprehensive income (“OCI”), accumulated other comprehensive income (“AOCI”), and net earnings in our consolidated statements of income, consolidated statements of comprehensive income and consolidated balance sheets (in thousands):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Gain/(Loss)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7"/>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Consolidated Statements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Amount of Gain/(Loss)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8"/>
          </w:tcPr>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Recognized in OCI</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of Income</w:t>
            </w: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Reclassified from AOCI</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8"/>
          </w:tcPr>
          <w:p>
            <w:pPr>
              <w:jc w:val="center"/>
              <w:ind w:right="19"/>
              <w:spacing w:after="0" w:line="105"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1560" w:type="dxa"/>
            <w:vAlign w:val="bottom"/>
            <w:gridSpan w:val="6"/>
          </w:tcPr>
          <w:p>
            <w:pPr>
              <w:jc w:val="center"/>
              <w:ind w:right="40"/>
              <w:spacing w:after="0" w:line="105"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6"/>
          </w:tcPr>
          <w:p>
            <w:pPr>
              <w:ind w:left="140"/>
              <w:spacing w:after="0" w:line="105"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6"/>
          </w:tcPr>
          <w:p>
            <w:pPr>
              <w:jc w:val="center"/>
              <w:ind w:left="199"/>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6"/>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Location in statements of</w:t>
            </w:r>
          </w:p>
        </w:tc>
        <w:tc>
          <w:tcPr>
            <w:tcW w:w="480" w:type="dxa"/>
            <w:vAlign w:val="bottom"/>
            <w:gridSpan w:val="2"/>
            <w:vMerge w:val="continue"/>
          </w:tcPr>
          <w:p>
            <w:pPr>
              <w:spacing w:after="0"/>
              <w:rPr>
                <w:sz w:val="14"/>
                <w:szCs w:val="14"/>
                <w:color w:val="auto"/>
              </w:rPr>
            </w:pPr>
          </w:p>
        </w:tc>
        <w:tc>
          <w:tcPr>
            <w:tcW w:w="1600" w:type="dxa"/>
            <w:vAlign w:val="bottom"/>
            <w:gridSpan w:val="7"/>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Derivative instrument</w:t>
            </w:r>
          </w:p>
        </w:tc>
        <w:tc>
          <w:tcPr>
            <w:tcW w:w="220" w:type="dxa"/>
            <w:vAlign w:val="bottom"/>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9"/>
                <w:szCs w:val="9"/>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0" w:type="dxa"/>
            <w:vAlign w:val="bottom"/>
            <w:gridSpan w:val="6"/>
            <w:vMerge w:val="continue"/>
          </w:tcPr>
          <w:p>
            <w:pPr>
              <w:spacing w:after="0"/>
              <w:rPr>
                <w:sz w:val="9"/>
                <w:szCs w:val="9"/>
                <w:color w:val="auto"/>
              </w:rPr>
            </w:pPr>
          </w:p>
        </w:tc>
        <w:tc>
          <w:tcPr>
            <w:tcW w:w="4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2"/>
            <w:vMerge w:val="restart"/>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 ​</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9"/>
                <w:szCs w:val="9"/>
                <w:color w:val="auto"/>
              </w:rPr>
            </w:pPr>
          </w:p>
        </w:tc>
        <w:tc>
          <w:tcPr>
            <w:tcW w:w="200" w:type="dxa"/>
            <w:vAlign w:val="bottom"/>
            <w:gridSpan w:val="4"/>
            <w:vMerge w:val="restart"/>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 w:type="dxa"/>
            <w:vAlign w:val="bottom"/>
          </w:tcPr>
          <w:p>
            <w:pPr>
              <w:spacing w:after="0"/>
              <w:rPr>
                <w:sz w:val="9"/>
                <w:szCs w:val="9"/>
                <w:color w:val="auto"/>
              </w:rPr>
            </w:pPr>
          </w:p>
        </w:tc>
        <w:tc>
          <w:tcPr>
            <w:tcW w:w="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vMerge w:val="restart"/>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1100" w:type="dxa"/>
            <w:vAlign w:val="bottom"/>
            <w:tcBorders>
              <w:top w:val="single" w:sz="8" w:color="auto"/>
            </w:tcBorders>
            <w:gridSpan w:val="3"/>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gridSpan w:val="4"/>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right w:val="single" w:sz="8" w:color="auto"/>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50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Foreign currency forward</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3"/>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(2,293)</w:t>
            </w:r>
          </w:p>
        </w:tc>
        <w:tc>
          <w:tcPr>
            <w:tcW w:w="120" w:type="dxa"/>
            <w:vAlign w:val="bottom"/>
            <w:shd w:val="clear" w:color="auto" w:fill="CCEEFF"/>
          </w:tcPr>
          <w:p>
            <w:pPr>
              <w:spacing w:after="0"/>
              <w:rPr>
                <w:sz w:val="8"/>
                <w:szCs w:val="8"/>
                <w:color w:val="auto"/>
              </w:rPr>
            </w:pPr>
          </w:p>
        </w:tc>
        <w:tc>
          <w:tcPr>
            <w:tcW w:w="380" w:type="dxa"/>
            <w:vAlign w:val="bottom"/>
            <w:shd w:val="clear" w:color="auto" w:fill="CCEEFF"/>
          </w:tcPr>
          <w:p>
            <w:pPr>
              <w:jc w:val="right"/>
              <w:ind w:right="271"/>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20" w:type="dxa"/>
            <w:vAlign w:val="bottom"/>
            <w:shd w:val="clear" w:color="auto" w:fill="CCEEFF"/>
          </w:tcPr>
          <w:p>
            <w:pPr>
              <w:spacing w:after="0"/>
              <w:rPr>
                <w:sz w:val="8"/>
                <w:szCs w:val="8"/>
                <w:color w:val="auto"/>
              </w:rPr>
            </w:pPr>
          </w:p>
        </w:tc>
        <w:tc>
          <w:tcPr>
            <w:tcW w:w="36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2,330</w:t>
            </w:r>
          </w:p>
        </w:tc>
        <w:tc>
          <w:tcPr>
            <w:tcW w:w="160" w:type="dxa"/>
            <w:vAlign w:val="bottom"/>
            <w:tcBorders>
              <w:right w:val="single" w:sz="8" w:color="CCEEFF"/>
            </w:tcBorders>
            <w:shd w:val="clear" w:color="auto" w:fill="CCEEFF"/>
          </w:tcPr>
          <w:p>
            <w:pPr>
              <w:spacing w:after="0"/>
              <w:rPr>
                <w:sz w:val="8"/>
                <w:szCs w:val="8"/>
                <w:color w:val="auto"/>
              </w:rPr>
            </w:pPr>
          </w:p>
        </w:tc>
        <w:tc>
          <w:tcPr>
            <w:tcW w:w="1100" w:type="dxa"/>
            <w:vAlign w:val="bottom"/>
            <w:gridSpan w:val="3"/>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Revenue</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416,244</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jc w:val="right"/>
              <w:ind w:right="131"/>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shd w:val="clear" w:color="auto" w:fill="CCEEFF"/>
          </w:tcPr>
          <w:p>
            <w:pPr>
              <w:ind w:left="60"/>
              <w:spacing w:after="0" w:line="94" w:lineRule="exact"/>
              <w:rPr>
                <w:sz w:val="20"/>
                <w:szCs w:val="20"/>
                <w:color w:val="auto"/>
              </w:rPr>
            </w:pPr>
            <w:r>
              <w:rPr>
                <w:rFonts w:ascii="Times New Roman" w:cs="Times New Roman" w:eastAsia="Times New Roman" w:hAnsi="Times New Roman"/>
                <w:sz w:val="10"/>
                <w:szCs w:val="10"/>
                <w:color w:val="auto"/>
              </w:rPr>
              <w:t>384,157</w:t>
            </w: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ind w:right="11"/>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(642)</w:t>
            </w: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jc w:val="right"/>
              <w:ind w:right="51"/>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(106)</w:t>
            </w:r>
          </w:p>
        </w:tc>
        <w:tc>
          <w:tcPr>
            <w:tcW w:w="0" w:type="dxa"/>
            <w:vAlign w:val="bottom"/>
          </w:tcPr>
          <w:p>
            <w:pPr>
              <w:spacing w:after="0"/>
              <w:rPr>
                <w:sz w:val="1"/>
                <w:szCs w:val="1"/>
                <w:color w:val="auto"/>
              </w:rPr>
            </w:pPr>
          </w:p>
        </w:tc>
      </w:tr>
      <w:tr>
        <w:trPr>
          <w:trHeight w:val="146"/>
        </w:trPr>
        <w:tc>
          <w:tcPr>
            <w:tcW w:w="150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i w:val="1"/>
                <w:iCs w:val="1"/>
                <w:color w:val="auto"/>
              </w:rPr>
              <w:t>contracts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Cost of sales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ind w:left="140"/>
              <w:spacing w:after="0"/>
              <w:rPr>
                <w:sz w:val="20"/>
                <w:szCs w:val="20"/>
                <w:color w:val="auto"/>
              </w:rPr>
            </w:pPr>
            <w:r>
              <w:rPr>
                <w:rFonts w:ascii="Times New Roman" w:cs="Times New Roman" w:eastAsia="Times New Roman" w:hAnsi="Times New Roman"/>
                <w:sz w:val="13"/>
                <w:szCs w:val="13"/>
                <w:color w:val="auto"/>
                <w:w w:val="98"/>
              </w:rPr>
              <w:t>(215,613)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8"/>
              </w:rPr>
              <w:t>(197,746)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auto"/>
              </w:rPr>
              <w:t>280</w:t>
            </w:r>
          </w:p>
        </w:tc>
        <w:tc>
          <w:tcPr>
            <w:tcW w:w="0" w:type="dxa"/>
            <w:vAlign w:val="bottom"/>
          </w:tcPr>
          <w:p>
            <w:pPr>
              <w:spacing w:after="0"/>
              <w:rPr>
                <w:sz w:val="1"/>
                <w:szCs w:val="1"/>
                <w:color w:val="auto"/>
              </w:rPr>
            </w:pPr>
          </w:p>
        </w:tc>
      </w:tr>
      <w:tr>
        <w:trPr>
          <w:trHeight w:val="284"/>
        </w:trPr>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8"/>
          </w:tcPr>
          <w:p>
            <w:pPr>
              <w:jc w:val="center"/>
              <w:ind w:left="40"/>
              <w:spacing w:after="0"/>
              <w:rPr>
                <w:sz w:val="20"/>
                <w:szCs w:val="20"/>
                <w:color w:val="auto"/>
              </w:rPr>
            </w:pPr>
            <w:r>
              <w:rPr>
                <w:rFonts w:ascii="Times New Roman" w:cs="Times New Roman" w:eastAsia="Times New Roman" w:hAnsi="Times New Roman"/>
                <w:sz w:val="13"/>
                <w:szCs w:val="13"/>
                <w:b w:val="1"/>
                <w:bCs w:val="1"/>
                <w:color w:val="auto"/>
              </w:rPr>
              <w:t>Amount of Gain/(Loss)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gridSpan w:val="9"/>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Consolidated Statements</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Amount of Gain/(Loss)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Recognized in OCI</w:t>
            </w:r>
          </w:p>
        </w:tc>
        <w:tc>
          <w:tcPr>
            <w:tcW w:w="1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of Income</w:t>
            </w:r>
          </w:p>
        </w:tc>
        <w:tc>
          <w:tcPr>
            <w:tcW w:w="5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8"/>
              </w:rPr>
              <w:t>Reclassified from AOCI</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04"/>
        </w:trPr>
        <w:tc>
          <w:tcPr>
            <w:tcW w:w="1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6"/>
          </w:tcPr>
          <w:p>
            <w:pPr>
              <w:jc w:val="center"/>
              <w:ind w:right="100"/>
              <w:spacing w:after="0" w:line="105" w:lineRule="exact"/>
              <w:rPr>
                <w:sz w:val="20"/>
                <w:szCs w:val="20"/>
                <w:color w:val="auto"/>
              </w:rPr>
            </w:pPr>
            <w:r>
              <w:rPr>
                <w:rFonts w:ascii="Times New Roman" w:cs="Times New Roman" w:eastAsia="Times New Roman" w:hAnsi="Times New Roman"/>
                <w:sz w:val="12"/>
                <w:szCs w:val="12"/>
                <w:b w:val="1"/>
                <w:bCs w:val="1"/>
                <w:color w:val="auto"/>
              </w:rPr>
              <w:t>Nine Months Ended</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2080" w:type="dxa"/>
            <w:vAlign w:val="bottom"/>
            <w:gridSpan w:val="9"/>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6"/>
          </w:tcPr>
          <w:p>
            <w:pPr>
              <w:ind w:left="120"/>
              <w:spacing w:after="0" w:line="105" w:lineRule="exact"/>
              <w:rPr>
                <w:sz w:val="20"/>
                <w:szCs w:val="20"/>
                <w:color w:val="auto"/>
              </w:rPr>
            </w:pPr>
            <w:r>
              <w:rPr>
                <w:rFonts w:ascii="Times New Roman" w:cs="Times New Roman" w:eastAsia="Times New Roman" w:hAnsi="Times New Roman"/>
                <w:sz w:val="12"/>
                <w:szCs w:val="12"/>
                <w:b w:val="1"/>
                <w:bCs w:val="1"/>
                <w:color w:val="auto"/>
              </w:rPr>
              <w:t>Nine Months Ended</w:t>
            </w: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3"/>
            <w:vMerge w:val="restart"/>
          </w:tcPr>
          <w:p>
            <w:pPr>
              <w:jc w:val="right"/>
              <w:ind w:right="131"/>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20" w:type="dxa"/>
            <w:vAlign w:val="bottom"/>
          </w:tcPr>
          <w:p>
            <w:pPr>
              <w:spacing w:after="0"/>
              <w:rPr>
                <w:sz w:val="14"/>
                <w:szCs w:val="14"/>
                <w:color w:val="auto"/>
              </w:rPr>
            </w:pPr>
          </w:p>
        </w:tc>
        <w:tc>
          <w:tcPr>
            <w:tcW w:w="1500" w:type="dxa"/>
            <w:vAlign w:val="bottom"/>
            <w:gridSpan w:val="5"/>
            <w:vMerge w:val="restart"/>
          </w:tcPr>
          <w:p>
            <w:pPr>
              <w:spacing w:after="0"/>
              <w:rPr>
                <w:sz w:val="20"/>
                <w:szCs w:val="20"/>
                <w:color w:val="auto"/>
              </w:rPr>
            </w:pPr>
            <w:r>
              <w:rPr>
                <w:rFonts w:ascii="Times New Roman" w:cs="Times New Roman" w:eastAsia="Times New Roman" w:hAnsi="Times New Roman"/>
                <w:sz w:val="13"/>
                <w:szCs w:val="13"/>
                <w:b w:val="1"/>
                <w:bCs w:val="1"/>
                <w:color w:val="auto"/>
              </w:rPr>
              <w:t>Location in statements of</w:t>
            </w:r>
          </w:p>
        </w:tc>
        <w:tc>
          <w:tcPr>
            <w:tcW w:w="300" w:type="dxa"/>
            <w:vAlign w:val="bottom"/>
            <w:gridSpan w:val="3"/>
            <w:vMerge w:val="continue"/>
          </w:tcPr>
          <w:p>
            <w:pPr>
              <w:spacing w:after="0"/>
              <w:rPr>
                <w:sz w:val="14"/>
                <w:szCs w:val="14"/>
                <w:color w:val="auto"/>
              </w:rPr>
            </w:pPr>
          </w:p>
        </w:tc>
        <w:tc>
          <w:tcPr>
            <w:tcW w:w="2080" w:type="dxa"/>
            <w:vAlign w:val="bottom"/>
            <w:gridSpan w:val="9"/>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Derivative instrument</w:t>
            </w:r>
          </w:p>
        </w:tc>
        <w:tc>
          <w:tcPr>
            <w:tcW w:w="420" w:type="dxa"/>
            <w:vAlign w:val="bottom"/>
            <w:gridSpan w:val="3"/>
            <w:vMerge w:val="continue"/>
          </w:tcPr>
          <w:p>
            <w:pPr>
              <w:spacing w:after="0"/>
              <w:rPr>
                <w:sz w:val="9"/>
                <w:szCs w:val="9"/>
                <w:color w:val="auto"/>
              </w:rPr>
            </w:pPr>
          </w:p>
        </w:tc>
        <w:tc>
          <w:tcPr>
            <w:tcW w:w="46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restart"/>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500" w:type="dxa"/>
            <w:vAlign w:val="bottom"/>
            <w:gridSpan w:val="5"/>
            <w:vMerge w:val="continue"/>
          </w:tcPr>
          <w:p>
            <w:pPr>
              <w:spacing w:after="0"/>
              <w:rPr>
                <w:sz w:val="9"/>
                <w:szCs w:val="9"/>
                <w:color w:val="auto"/>
              </w:rPr>
            </w:pPr>
          </w:p>
        </w:tc>
        <w:tc>
          <w:tcPr>
            <w:tcW w:w="3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3"/>
            <w:vMerge w:val="restart"/>
          </w:tcPr>
          <w:p>
            <w:pPr>
              <w:jc w:val="right"/>
              <w:ind w:right="318"/>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2026</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15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380" w:type="dxa"/>
            <w:vAlign w:val="bottom"/>
            <w:tcBorders>
              <w:top w:val="single" w:sz="8" w:color="auto"/>
            </w:tcBorders>
            <w:gridSpan w:val="4"/>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9"/>
                <w:szCs w:val="9"/>
                <w:color w:val="auto"/>
              </w:rPr>
            </w:pPr>
          </w:p>
        </w:tc>
        <w:tc>
          <w:tcPr>
            <w:tcW w:w="300" w:type="dxa"/>
            <w:vAlign w:val="bottom"/>
            <w:gridSpan w:val="3"/>
            <w:vMerge w:val="continue"/>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150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Foreign currency forward</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(1,703)</w:t>
            </w: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jc w:val="right"/>
              <w:ind w:right="31"/>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(963)</w:t>
            </w:r>
          </w:p>
        </w:tc>
        <w:tc>
          <w:tcPr>
            <w:tcW w:w="2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500" w:type="dxa"/>
            <w:vAlign w:val="bottom"/>
            <w:gridSpan w:val="5"/>
            <w:shd w:val="clear" w:color="auto" w:fill="CCEEFF"/>
          </w:tcPr>
          <w:p>
            <w:pPr>
              <w:spacing w:after="0" w:line="94" w:lineRule="exact"/>
              <w:rPr>
                <w:sz w:val="20"/>
                <w:szCs w:val="20"/>
                <w:color w:val="auto"/>
              </w:rPr>
            </w:pPr>
            <w:r>
              <w:rPr>
                <w:rFonts w:ascii="Times New Roman" w:cs="Times New Roman" w:eastAsia="Times New Roman" w:hAnsi="Times New Roman"/>
                <w:sz w:val="10"/>
                <w:szCs w:val="10"/>
                <w:i w:val="1"/>
                <w:iCs w:val="1"/>
                <w:color w:val="auto"/>
              </w:rPr>
              <w:t>Revenue</w:t>
            </w: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20" w:type="dxa"/>
            <w:vAlign w:val="bottom"/>
            <w:shd w:val="clear" w:color="auto" w:fill="CCEEFF"/>
          </w:tcPr>
          <w:p>
            <w:pPr>
              <w:spacing w:after="0"/>
              <w:rPr>
                <w:sz w:val="8"/>
                <w:szCs w:val="8"/>
                <w:color w:val="auto"/>
              </w:rPr>
            </w:pPr>
          </w:p>
        </w:tc>
        <w:tc>
          <w:tcPr>
            <w:tcW w:w="920" w:type="dxa"/>
            <w:vAlign w:val="bottom"/>
            <w:gridSpan w:val="3"/>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1,216,964</w:t>
            </w:r>
          </w:p>
        </w:tc>
        <w:tc>
          <w:tcPr>
            <w:tcW w:w="180" w:type="dxa"/>
            <w:vAlign w:val="bottom"/>
            <w:shd w:val="clear" w:color="auto" w:fill="CCEEFF"/>
          </w:tcPr>
          <w:p>
            <w:pPr>
              <w:spacing w:after="0"/>
              <w:rPr>
                <w:sz w:val="8"/>
                <w:szCs w:val="8"/>
                <w:color w:val="auto"/>
              </w:rPr>
            </w:pPr>
          </w:p>
        </w:tc>
        <w:tc>
          <w:tcPr>
            <w:tcW w:w="160" w:type="dxa"/>
            <w:vAlign w:val="bottom"/>
            <w:gridSpan w:val="2"/>
            <w:shd w:val="clear" w:color="auto" w:fill="CCEEFF"/>
          </w:tcPr>
          <w:p>
            <w:pPr>
              <w:jc w:val="right"/>
              <w:ind w:right="35"/>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24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1,121,970</w:t>
            </w:r>
          </w:p>
        </w:tc>
        <w:tc>
          <w:tcPr>
            <w:tcW w:w="40" w:type="dxa"/>
            <w:vAlign w:val="bottom"/>
            <w:shd w:val="clear" w:color="auto" w:fill="CCEEFF"/>
          </w:tcPr>
          <w:p>
            <w:pPr>
              <w:spacing w:after="0"/>
              <w:rPr>
                <w:sz w:val="8"/>
                <w:szCs w:val="8"/>
                <w:color w:val="auto"/>
              </w:rPr>
            </w:pPr>
          </w:p>
        </w:tc>
        <w:tc>
          <w:tcPr>
            <w:tcW w:w="80" w:type="dxa"/>
            <w:vAlign w:val="bottom"/>
            <w:gridSpan w:val="2"/>
            <w:shd w:val="clear" w:color="auto" w:fill="CCEEFF"/>
          </w:tcPr>
          <w:p>
            <w:pPr>
              <w:spacing w:after="0"/>
              <w:rPr>
                <w:sz w:val="8"/>
                <w:szCs w:val="8"/>
                <w:color w:val="auto"/>
              </w:rPr>
            </w:pPr>
          </w:p>
        </w:tc>
        <w:tc>
          <w:tcPr>
            <w:tcW w:w="8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(1,802)</w:t>
            </w: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4" w:lineRule="exact"/>
              <w:rPr>
                <w:sz w:val="20"/>
                <w:szCs w:val="20"/>
                <w:color w:val="auto"/>
              </w:rPr>
            </w:pPr>
            <w:r>
              <w:rPr>
                <w:rFonts w:ascii="Times New Roman" w:cs="Times New Roman" w:eastAsia="Times New Roman" w:hAnsi="Times New Roman"/>
                <w:sz w:val="10"/>
                <w:szCs w:val="10"/>
                <w:color w:val="auto"/>
                <w:w w:val="79"/>
              </w:rPr>
              <w:t>$</w:t>
            </w: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94" w:lineRule="exact"/>
              <w:rPr>
                <w:sz w:val="20"/>
                <w:szCs w:val="20"/>
                <w:color w:val="auto"/>
              </w:rPr>
            </w:pPr>
            <w:r>
              <w:rPr>
                <w:rFonts w:ascii="Times New Roman" w:cs="Times New Roman" w:eastAsia="Times New Roman" w:hAnsi="Times New Roman"/>
                <w:sz w:val="10"/>
                <w:szCs w:val="10"/>
                <w:color w:val="auto"/>
              </w:rPr>
              <w:t>1,424</w:t>
            </w:r>
          </w:p>
        </w:tc>
        <w:tc>
          <w:tcPr>
            <w:tcW w:w="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500" w:type="dxa"/>
            <w:vAlign w:val="bottom"/>
            <w:gridSpan w:val="2"/>
            <w:shd w:val="clear" w:color="auto" w:fill="CCEEFF"/>
          </w:tcPr>
          <w:p>
            <w:pPr>
              <w:spacing w:after="0" w:line="146" w:lineRule="exact"/>
              <w:rPr>
                <w:sz w:val="20"/>
                <w:szCs w:val="20"/>
                <w:color w:val="auto"/>
              </w:rPr>
            </w:pPr>
            <w:r>
              <w:rPr>
                <w:rFonts w:ascii="Times New Roman" w:cs="Times New Roman" w:eastAsia="Times New Roman" w:hAnsi="Times New Roman"/>
                <w:sz w:val="13"/>
                <w:szCs w:val="13"/>
                <w:i w:val="1"/>
                <w:iCs w:val="1"/>
                <w:color w:val="auto"/>
              </w:rPr>
              <w:t>contracts</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Cost of sales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(616,370)</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(579,052)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As of September 30, 2026, a gain of $0.1 million, or $0.0 million after taxes, was expected to be reclassified from AOCI to earnings in revenue and cost of sales over the succeeding twelve months.</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Derivative Instruments Not Designated as Hedging Instruments</w:t>
      </w:r>
    </w:p>
    <w:p>
      <w:pPr>
        <w:spacing w:after="0" w:line="172"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following gains/(losses) from these derivative instruments were recognized in our consolidated statements of income for the periods presented (in thousands):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100" w:type="dxa"/>
            <w:vAlign w:val="bottom"/>
          </w:tcPr>
          <w:p>
            <w:pPr>
              <w:spacing w:after="0"/>
              <w:rPr>
                <w:sz w:val="12"/>
                <w:szCs w:val="12"/>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160" w:type="dxa"/>
            <w:vAlign w:val="bottom"/>
          </w:tcPr>
          <w:p>
            <w:pPr>
              <w:spacing w:after="0"/>
              <w:rPr>
                <w:sz w:val="12"/>
                <w:szCs w:val="12"/>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1480" w:type="dxa"/>
            <w:vAlign w:val="bottom"/>
            <w:gridSpan w:val="5"/>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280" w:type="dxa"/>
            <w:vAlign w:val="bottom"/>
            <w:gridSpan w:val="2"/>
            <w:vMerge w:val="restart"/>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3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80" w:type="dxa"/>
            <w:vAlign w:val="bottom"/>
            <w:gridSpan w:val="2"/>
            <w:vMerge w:val="continue"/>
          </w:tcPr>
          <w:p>
            <w:pPr>
              <w:spacing w:after="0"/>
              <w:rPr>
                <w:sz w:val="13"/>
                <w:szCs w:val="13"/>
                <w:color w:val="auto"/>
              </w:rPr>
            </w:pPr>
          </w:p>
        </w:tc>
        <w:tc>
          <w:tcPr>
            <w:tcW w:w="1440" w:type="dxa"/>
            <w:vAlign w:val="bottom"/>
            <w:gridSpan w:val="4"/>
          </w:tcPr>
          <w:p>
            <w:pPr>
              <w:ind w:left="24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87"/>
        </w:trPr>
        <w:tc>
          <w:tcPr>
            <w:tcW w:w="32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Derivative Instrument</w:t>
            </w:r>
          </w:p>
        </w:tc>
        <w:tc>
          <w:tcPr>
            <w:tcW w:w="23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Location in statements of income</w:t>
            </w:r>
          </w:p>
        </w:tc>
        <w:tc>
          <w:tcPr>
            <w:tcW w:w="1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ind w:right="155"/>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6"/>
        </w:trPr>
        <w:tc>
          <w:tcPr>
            <w:tcW w:w="3100" w:type="dxa"/>
            <w:vAlign w:val="bottom"/>
            <w:tcBorders>
              <w:top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3"/>
                <w:szCs w:val="13"/>
                <w:i w:val="1"/>
                <w:iCs w:val="1"/>
                <w:color w:val="auto"/>
              </w:rPr>
              <w:t>Foreign currency forward contracts</w:t>
            </w:r>
          </w:p>
        </w:tc>
        <w:tc>
          <w:tcPr>
            <w:tcW w:w="160" w:type="dxa"/>
            <w:vAlign w:val="bottom"/>
            <w:tcBorders>
              <w:top w:val="single" w:sz="8" w:color="CCEEFF"/>
            </w:tcBorders>
            <w:shd w:val="clear" w:color="auto" w:fill="CCEEFF"/>
          </w:tcPr>
          <w:p>
            <w:pPr>
              <w:spacing w:after="0"/>
              <w:rPr>
                <w:sz w:val="10"/>
                <w:szCs w:val="10"/>
                <w:color w:val="auto"/>
              </w:rPr>
            </w:pPr>
          </w:p>
        </w:tc>
        <w:tc>
          <w:tcPr>
            <w:tcW w:w="2160" w:type="dxa"/>
            <w:vAlign w:val="bottom"/>
            <w:tcBorders>
              <w:top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3"/>
                <w:szCs w:val="13"/>
                <w:color w:val="auto"/>
              </w:rPr>
              <w:t>Other income (expense) — net</w:t>
            </w: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(2,032)</w:t>
            </w: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(731)</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(5,473)</w:t>
            </w:r>
          </w:p>
        </w:tc>
        <w:tc>
          <w:tcPr>
            <w:tcW w:w="1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3"/>
                <w:szCs w:val="13"/>
                <w:color w:val="auto"/>
              </w:rPr>
              <w:t>451</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10.  Commitments and Contingencies.</w:t>
      </w:r>
    </w:p>
    <w:p>
      <w:pPr>
        <w:spacing w:after="0" w:line="18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6"/>
          <w:szCs w:val="16"/>
          <w:b w:val="1"/>
          <w:bCs w:val="1"/>
          <w:color w:val="auto"/>
        </w:rPr>
        <w:t xml:space="preserve">Litigation. </w:t>
      </w:r>
      <w:r>
        <w:rPr>
          <w:rFonts w:ascii="Times New Roman" w:cs="Times New Roman" w:eastAsia="Times New Roman" w:hAnsi="Times New Roman"/>
          <w:sz w:val="16"/>
          <w:szCs w:val="16"/>
          <w:color w:val="auto"/>
        </w:rPr>
        <w:t>In the ordinary course of business, we are involved in various claims and litigation matters. These proceedings, actions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claims may involve product liability, intellectual property, contract disputes, employment, governmental inquiries or other matters. These matters generally involve inherent uncertainties and often require prolonged periods of time to resolve. In certain proceedings, the claimants may seek damages as well as other compensatory and equitable relief that could result in the payment of significant claims and settlements and/or the imposition of injunctions or other equitable relief. For legal matters for which our management had sufficient information to reasonably estimate our future obligations, a liability representing management’s best estimate of the probable loss, or the minimum of the range of probable losses when a best estimate within the range is not known, is recorded. The estimates are based on consultation with legal counsel, previous settlement experience and settlement strategies. If actual outcomes are less favorable than those estimated by management, additional expense may be incurred, which could unfavorably affect our financial position, results of operations and cash flows. The ultimate cost to us with respect to actions and claims could be materially different than the amount of the current estimates and accruals and could have a material adverse effect on our financial position, results of operations and cash flows. Unless included in our legal accrual, we are unable to estimate a reasonably possible loss or range of loss associated with any individual material legal proceeding. Legal costs for these matters, such as outside counsel fees and expenses, are charged to expense in the period incurred.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In management's opinion, based on its examination of these matters, its experience to date and discussions with counsel, we are not currently involved in any legal proceedings which, individually or in the aggregate, could have a material adverse effect on our financial position, results of operations or cash flows. Our management regularly assesses the risks of legal proceedings in which we are involved, and management’s view of these matters may change in the future.</w:t>
      </w:r>
    </w:p>
    <w:p>
      <w:pPr>
        <w:spacing w:after="0" w:line="133" w:lineRule="exact"/>
        <w:rPr>
          <w:sz w:val="20"/>
          <w:szCs w:val="20"/>
          <w:color w:val="auto"/>
        </w:rPr>
      </w:pPr>
    </w:p>
    <w:p>
      <w:pPr>
        <w:ind w:left="40" w:right="139" w:firstLine="2"/>
        <w:spacing w:after="0" w:line="273" w:lineRule="auto"/>
        <w:tabs>
          <w:tab w:leader="none" w:pos="356" w:val="left"/>
        </w:tabs>
        <w:numPr>
          <w:ilvl w:val="0"/>
          <w:numId w:val="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Earnings Per Common Share (EPS). </w:t>
      </w:r>
      <w:r>
        <w:rPr>
          <w:rFonts w:ascii="Times New Roman" w:cs="Times New Roman" w:eastAsia="Times New Roman" w:hAnsi="Times New Roman"/>
          <w:sz w:val="16"/>
          <w:szCs w:val="16"/>
          <w:color w:val="auto"/>
        </w:rPr>
        <w:t>The computation of weighted average shares outstanding and the basic and diluted earnings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 common share for the three and nine-month periods ended September 30, 2026 and 2025 consisted of the following (in thousands, except per share amounts):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80" w:type="dxa"/>
            <w:vAlign w:val="bottom"/>
            <w:gridSpan w:val="5"/>
          </w:tcPr>
          <w:p>
            <w:pPr>
              <w:ind w:left="2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Pr>
          <w:p>
            <w:pPr>
              <w:spacing w:after="0"/>
              <w:rPr>
                <w:sz w:val="12"/>
                <w:szCs w:val="12"/>
                <w:color w:val="auto"/>
              </w:rPr>
            </w:pPr>
          </w:p>
        </w:tc>
        <w:tc>
          <w:tcPr>
            <w:tcW w:w="1980" w:type="dxa"/>
            <w:vAlign w:val="bottom"/>
            <w:gridSpan w:val="4"/>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4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3"/>
                <w:szCs w:val="13"/>
                <w:color w:val="auto"/>
              </w:rPr>
            </w:pPr>
          </w:p>
        </w:tc>
      </w:tr>
      <w:tr>
        <w:trPr>
          <w:trHeight w:val="126"/>
        </w:trPr>
        <w:tc>
          <w:tcPr>
            <w:tcW w:w="404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3"/>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3"/>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8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42,311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122,109</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90,483</w:t>
            </w:r>
          </w:p>
        </w:tc>
      </w:tr>
      <w:tr>
        <w:trPr>
          <w:trHeight w:val="195"/>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59,806</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59,245</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59,666</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59,095</w:t>
            </w:r>
          </w:p>
        </w:tc>
      </w:tr>
      <w:tr>
        <w:trPr>
          <w:trHeight w:val="187"/>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EPS</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195"/>
        </w:trPr>
        <w:tc>
          <w:tcPr>
            <w:tcW w:w="4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common shares outstanding</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59,245</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59,666</w:t>
            </w: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59,095</w:t>
            </w:r>
          </w:p>
        </w:tc>
      </w:tr>
      <w:tr>
        <w:trPr>
          <w:trHeight w:val="195"/>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stock awards</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r>
      <w:tr>
        <w:trPr>
          <w:trHeight w:val="19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dilutive convertible notes</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w:t>
            </w:r>
          </w:p>
        </w:tc>
      </w:tr>
      <w:tr>
        <w:trPr>
          <w:trHeight w:val="227"/>
        </w:trPr>
        <w:tc>
          <w:tcPr>
            <w:tcW w:w="4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potential shares outstanding</w:t>
            </w:r>
          </w:p>
        </w:tc>
        <w:tc>
          <w:tcPr>
            <w:tcW w:w="2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60,379</w:t>
            </w:r>
          </w:p>
        </w:tc>
        <w:tc>
          <w:tcPr>
            <w:tcW w:w="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59,919</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60,134</w:t>
            </w:r>
          </w:p>
        </w:tc>
        <w:tc>
          <w:tcPr>
            <w:tcW w:w="2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60,604</w:t>
            </w:r>
          </w:p>
        </w:tc>
      </w:tr>
      <w:tr>
        <w:trPr>
          <w:trHeight w:val="172"/>
        </w:trPr>
        <w:tc>
          <w:tcPr>
            <w:tcW w:w="40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Diluted EPS</w:t>
            </w: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0.70</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0.46</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5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2.03</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line="171" w:lineRule="exact"/>
              <w:rPr>
                <w:sz w:val="20"/>
                <w:szCs w:val="20"/>
                <w:color w:val="auto"/>
              </w:rPr>
            </w:pPr>
            <w:r>
              <w:rPr>
                <w:rFonts w:ascii="Times New Roman" w:cs="Times New Roman" w:eastAsia="Times New Roman" w:hAnsi="Times New Roman"/>
                <w:sz w:val="16"/>
                <w:szCs w:val="16"/>
                <w:color w:val="auto"/>
              </w:rPr>
              <w:t>1.49</w:t>
            </w:r>
          </w:p>
        </w:tc>
      </w:tr>
      <w:tr>
        <w:trPr>
          <w:trHeight w:val="207"/>
        </w:trPr>
        <w:tc>
          <w:tcPr>
            <w:tcW w:w="4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7"/>
        </w:trPr>
        <w:tc>
          <w:tcPr>
            <w:tcW w:w="40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6"/>
                <w:szCs w:val="16"/>
                <w:color w:val="auto"/>
              </w:rPr>
              <w:t xml:space="preserve">Equity awards excluded as the impact was anti-dilutive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bl>
    <w:p>
      <w:pPr>
        <w:ind w:left="340" w:hanging="298"/>
        <w:spacing w:after="0"/>
        <w:tabs>
          <w:tab w:leader="none" w:pos="34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Does not reflect the impact of incremental repurchases under the treasury stock method.</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Convertible Notes</w:t>
      </w:r>
    </w:p>
    <w:p>
      <w:pPr>
        <w:spacing w:after="0" w:line="18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For our Convertible Notes, the dilutive effect has been calculated using the if-converted method. Upon surrender of the Convertible Notes for conversion, Merit will pay cash up to the aggregate principal amount of the Notes to be converted and pay or deliver, as the case may be, cash, shares of Common Stock or a combination of cash and shares of Common Stock, at Merit’s election, in respect of the remainder, if any, of Merit’s conversion obligation in excess of the aggregate principal amount of the Convertible Notes being converted. Under the if-converted method, we include the number of shares required to satisfy the remaining conversion obligation, assuming all the Convertible Notes were converted. The convertible notes only have an impact on diluted earnings per share when the average share price of our Common Stock exceeds the conversion price of $86.83. The average closing price of the Common Stock for the three and nine-month periods ended September 30, 2026 and 2025, respectively, was used as the basis for determining the dilutive effect on EPS.</w:t>
      </w:r>
    </w:p>
    <w:p>
      <w:pPr>
        <w:spacing w:after="0" w:line="200" w:lineRule="exact"/>
        <w:rPr>
          <w:sz w:val="20"/>
          <w:szCs w:val="20"/>
          <w:color w:val="auto"/>
        </w:rPr>
      </w:pPr>
    </w:p>
    <w:p>
      <w:pPr>
        <w:spacing w:after="0" w:line="319" w:lineRule="exact"/>
        <w:rPr>
          <w:sz w:val="20"/>
          <w:szCs w:val="20"/>
          <w:color w:val="auto"/>
        </w:rPr>
      </w:pPr>
    </w:p>
    <w:p>
      <w:pPr>
        <w:ind w:left="40" w:right="79" w:firstLine="2"/>
        <w:spacing w:after="0" w:line="292" w:lineRule="auto"/>
        <w:tabs>
          <w:tab w:leader="none" w:pos="365" w:val="left"/>
        </w:tabs>
        <w:numPr>
          <w:ilvl w:val="0"/>
          <w:numId w:val="1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Stock-Based Compensation Expense. </w:t>
      </w:r>
      <w:r>
        <w:rPr>
          <w:rFonts w:ascii="Times New Roman" w:cs="Times New Roman" w:eastAsia="Times New Roman" w:hAnsi="Times New Roman"/>
          <w:sz w:val="16"/>
          <w:szCs w:val="16"/>
          <w:color w:val="auto"/>
        </w:rPr>
        <w:t>Stock-based compensation expense before income tax expense for the three and nine-month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periods ended September 30, 2026 and 2025 consisted of the following (in thousands):</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gridSpan w:val="4"/>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5"/>
          </w:tcPr>
          <w:p>
            <w:pPr>
              <w:jc w:val="center"/>
              <w:ind w:right="122"/>
              <w:spacing w:after="0"/>
              <w:rPr>
                <w:sz w:val="20"/>
                <w:szCs w:val="20"/>
                <w:color w:val="auto"/>
              </w:rPr>
            </w:pPr>
            <w:r>
              <w:rPr>
                <w:rFonts w:ascii="Times New Roman" w:cs="Times New Roman" w:eastAsia="Times New Roman" w:hAnsi="Times New Roman"/>
                <w:sz w:val="13"/>
                <w:szCs w:val="13"/>
                <w:b w:val="1"/>
                <w:bCs w:val="1"/>
                <w:color w:val="auto"/>
                <w:w w:val="98"/>
              </w:rPr>
              <w:t>Nine Months Ended</w:t>
            </w:r>
          </w:p>
        </w:tc>
        <w:tc>
          <w:tcPr>
            <w:tcW w:w="0" w:type="dxa"/>
            <w:vAlign w:val="bottom"/>
          </w:tcPr>
          <w:p>
            <w:pPr>
              <w:spacing w:after="0"/>
              <w:rPr>
                <w:sz w:val="1"/>
                <w:szCs w:val="1"/>
                <w:color w:val="auto"/>
              </w:rPr>
            </w:pPr>
          </w:p>
        </w:tc>
      </w:tr>
      <w:tr>
        <w:trPr>
          <w:trHeight w:val="156"/>
        </w:trPr>
        <w:tc>
          <w:tcPr>
            <w:tcW w:w="4780" w:type="dxa"/>
            <w:vAlign w:val="bottom"/>
            <w:vMerge w:val="restart"/>
          </w:tcPr>
          <w:p>
            <w:pPr>
              <w:ind w:left="46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80" w:type="dxa"/>
            <w:vAlign w:val="bottom"/>
            <w:tcBorders>
              <w:bottom w:val="single" w:sz="8" w:color="auto"/>
            </w:tcBorders>
          </w:tcPr>
          <w:p>
            <w:pPr>
              <w:spacing w:after="0"/>
              <w:rPr>
                <w:sz w:val="13"/>
                <w:szCs w:val="13"/>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4"/>
          </w:tcPr>
          <w:p>
            <w:pPr>
              <w:jc w:val="center"/>
              <w:ind w:left="30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4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226"/>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gridSpan w:val="2"/>
          </w:tcPr>
          <w:p>
            <w:pPr>
              <w:jc w:val="right"/>
              <w:ind w:right="239"/>
              <w:spacing w:after="0" w:line="12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222"/>
              <w:spacing w:after="0" w:line="126"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ind w:right="246"/>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gridSpan w:val="3"/>
          </w:tcPr>
          <w:p>
            <w:pPr>
              <w:jc w:val="center"/>
              <w:ind w:right="204"/>
              <w:spacing w:after="0" w:line="126"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242"/>
              <w:spacing w:after="0" w:line="126"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87"/>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w:t>
            </w:r>
          </w:p>
        </w:tc>
        <w:tc>
          <w:tcPr>
            <w:tcW w:w="0" w:type="dxa"/>
            <w:vAlign w:val="bottom"/>
          </w:tcPr>
          <w:p>
            <w:pPr>
              <w:spacing w:after="0"/>
              <w:rPr>
                <w:sz w:val="1"/>
                <w:szCs w:val="1"/>
                <w:color w:val="auto"/>
              </w:rPr>
            </w:pPr>
          </w:p>
        </w:tc>
      </w:tr>
      <w:tr>
        <w:trPr>
          <w:trHeight w:val="195"/>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12,113</w:t>
            </w:r>
          </w:p>
        </w:tc>
        <w:tc>
          <w:tcPr>
            <w:tcW w:w="1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12,421</w:t>
            </w:r>
          </w:p>
        </w:tc>
        <w:tc>
          <w:tcPr>
            <w:tcW w:w="2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31,323</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29,745</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 before taxes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13,621</w:t>
            </w:r>
          </w:p>
        </w:tc>
        <w:tc>
          <w:tcPr>
            <w:tcW w:w="180" w:type="dxa"/>
            <w:vAlign w:val="bottom"/>
          </w:tcPr>
          <w:p>
            <w:pPr>
              <w:spacing w:after="0"/>
              <w:rPr>
                <w:sz w:val="16"/>
                <w:szCs w:val="16"/>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13,612</w:t>
            </w:r>
          </w:p>
        </w:tc>
        <w:tc>
          <w:tcPr>
            <w:tcW w:w="22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35,497</w:t>
            </w:r>
          </w:p>
        </w:tc>
        <w:tc>
          <w:tcPr>
            <w:tcW w:w="200" w:type="dxa"/>
            <w:vAlign w:val="bottom"/>
            <w:gridSpan w:val="2"/>
          </w:tcPr>
          <w:p>
            <w:pPr>
              <w:spacing w:after="0"/>
              <w:rPr>
                <w:sz w:val="16"/>
                <w:szCs w:val="16"/>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33,563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We recognize stock-based compensation expense (net of a forfeiture rate), for those awards which are expected to vest, on a straight-line basis over the requisite service period. We estimate the forfeiture rate based on our historical experience and expectations about future forfeitures.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Nonqualified Stock Options</w:t>
      </w:r>
    </w:p>
    <w:p>
      <w:pPr>
        <w:spacing w:after="0" w:line="184"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During the nine months ended September 30, 2026 and 2025, we did not grant any stock options. As of September 30, 2026, the total remaining unrecognized compensation cost related to non-vested stock options was $1.7 million, which was expected to be recognized over a weighted average period of 0.7 years.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Stock-Settled Performance-Based Restricted Stock Units (“Performance Stock Units”)</w:t>
      </w:r>
    </w:p>
    <w:p>
      <w:pPr>
        <w:spacing w:after="0" w:line="172"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During the nine-month periods ended September 30, 2026 and 2025, we granted Performance Stock Units which represented awards of up to 490,985 and 290,120 shares of Common Stock, respectively. Settlement of the Performance Stock Units into shares of Common Stock occurs at the end of the relevant performance periods. The actual number of shares of Common Stock issuable at the end of the performance periods is based upon Company performance towards specified financial performance targets and relative total shareholder return as compared to the Russell 2000 Index (“rTSR”), all as more specifically set forth in the Performance Stock Unit award agreements.</w:t>
      </w:r>
    </w:p>
    <w:p>
      <w:pPr>
        <w:spacing w:after="0" w:line="337"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We use Monte-Carlo simulations to estimate the grant-date fair value of the Performance Stock Units linked to total shareholder return. The fair value of each performance stock unit was estimated as of the grant date using the following assumptions for awards granted in the periods indicated below:</w:t>
      </w:r>
    </w:p>
    <w:p>
      <w:pPr>
        <w:spacing w:after="0" w:line="1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ind w:left="7180"/>
        <w:spacing w:after="0" w:line="226" w:lineRule="auto"/>
        <w:rPr>
          <w:sz w:val="20"/>
          <w:szCs w:val="20"/>
          <w:color w:val="auto"/>
        </w:rPr>
      </w:pPr>
      <w:r>
        <w:rPr>
          <w:rFonts w:ascii="Times New Roman" w:cs="Times New Roman" w:eastAsia="Times New Roman" w:hAnsi="Times New Roman"/>
          <w:sz w:val="13"/>
          <w:szCs w:val="13"/>
          <w:b w:val="1"/>
          <w:bCs w:val="1"/>
          <w:color w:val="auto"/>
        </w:rPr>
        <w:t>September 30,</w:t>
      </w:r>
    </w:p>
    <w:tbl>
      <w:tblPr>
        <w:tblLayout w:type="fixed"/>
        <w:tblInd w:w="40" w:type="dxa"/>
        <w:tblCellMar>
          <w:top w:w="0" w:type="dxa"/>
          <w:left w:w="0" w:type="dxa"/>
          <w:bottom w:w="0" w:type="dxa"/>
          <w:right w:w="0" w:type="dxa"/>
        </w:tblCellMar>
      </w:tblPr>
      <w:tr>
        <w:trPr>
          <w:trHeight w:val="126"/>
        </w:trPr>
        <w:tc>
          <w:tcPr>
            <w:tcW w:w="3800" w:type="dxa"/>
            <w:vAlign w:val="bottom"/>
            <w:tcBorders>
              <w:bottom w:val="single" w:sz="8" w:color="CCEEFF"/>
            </w:tcBorders>
          </w:tcPr>
          <w:p>
            <w:pPr>
              <w:spacing w:after="0"/>
              <w:rPr>
                <w:sz w:val="10"/>
                <w:szCs w:val="10"/>
                <w:color w:val="auto"/>
              </w:rPr>
            </w:pPr>
          </w:p>
        </w:tc>
        <w:tc>
          <w:tcPr>
            <w:tcW w:w="2380" w:type="dxa"/>
            <w:vAlign w:val="bottom"/>
            <w:tcBorders>
              <w:bottom w:val="single" w:sz="8" w:color="CCEEFF"/>
            </w:tcBorders>
          </w:tcPr>
          <w:p>
            <w:pPr>
              <w:spacing w:after="0"/>
              <w:rPr>
                <w:sz w:val="10"/>
                <w:szCs w:val="10"/>
                <w:color w:val="auto"/>
              </w:rPr>
            </w:pPr>
          </w:p>
        </w:tc>
        <w:tc>
          <w:tcPr>
            <w:tcW w:w="1240" w:type="dxa"/>
            <w:vAlign w:val="bottom"/>
            <w:tcBorders>
              <w:top w:val="single" w:sz="8" w:color="auto"/>
              <w:bottom w:val="single" w:sz="8" w:color="auto"/>
            </w:tcBorders>
            <w:gridSpan w:val="2"/>
          </w:tcPr>
          <w:p>
            <w:pPr>
              <w:jc w:val="right"/>
              <w:ind w:right="419"/>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Borders>
              <w:top w:val="single" w:sz="8" w:color="auto"/>
              <w:bottom w:val="single" w:sz="8" w:color="CCEEFF"/>
            </w:tcBorders>
          </w:tcPr>
          <w:p>
            <w:pPr>
              <w:spacing w:after="0"/>
              <w:rPr>
                <w:sz w:val="10"/>
                <w:szCs w:val="10"/>
                <w:color w:val="auto"/>
              </w:rPr>
            </w:pPr>
          </w:p>
        </w:tc>
        <w:tc>
          <w:tcPr>
            <w:tcW w:w="1260" w:type="dxa"/>
            <w:vAlign w:val="bottom"/>
            <w:tcBorders>
              <w:top w:val="single" w:sz="8" w:color="auto"/>
              <w:bottom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87"/>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interest rate</w:t>
            </w:r>
          </w:p>
        </w:tc>
        <w:tc>
          <w:tcPr>
            <w:tcW w:w="2380" w:type="dxa"/>
            <w:vAlign w:val="bottom"/>
            <w:shd w:val="clear" w:color="auto" w:fill="CCEEFF"/>
          </w:tcPr>
          <w:p>
            <w:pPr>
              <w:ind w:left="222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- 3.8%</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w:t>
            </w:r>
          </w:p>
        </w:tc>
      </w:tr>
      <w:tr>
        <w:trPr>
          <w:trHeight w:val="195"/>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Performance period</w:t>
            </w:r>
          </w:p>
        </w:tc>
        <w:tc>
          <w:tcPr>
            <w:tcW w:w="2380" w:type="dxa"/>
            <w:vAlign w:val="bottom"/>
          </w:tcPr>
          <w:p>
            <w:pPr>
              <w:spacing w:after="0"/>
              <w:rPr>
                <w:sz w:val="16"/>
                <w:szCs w:val="16"/>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2.8 years</w:t>
            </w:r>
          </w:p>
        </w:tc>
        <w:tc>
          <w:tcPr>
            <w:tcW w:w="240" w:type="dxa"/>
            <w:vAlign w:val="bottom"/>
          </w:tcPr>
          <w:p>
            <w:pPr>
              <w:spacing w:after="0"/>
              <w:rPr>
                <w:sz w:val="16"/>
                <w:szCs w:val="16"/>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2.8 years</w:t>
            </w:r>
          </w:p>
        </w:tc>
      </w:tr>
      <w:tr>
        <w:trPr>
          <w:trHeight w:val="195"/>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Expected dividend yield</w:t>
            </w:r>
          </w:p>
        </w:tc>
        <w:tc>
          <w:tcPr>
            <w:tcW w:w="2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1"/>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Expected price volatility</w:t>
            </w:r>
          </w:p>
        </w:tc>
        <w:tc>
          <w:tcPr>
            <w:tcW w:w="2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- 28.7%</w:t>
            </w:r>
          </w:p>
        </w:tc>
        <w:tc>
          <w:tcPr>
            <w:tcW w:w="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28.0%</w:t>
            </w:r>
          </w:p>
        </w:tc>
      </w:tr>
    </w:tbl>
    <w:p>
      <w:pPr>
        <w:spacing w:after="0" w:line="126"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The risk-free interest rate of return was determined using the U.S. Treasury rate at the time of grant with a term equal to the expected term of the award. The expected volatility was based on the weighted average volatility of our stock price and the average volatility of our compensation peer group's stock price. The expected dividend yield was assumed to be zero because, at the time of the grant, we had no plans to declare a dividend.</w:t>
      </w:r>
    </w:p>
    <w:p>
      <w:pPr>
        <w:spacing w:after="0" w:line="135" w:lineRule="exact"/>
        <w:rPr>
          <w:sz w:val="20"/>
          <w:szCs w:val="20"/>
          <w:color w:val="auto"/>
        </w:rPr>
      </w:pPr>
    </w:p>
    <w:p>
      <w:pPr>
        <w:jc w:val="both"/>
        <w:ind w:left="40" w:right="59"/>
        <w:spacing w:after="0" w:line="262" w:lineRule="auto"/>
        <w:rPr>
          <w:sz w:val="20"/>
          <w:szCs w:val="20"/>
          <w:color w:val="auto"/>
        </w:rPr>
      </w:pPr>
      <w:r>
        <w:rPr>
          <w:rFonts w:ascii="Times New Roman" w:cs="Times New Roman" w:eastAsia="Times New Roman" w:hAnsi="Times New Roman"/>
          <w:sz w:val="16"/>
          <w:szCs w:val="16"/>
          <w:color w:val="auto"/>
        </w:rPr>
        <w:t>Compensation expense is recognized using the grant-date fair value for the number of shares that are likely to be awarded based on the performance metrics. Each reporting period, this probability assessment is updated, and cumulative adjustments are recorded based on the financial performance metrics expected to be achieved. At the end of the performance period, cumulative expense is calculated based on the actual performance metrics achieved. As of September 30, 2026, the total remaining unrecognized compensation cost related to stock-settled Performance Stock Units was $34.7 million, which is expected to be recognized over a weighted average period of 1.5 years.</w:t>
      </w:r>
    </w:p>
    <w:p>
      <w:pPr>
        <w:spacing w:after="0" w:line="3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Cash-Settled Performance-Based Awards</w:t>
      </w:r>
    </w:p>
    <w:p>
      <w:pPr>
        <w:spacing w:after="0" w:line="17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During the nine-month period ended September 30, 2025, we granted Performance Stock Units to Fred P. Lampropoulos, our former Chief Executive Officer that provided for settlement in cash upon achievement of specific metrics (“CEO Liability Awards”), with total target cash incentives in the amount of $1.7 million. The CEO Liability Awards entitled Mr. Lampropoulos to a target cash payment based upon our level of rTSR performance and achievement of other performance metrics, as defined in the award agreements. During the nine-month period ended September 30, 2026, we paid $2.7 million in connection with the settlement of vested CEO Liability Awards granted during 2023. All other unvested CEO Liability Awards were forfeited as of December 31, 2025.</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Restricted Stock Units</w:t>
      </w:r>
    </w:p>
    <w:p>
      <w:pPr>
        <w:spacing w:after="0" w:line="18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During the nine-month periods ended September 30, 2026 and 2025, we granted restricted stock units to certain employees and non-employee directors representing 406,196 and 135,778 shares of Common Stock, respectively. The expense recognized for restricted stock units is equal to the closing stock price on the date of grant, which is recognized over the vesting period. Restricted stock units granted to each employee are subject to such employee’s continued employment through the vesting date, which is between three and four years from the date of grant. Restricted stock units granted to each non-employee director are subject to such director’s continued service through the vesting date, which is approximately one year from the grant date. As of September 30, 2026, the total remaining unrecognized compensation cost related to restricted stock units was $40.6 million, which was expected to be recognized over a weighted average period of 2.1 years.</w:t>
      </w:r>
    </w:p>
    <w:p>
      <w:pPr>
        <w:spacing w:after="0" w:line="131"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In addition to the awards described above, we issue restricted stock units and performance stock units, each settled in cash, in certain countries that do not result in the issuance of common stock and are considered immaterial.</w:t>
      </w:r>
    </w:p>
    <w:p>
      <w:pPr>
        <w:spacing w:after="0" w:line="311" w:lineRule="exact"/>
        <w:rPr>
          <w:sz w:val="20"/>
          <w:szCs w:val="20"/>
          <w:color w:val="auto"/>
        </w:rPr>
      </w:pPr>
    </w:p>
    <w:p>
      <w:pPr>
        <w:jc w:val="both"/>
        <w:ind w:left="40" w:right="59" w:firstLine="2"/>
        <w:spacing w:after="0" w:line="259" w:lineRule="auto"/>
        <w:tabs>
          <w:tab w:leader="none" w:pos="374" w:val="left"/>
        </w:tabs>
        <w:numPr>
          <w:ilvl w:val="0"/>
          <w:numId w:val="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Segment Reporting. </w:t>
      </w:r>
      <w:r>
        <w:rPr>
          <w:rFonts w:ascii="Times New Roman" w:cs="Times New Roman" w:eastAsia="Times New Roman" w:hAnsi="Times New Roman"/>
          <w:sz w:val="16"/>
          <w:szCs w:val="16"/>
          <w:color w:val="auto"/>
        </w:rPr>
        <w:t>Beginning in the first quarter of 2026, we report our operations as a single operating segment that consists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two product categories: foundational and therapeutic. Foundational products are used primarily for access and enabling functions in vascular and other procedures, and include product platforms such as access devices, procedural solutions, OEM products, and vascular intervention. Therapeutic products are devices and systems used to treat a broad array of diseases, and include product platforms such as cardiac therapies, oncology, renal therapies, vascular intervention, OEM products and endoscopy. See Note 3, </w:t>
      </w:r>
      <w:r>
        <w:rPr>
          <w:rFonts w:ascii="Times New Roman" w:cs="Times New Roman" w:eastAsia="Times New Roman" w:hAnsi="Times New Roman"/>
          <w:sz w:val="16"/>
          <w:szCs w:val="16"/>
          <w:i w:val="1"/>
          <w:iCs w:val="1"/>
          <w:color w:val="auto"/>
        </w:rPr>
        <w:t>Revenue from Contracts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with Customers </w:t>
      </w:r>
      <w:r>
        <w:rPr>
          <w:rFonts w:ascii="Times New Roman" w:cs="Times New Roman" w:eastAsia="Times New Roman" w:hAnsi="Times New Roman"/>
          <w:sz w:val="16"/>
          <w:szCs w:val="16"/>
          <w:color w:val="auto"/>
        </w:rPr>
        <w:t>for a detailed breakout of our sales by product category, platform and geography. Our CODM is our Chief Executive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Officer, who uses consolidated net income to measure segment profit or loss, assess performance and allocate resources, primarily through periodic budgeting and performance reviews. The CODM does not use asset information to assess performance or allocate resources. All information previously reported by segment has been recast to conform to this single segment conclusion.</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represents total segment revenue and significant segment expenses for the periods indicated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gridSpan w:val="4"/>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45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6"/>
        </w:trPr>
        <w:tc>
          <w:tcPr>
            <w:tcW w:w="45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82"/>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80"/>
              <w:spacing w:after="0" w:line="126"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2"/>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8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87"/>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416,244</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384,157</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1,216,964</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1,121,970</w:t>
            </w:r>
          </w:p>
        </w:tc>
      </w:tr>
      <w:tr>
        <w:trPr>
          <w:trHeight w:val="195"/>
        </w:trPr>
        <w:tc>
          <w:tcPr>
            <w:tcW w:w="4580" w:type="dxa"/>
            <w:vAlign w:val="bottom"/>
          </w:tcPr>
          <w:p>
            <w:pPr>
              <w:spacing w:after="0" w:line="196" w:lineRule="exact"/>
              <w:rPr>
                <w:sz w:val="20"/>
                <w:szCs w:val="20"/>
                <w:color w:val="auto"/>
              </w:rPr>
            </w:pPr>
            <w:r>
              <w:rPr>
                <w:rFonts w:ascii="Times New Roman" w:cs="Times New Roman" w:eastAsia="Times New Roman" w:hAnsi="Times New Roman"/>
                <w:sz w:val="15"/>
                <w:szCs w:val="15"/>
                <w:color w:val="auto"/>
              </w:rPr>
              <w:t>Cost of sales standard</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160,129</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148,557</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465,654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443,412</w:t>
            </w:r>
          </w:p>
        </w:tc>
      </w:tr>
      <w:tr>
        <w:trPr>
          <w:trHeight w:val="195"/>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Cost of sales other</w:t>
            </w:r>
            <w:r>
              <w:rPr>
                <w:rFonts w:ascii="Times New Roman" w:cs="Times New Roman" w:eastAsia="Times New Roman" w:hAnsi="Times New Roman"/>
                <w:sz w:val="22"/>
                <w:szCs w:val="22"/>
                <w:color w:val="auto"/>
                <w:vertAlign w:val="superscript"/>
              </w:rPr>
              <w:t>(2)</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55,484</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49,189</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150,716</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135,640</w:t>
            </w: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67,335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221,757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198,036</w:t>
            </w:r>
          </w:p>
        </w:tc>
      </w:tr>
      <w:tr>
        <w:trPr>
          <w:trHeight w:val="19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46,893</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52,466</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145,193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142,348</w:t>
            </w: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22,393</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23,966</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70,391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70,811</w:t>
            </w:r>
          </w:p>
        </w:tc>
      </w:tr>
      <w:tr>
        <w:trPr>
          <w:trHeight w:val="195"/>
        </w:trPr>
        <w:tc>
          <w:tcPr>
            <w:tcW w:w="4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5"/>
                <w:szCs w:val="15"/>
                <w:color w:val="auto"/>
              </w:rPr>
              <w:t>Other operating expenses</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195"/>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 net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10,648</w:t>
            </w:r>
          </w:p>
        </w:tc>
      </w:tr>
      <w:tr>
        <w:trPr>
          <w:trHeight w:val="195"/>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13,474</w:t>
            </w:r>
          </w:p>
        </w:tc>
        <w:tc>
          <w:tcPr>
            <w:tcW w:w="1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10,785</w:t>
            </w:r>
          </w:p>
        </w:tc>
        <w:tc>
          <w:tcPr>
            <w:tcW w:w="1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38,536</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29,394</w:t>
            </w:r>
          </w:p>
        </w:tc>
      </w:tr>
      <w:tr>
        <w:trPr>
          <w:trHeight w:val="203"/>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42,311</w:t>
            </w:r>
          </w:p>
        </w:tc>
        <w:tc>
          <w:tcPr>
            <w:tcW w:w="140" w:type="dxa"/>
            <w:vAlign w:val="bottom"/>
          </w:tcPr>
          <w:p>
            <w:pPr>
              <w:spacing w:after="0"/>
              <w:rPr>
                <w:sz w:val="17"/>
                <w:szCs w:val="17"/>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27,755</w:t>
            </w:r>
          </w:p>
        </w:tc>
        <w:tc>
          <w:tcPr>
            <w:tcW w:w="160" w:type="dxa"/>
            <w:vAlign w:val="bottom"/>
          </w:tcPr>
          <w:p>
            <w:pPr>
              <w:spacing w:after="0"/>
              <w:rPr>
                <w:sz w:val="17"/>
                <w:szCs w:val="17"/>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122,109</w:t>
            </w:r>
          </w:p>
        </w:tc>
        <w:tc>
          <w:tcPr>
            <w:tcW w:w="160" w:type="dxa"/>
            <w:vAlign w:val="bottom"/>
          </w:tcPr>
          <w:p>
            <w:pPr>
              <w:spacing w:after="0"/>
              <w:rPr>
                <w:sz w:val="17"/>
                <w:szCs w:val="17"/>
                <w:color w:val="auto"/>
              </w:rPr>
            </w:pP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90,483</w:t>
            </w:r>
          </w:p>
        </w:tc>
      </w:tr>
    </w:tbl>
    <w:p>
      <w:pPr>
        <w:spacing w:after="0" w:line="70" w:lineRule="exact"/>
        <w:rPr>
          <w:sz w:val="20"/>
          <w:szCs w:val="20"/>
          <w:color w:val="auto"/>
        </w:rPr>
      </w:pPr>
    </w:p>
    <w:p>
      <w:pPr>
        <w:ind w:left="340" w:right="59" w:hanging="298"/>
        <w:spacing w:after="0" w:line="210" w:lineRule="auto"/>
        <w:tabs>
          <w:tab w:leader="none" w:pos="34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Cost of sales standard represents costs of goods sold measured at the internal standard cost for production of inventory. Inventory standard costs include material, labor and manufacturing overhead.</w:t>
      </w:r>
    </w:p>
    <w:p>
      <w:pPr>
        <w:jc w:val="both"/>
        <w:ind w:left="340" w:right="79" w:hanging="298"/>
        <w:spacing w:after="0" w:line="220" w:lineRule="auto"/>
        <w:tabs>
          <w:tab w:leader="none" w:pos="34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Cost of sales other includes amortization expense associated with our developed technology and license agreement intangible assets, freight and handling associated with shipments to customers, provisions based on estimated excess, slow moving and obsolete inventories, manufacturing and price variances, and royalties.</w:t>
      </w:r>
    </w:p>
    <w:p>
      <w:pPr>
        <w:ind w:left="340" w:right="59" w:hanging="298"/>
        <w:spacing w:after="0" w:line="206" w:lineRule="auto"/>
        <w:tabs>
          <w:tab w:leader="none" w:pos="34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Other operating expenses include contingent consideration expense (benefit) related to the changes in fair value of contingent payments associated with acquisitions.</w:t>
      </w:r>
    </w:p>
    <w:p>
      <w:pPr>
        <w:spacing w:after="0" w:line="17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Depreciation and amortization for the three and nine-month periods ended September 30, 2026 was $31.9 million and $93.4 million, respectively. Depreciation and amortization for the three and nine-month periods ended September 30, 2025 was $31.3 million and $91.6 million, respectively.</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14.  Fair Value Measurements.</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Assets (Liabilities) Measured at Fair Value on a Recurring Basis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Our financial assets and (liabilities) carried at fair value and measured on a recurring basis as of September 30, 2026 and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December 31, 2025 consisted of the following (in thousands):</w:t>
      </w:r>
    </w:p>
    <w:p>
      <w:pPr>
        <w:sectPr>
          <w:pgSz w:w="11900" w:h="16838" w:orient="portrait"/>
          <w:cols w:equalWidth="0" w:num="1">
            <w:col w:w="9019"/>
          </w:cols>
          <w:pgMar w:left="1440" w:top="47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Money market funds </w:t>
      </w:r>
      <w:r>
        <w:rPr>
          <w:rFonts w:ascii="Times New Roman" w:cs="Times New Roman" w:eastAsia="Times New Roman" w:hAnsi="Times New Roman"/>
          <w:sz w:val="24"/>
          <w:szCs w:val="24"/>
          <w:color w:val="auto"/>
          <w:vertAlign w:val="superscript"/>
        </w:rPr>
        <w:t>(1)</w:t>
      </w:r>
    </w:p>
    <w:p>
      <w:pPr>
        <w:ind w:left="40"/>
        <w:spacing w:after="0" w:line="180" w:lineRule="auto"/>
        <w:rPr>
          <w:sz w:val="20"/>
          <w:szCs w:val="20"/>
          <w:color w:val="auto"/>
        </w:rPr>
      </w:pPr>
      <w:r>
        <w:rPr>
          <w:rFonts w:ascii="Times New Roman" w:cs="Times New Roman" w:eastAsia="Times New Roman" w:hAnsi="Times New Roman"/>
          <w:sz w:val="16"/>
          <w:szCs w:val="16"/>
          <w:color w:val="auto"/>
        </w:rPr>
        <w:t xml:space="preserve">United States treasury debt securities </w:t>
      </w:r>
      <w:r>
        <w:rPr>
          <w:rFonts w:ascii="Times New Roman" w:cs="Times New Roman" w:eastAsia="Times New Roman" w:hAnsi="Times New Roman"/>
          <w:sz w:val="24"/>
          <w:szCs w:val="24"/>
          <w:color w:val="auto"/>
          <w:vertAlign w:val="superscript"/>
        </w:rPr>
        <w:t>(2)</w:t>
      </w:r>
    </w:p>
    <w:p>
      <w:pPr>
        <w:ind w:left="40"/>
        <w:spacing w:after="0"/>
        <w:rPr>
          <w:sz w:val="20"/>
          <w:szCs w:val="20"/>
          <w:color w:val="auto"/>
        </w:rPr>
      </w:pPr>
      <w:r>
        <w:rPr>
          <w:rFonts w:ascii="Times New Roman" w:cs="Times New Roman" w:eastAsia="Times New Roman" w:hAnsi="Times New Roman"/>
          <w:sz w:val="16"/>
          <w:szCs w:val="16"/>
          <w:color w:val="auto"/>
        </w:rPr>
        <w:t>Foreign currency contract assets, current and long-term</w:t>
      </w:r>
    </w:p>
    <w:p>
      <w:pPr>
        <w:ind w:left="40"/>
        <w:spacing w:after="0" w:line="233" w:lineRule="auto"/>
        <w:rPr>
          <w:sz w:val="20"/>
          <w:szCs w:val="20"/>
          <w:color w:val="auto"/>
        </w:rPr>
      </w:pPr>
      <w:r>
        <w:rPr>
          <w:rFonts w:ascii="Times New Roman" w:cs="Times New Roman" w:eastAsia="Times New Roman" w:hAnsi="Times New Roman"/>
          <w:sz w:val="12"/>
          <w:szCs w:val="12"/>
          <w:color w:val="auto"/>
        </w:rPr>
        <w:t>(3)</w:t>
      </w:r>
    </w:p>
    <w:p>
      <w:pPr>
        <w:spacing w:after="0" w:line="1" w:lineRule="exact"/>
        <w:rPr>
          <w:sz w:val="20"/>
          <w:szCs w:val="20"/>
          <w:color w:val="auto"/>
        </w:rPr>
      </w:pPr>
    </w:p>
    <w:p>
      <w:pPr>
        <w:ind w:left="40" w:right="60"/>
        <w:spacing w:after="0" w:line="196" w:lineRule="auto"/>
        <w:rPr>
          <w:sz w:val="20"/>
          <w:szCs w:val="20"/>
          <w:color w:val="auto"/>
        </w:rPr>
      </w:pPr>
      <w:r>
        <w:rPr>
          <w:rFonts w:ascii="Times New Roman" w:cs="Times New Roman" w:eastAsia="Times New Roman" w:hAnsi="Times New Roman"/>
          <w:sz w:val="16"/>
          <w:szCs w:val="16"/>
          <w:color w:val="auto"/>
        </w:rPr>
        <w:t xml:space="preserve">Foreign currency contract liabilities, current and long-term </w:t>
      </w:r>
      <w:r>
        <w:rPr>
          <w:rFonts w:ascii="Times New Roman" w:cs="Times New Roman" w:eastAsia="Times New Roman" w:hAnsi="Times New Roman"/>
          <w:sz w:val="24"/>
          <w:szCs w:val="24"/>
          <w:color w:val="auto"/>
          <w:vertAlign w:val="superscript"/>
        </w:rPr>
        <w:t>(4)</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Contingent consideration liabilities </w:t>
      </w:r>
      <w:r>
        <w:rPr>
          <w:rFonts w:ascii="Times New Roman" w:cs="Times New Roman" w:eastAsia="Times New Roman" w:hAnsi="Times New Roman"/>
          <w:sz w:val="24"/>
          <w:szCs w:val="24"/>
          <w:color w:val="auto"/>
          <w:vertAlign w:val="superscript"/>
        </w:rPr>
        <w:t>(5)</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Total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gridSpan w:val="9"/>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Quoted prices in</w:t>
            </w: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center"/>
              <w:ind w:right="120"/>
              <w:spacing w:after="0" w:line="105" w:lineRule="exact"/>
              <w:rPr>
                <w:sz w:val="20"/>
                <w:szCs w:val="20"/>
                <w:color w:val="auto"/>
              </w:rPr>
            </w:pPr>
            <w:r>
              <w:rPr>
                <w:rFonts w:ascii="Times New Roman" w:cs="Times New Roman" w:eastAsia="Times New Roman" w:hAnsi="Times New Roman"/>
                <w:sz w:val="12"/>
                <w:szCs w:val="12"/>
                <w:b w:val="1"/>
                <w:bCs w:val="1"/>
                <w:color w:val="auto"/>
              </w:rPr>
              <w:t>Significant other</w:t>
            </w: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6"/>
              <w:spacing w:after="0" w:line="105"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8"/>
              </w:rPr>
              <w:t>Value at</w:t>
            </w:r>
          </w:p>
        </w:tc>
        <w:tc>
          <w:tcPr>
            <w:tcW w:w="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ind w:right="45"/>
              <w:spacing w:after="0" w:line="134" w:lineRule="exact"/>
              <w:rPr>
                <w:sz w:val="20"/>
                <w:szCs w:val="20"/>
                <w:color w:val="auto"/>
              </w:rPr>
            </w:pPr>
            <w:r>
              <w:rPr>
                <w:rFonts w:ascii="Times New Roman" w:cs="Times New Roman" w:eastAsia="Times New Roman" w:hAnsi="Times New Roman"/>
                <w:sz w:val="13"/>
                <w:szCs w:val="13"/>
                <w:b w:val="1"/>
                <w:bCs w:val="1"/>
                <w:color w:val="auto"/>
              </w:rPr>
              <w:t>active markets</w:t>
            </w:r>
          </w:p>
        </w:tc>
        <w:tc>
          <w:tcPr>
            <w:tcW w:w="120" w:type="dxa"/>
            <w:vAlign w:val="bottom"/>
          </w:tcPr>
          <w:p>
            <w:pPr>
              <w:spacing w:after="0"/>
              <w:rPr>
                <w:sz w:val="11"/>
                <w:szCs w:val="11"/>
                <w:color w:val="auto"/>
              </w:rPr>
            </w:pPr>
          </w:p>
        </w:tc>
        <w:tc>
          <w:tcPr>
            <w:tcW w:w="1140" w:type="dxa"/>
            <w:vAlign w:val="bottom"/>
            <w:gridSpan w:val="3"/>
          </w:tcPr>
          <w:p>
            <w:pPr>
              <w:jc w:val="center"/>
              <w:ind w:right="20"/>
              <w:spacing w:after="0" w:line="134" w:lineRule="exact"/>
              <w:rPr>
                <w:sz w:val="20"/>
                <w:szCs w:val="20"/>
                <w:color w:val="auto"/>
              </w:rPr>
            </w:pPr>
            <w:r>
              <w:rPr>
                <w:rFonts w:ascii="Times New Roman" w:cs="Times New Roman" w:eastAsia="Times New Roman" w:hAnsi="Times New Roman"/>
                <w:sz w:val="13"/>
                <w:szCs w:val="13"/>
                <w:b w:val="1"/>
                <w:bCs w:val="1"/>
                <w:color w:val="auto"/>
                <w:w w:val="98"/>
              </w:rPr>
              <w:t>observable inputs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9"/>
              </w:rPr>
              <w:t>unobservable inputs</w:t>
            </w:r>
          </w:p>
        </w:tc>
        <w:tc>
          <w:tcPr>
            <w:tcW w:w="0" w:type="dxa"/>
            <w:vAlign w:val="bottom"/>
          </w:tcPr>
          <w:p>
            <w:pPr>
              <w:spacing w:after="0"/>
              <w:rPr>
                <w:sz w:val="1"/>
                <w:szCs w:val="1"/>
                <w:color w:val="auto"/>
              </w:rPr>
            </w:pPr>
          </w:p>
        </w:tc>
      </w:tr>
      <w:tr>
        <w:trPr>
          <w:trHeight w:val="156"/>
        </w:trPr>
        <w:tc>
          <w:tcPr>
            <w:tcW w:w="132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September 30, 2026</w:t>
            </w:r>
          </w:p>
        </w:tc>
        <w:tc>
          <w:tcPr>
            <w:tcW w:w="200" w:type="dxa"/>
            <w:vAlign w:val="bottom"/>
            <w:gridSpan w:val="2"/>
            <w:vMerge w:val="continue"/>
          </w:tcPr>
          <w:p>
            <w:pPr>
              <w:spacing w:after="0"/>
              <w:rPr>
                <w:sz w:val="13"/>
                <w:szCs w:val="13"/>
                <w:color w:val="auto"/>
              </w:rPr>
            </w:pPr>
          </w:p>
        </w:tc>
        <w:tc>
          <w:tcPr>
            <w:tcW w:w="94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00" w:type="dxa"/>
            <w:vAlign w:val="bottom"/>
            <w:gridSpan w:val="2"/>
            <w:vMerge w:val="continue"/>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00" w:type="dxa"/>
            <w:vAlign w:val="bottom"/>
            <w:tcBorders>
              <w:top w:val="single" w:sz="8" w:color="auto"/>
            </w:tcBorders>
          </w:tcPr>
          <w:p>
            <w:pPr>
              <w:jc w:val="right"/>
              <w:ind w:right="3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32,131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32,131</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7"/>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(5,622)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0"/>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-827405</wp:posOffset>
            </wp:positionV>
            <wp:extent cx="5659120" cy="1314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9120" cy="13144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-571500</wp:posOffset>
            </wp:positionV>
            <wp:extent cx="5659120" cy="2012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9120" cy="201295"/>
                    </a:xfrm>
                    <a:prstGeom prst="rect">
                      <a:avLst/>
                    </a:prstGeom>
                    <a:noFill/>
                  </pic:spPr>
                </pic:pic>
              </a:graphicData>
            </a:graphic>
          </wp:anchor>
        </w:drawing>
        <w:drawing>
          <wp:anchor simplePos="0" relativeHeight="251657728" behindDoc="1" locked="0" layoutInCell="0" allowOverlap="1">
            <wp:simplePos x="0" y="0"/>
            <wp:positionH relativeFrom="column">
              <wp:posOffset>-2407285</wp:posOffset>
            </wp:positionH>
            <wp:positionV relativeFrom="paragraph">
              <wp:posOffset>-122555</wp:posOffset>
            </wp:positionV>
            <wp:extent cx="5659120" cy="123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9120" cy="12382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3640" w:space="200"/>
            <w:col w:w="5179"/>
          </w:cols>
          <w:pgMar w:left="1440" w:top="477" w:right="1440" w:bottom="1440"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Money market funds </w:t>
      </w:r>
      <w:r>
        <w:rPr>
          <w:rFonts w:ascii="Times New Roman" w:cs="Times New Roman" w:eastAsia="Times New Roman" w:hAnsi="Times New Roman"/>
          <w:sz w:val="24"/>
          <w:szCs w:val="24"/>
          <w:color w:val="auto"/>
          <w:vertAlign w:val="superscript"/>
        </w:rPr>
        <w:t>(1)</w:t>
      </w:r>
    </w:p>
    <w:p>
      <w:pPr>
        <w:ind w:left="40"/>
        <w:spacing w:after="0" w:line="180" w:lineRule="auto"/>
        <w:rPr>
          <w:sz w:val="20"/>
          <w:szCs w:val="20"/>
          <w:color w:val="auto"/>
        </w:rPr>
      </w:pPr>
      <w:r>
        <w:rPr>
          <w:rFonts w:ascii="Times New Roman" w:cs="Times New Roman" w:eastAsia="Times New Roman" w:hAnsi="Times New Roman"/>
          <w:sz w:val="16"/>
          <w:szCs w:val="16"/>
          <w:color w:val="auto"/>
        </w:rPr>
        <w:t xml:space="preserve">United States treasury debt securities </w:t>
      </w:r>
      <w:r>
        <w:rPr>
          <w:rFonts w:ascii="Times New Roman" w:cs="Times New Roman" w:eastAsia="Times New Roman" w:hAnsi="Times New Roman"/>
          <w:sz w:val="24"/>
          <w:szCs w:val="24"/>
          <w:color w:val="auto"/>
          <w:vertAlign w:val="superscript"/>
        </w:rPr>
        <w:t>(2)</w:t>
      </w:r>
    </w:p>
    <w:p>
      <w:pPr>
        <w:ind w:left="40"/>
        <w:spacing w:after="0"/>
        <w:rPr>
          <w:sz w:val="20"/>
          <w:szCs w:val="20"/>
          <w:color w:val="auto"/>
        </w:rPr>
      </w:pPr>
      <w:r>
        <w:rPr>
          <w:rFonts w:ascii="Times New Roman" w:cs="Times New Roman" w:eastAsia="Times New Roman" w:hAnsi="Times New Roman"/>
          <w:sz w:val="16"/>
          <w:szCs w:val="16"/>
          <w:color w:val="auto"/>
        </w:rPr>
        <w:t>Foreign currency contract assets, current and long-term</w:t>
      </w:r>
    </w:p>
    <w:p>
      <w:pPr>
        <w:ind w:left="40"/>
        <w:spacing w:after="0" w:line="233" w:lineRule="auto"/>
        <w:rPr>
          <w:sz w:val="20"/>
          <w:szCs w:val="20"/>
          <w:color w:val="auto"/>
        </w:rPr>
      </w:pPr>
      <w:r>
        <w:rPr>
          <w:rFonts w:ascii="Times New Roman" w:cs="Times New Roman" w:eastAsia="Times New Roman" w:hAnsi="Times New Roman"/>
          <w:sz w:val="12"/>
          <w:szCs w:val="12"/>
          <w:color w:val="auto"/>
        </w:rPr>
        <w:t>(3)</w:t>
      </w:r>
    </w:p>
    <w:p>
      <w:pPr>
        <w:spacing w:after="0" w:line="1" w:lineRule="exact"/>
        <w:rPr>
          <w:sz w:val="20"/>
          <w:szCs w:val="20"/>
          <w:color w:val="auto"/>
        </w:rPr>
      </w:pPr>
    </w:p>
    <w:p>
      <w:pPr>
        <w:ind w:left="40" w:right="60"/>
        <w:spacing w:after="0" w:line="196" w:lineRule="auto"/>
        <w:rPr>
          <w:sz w:val="20"/>
          <w:szCs w:val="20"/>
          <w:color w:val="auto"/>
        </w:rPr>
      </w:pPr>
      <w:r>
        <w:rPr>
          <w:rFonts w:ascii="Times New Roman" w:cs="Times New Roman" w:eastAsia="Times New Roman" w:hAnsi="Times New Roman"/>
          <w:sz w:val="16"/>
          <w:szCs w:val="16"/>
          <w:color w:val="auto"/>
        </w:rPr>
        <w:t xml:space="preserve">Foreign currency contract liabilities, current and long-term </w:t>
      </w:r>
      <w:r>
        <w:rPr>
          <w:rFonts w:ascii="Times New Roman" w:cs="Times New Roman" w:eastAsia="Times New Roman" w:hAnsi="Times New Roman"/>
          <w:sz w:val="24"/>
          <w:szCs w:val="24"/>
          <w:color w:val="auto"/>
          <w:vertAlign w:val="superscript"/>
        </w:rPr>
        <w:t>(4)</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xml:space="preserve">Contingent consideration liabilities </w:t>
      </w:r>
      <w:r>
        <w:rPr>
          <w:rFonts w:ascii="Times New Roman" w:cs="Times New Roman" w:eastAsia="Times New Roman" w:hAnsi="Times New Roman"/>
          <w:sz w:val="24"/>
          <w:szCs w:val="24"/>
          <w:color w:val="auto"/>
          <w:vertAlign w:val="superscript"/>
        </w:rPr>
        <w:t>(5)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5"/>
              </w:rPr>
              <w:t>Total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gridSpan w:val="9"/>
          </w:tcPr>
          <w:p>
            <w:pPr>
              <w:jc w:val="right"/>
              <w:ind w:right="980"/>
              <w:spacing w:after="0"/>
              <w:rPr>
                <w:sz w:val="20"/>
                <w:szCs w:val="20"/>
                <w:color w:val="auto"/>
              </w:rPr>
            </w:pPr>
            <w:r>
              <w:rPr>
                <w:rFonts w:ascii="Times New Roman" w:cs="Times New Roman" w:eastAsia="Times New Roman" w:hAnsi="Times New Roman"/>
                <w:sz w:val="13"/>
                <w:szCs w:val="13"/>
                <w:b w:val="1"/>
                <w:bCs w:val="1"/>
                <w:color w:val="auto"/>
              </w:rPr>
              <w:t>Fair Value Measurements Using</w:t>
            </w:r>
          </w:p>
        </w:tc>
        <w:tc>
          <w:tcPr>
            <w:tcW w:w="0" w:type="dxa"/>
            <w:vAlign w:val="bottom"/>
          </w:tcPr>
          <w:p>
            <w:pPr>
              <w:spacing w:after="0"/>
              <w:rPr>
                <w:sz w:val="1"/>
                <w:szCs w:val="1"/>
                <w:color w:val="auto"/>
              </w:rPr>
            </w:pPr>
          </w:p>
        </w:tc>
      </w:tr>
      <w:tr>
        <w:trPr>
          <w:trHeight w:val="104"/>
        </w:trPr>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Quoted prices in</w:t>
            </w: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gridSpan w:val="2"/>
          </w:tcPr>
          <w:p>
            <w:pPr>
              <w:jc w:val="center"/>
              <w:ind w:right="120"/>
              <w:spacing w:after="0" w:line="105" w:lineRule="exact"/>
              <w:rPr>
                <w:sz w:val="20"/>
                <w:szCs w:val="20"/>
                <w:color w:val="auto"/>
              </w:rPr>
            </w:pPr>
            <w:r>
              <w:rPr>
                <w:rFonts w:ascii="Times New Roman" w:cs="Times New Roman" w:eastAsia="Times New Roman" w:hAnsi="Times New Roman"/>
                <w:sz w:val="12"/>
                <w:szCs w:val="12"/>
                <w:b w:val="1"/>
                <w:bCs w:val="1"/>
                <w:color w:val="auto"/>
              </w:rPr>
              <w:t>Significant other</w:t>
            </w: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6"/>
              <w:spacing w:after="0" w:line="105" w:lineRule="exact"/>
              <w:rPr>
                <w:sz w:val="20"/>
                <w:szCs w:val="20"/>
                <w:color w:val="auto"/>
              </w:rPr>
            </w:pPr>
            <w:r>
              <w:rPr>
                <w:rFonts w:ascii="Times New Roman" w:cs="Times New Roman" w:eastAsia="Times New Roman" w:hAnsi="Times New Roman"/>
                <w:sz w:val="12"/>
                <w:szCs w:val="12"/>
                <w:b w:val="1"/>
                <w:bCs w:val="1"/>
                <w:color w:val="auto"/>
              </w:rPr>
              <w:t>Significant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40"/>
              <w:spacing w:after="0" w:line="134" w:lineRule="exact"/>
              <w:rPr>
                <w:sz w:val="20"/>
                <w:szCs w:val="20"/>
                <w:color w:val="auto"/>
              </w:rPr>
            </w:pPr>
            <w:r>
              <w:rPr>
                <w:rFonts w:ascii="Times New Roman" w:cs="Times New Roman" w:eastAsia="Times New Roman" w:hAnsi="Times New Roman"/>
                <w:sz w:val="13"/>
                <w:szCs w:val="13"/>
                <w:b w:val="1"/>
                <w:bCs w:val="1"/>
                <w:color w:val="auto"/>
                <w:w w:val="98"/>
              </w:rPr>
              <w:t>Value at</w:t>
            </w:r>
          </w:p>
        </w:tc>
        <w:tc>
          <w:tcPr>
            <w:tcW w:w="2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center"/>
              <w:ind w:right="45"/>
              <w:spacing w:after="0" w:line="134" w:lineRule="exact"/>
              <w:rPr>
                <w:sz w:val="20"/>
                <w:szCs w:val="20"/>
                <w:color w:val="auto"/>
              </w:rPr>
            </w:pPr>
            <w:r>
              <w:rPr>
                <w:rFonts w:ascii="Times New Roman" w:cs="Times New Roman" w:eastAsia="Times New Roman" w:hAnsi="Times New Roman"/>
                <w:sz w:val="13"/>
                <w:szCs w:val="13"/>
                <w:b w:val="1"/>
                <w:bCs w:val="1"/>
                <w:color w:val="auto"/>
              </w:rPr>
              <w:t>active markets</w:t>
            </w:r>
          </w:p>
        </w:tc>
        <w:tc>
          <w:tcPr>
            <w:tcW w:w="120" w:type="dxa"/>
            <w:vAlign w:val="bottom"/>
          </w:tcPr>
          <w:p>
            <w:pPr>
              <w:spacing w:after="0"/>
              <w:rPr>
                <w:sz w:val="11"/>
                <w:szCs w:val="11"/>
                <w:color w:val="auto"/>
              </w:rPr>
            </w:pPr>
          </w:p>
        </w:tc>
        <w:tc>
          <w:tcPr>
            <w:tcW w:w="1140" w:type="dxa"/>
            <w:vAlign w:val="bottom"/>
            <w:gridSpan w:val="3"/>
          </w:tcPr>
          <w:p>
            <w:pPr>
              <w:jc w:val="center"/>
              <w:ind w:right="20"/>
              <w:spacing w:after="0" w:line="134" w:lineRule="exact"/>
              <w:rPr>
                <w:sz w:val="20"/>
                <w:szCs w:val="20"/>
                <w:color w:val="auto"/>
              </w:rPr>
            </w:pPr>
            <w:r>
              <w:rPr>
                <w:rFonts w:ascii="Times New Roman" w:cs="Times New Roman" w:eastAsia="Times New Roman" w:hAnsi="Times New Roman"/>
                <w:sz w:val="13"/>
                <w:szCs w:val="13"/>
                <w:b w:val="1"/>
                <w:bCs w:val="1"/>
                <w:color w:val="auto"/>
                <w:w w:val="98"/>
              </w:rPr>
              <w:t>observable inputs</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3"/>
                <w:szCs w:val="13"/>
                <w:b w:val="1"/>
                <w:bCs w:val="1"/>
                <w:color w:val="auto"/>
                <w:w w:val="99"/>
              </w:rPr>
              <w:t>unobservable inputs</w:t>
            </w:r>
          </w:p>
        </w:tc>
        <w:tc>
          <w:tcPr>
            <w:tcW w:w="0" w:type="dxa"/>
            <w:vAlign w:val="bottom"/>
          </w:tcPr>
          <w:p>
            <w:pPr>
              <w:spacing w:after="0"/>
              <w:rPr>
                <w:sz w:val="1"/>
                <w:szCs w:val="1"/>
                <w:color w:val="auto"/>
              </w:rPr>
            </w:pPr>
          </w:p>
        </w:tc>
      </w:tr>
      <w:tr>
        <w:trPr>
          <w:trHeight w:val="156"/>
        </w:trPr>
        <w:tc>
          <w:tcPr>
            <w:tcW w:w="13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 December 31, 2025</w:t>
            </w:r>
          </w:p>
        </w:tc>
        <w:tc>
          <w:tcPr>
            <w:tcW w:w="200" w:type="dxa"/>
            <w:vAlign w:val="bottom"/>
            <w:gridSpan w:val="2"/>
            <w:vMerge w:val="continue"/>
          </w:tcPr>
          <w:p>
            <w:pPr>
              <w:spacing w:after="0"/>
              <w:rPr>
                <w:sz w:val="13"/>
                <w:szCs w:val="13"/>
                <w:color w:val="auto"/>
              </w:rPr>
            </w:pPr>
          </w:p>
        </w:tc>
        <w:tc>
          <w:tcPr>
            <w:tcW w:w="940" w:type="dxa"/>
            <w:vAlign w:val="bottom"/>
          </w:tcPr>
          <w:p>
            <w:pPr>
              <w:jc w:val="center"/>
              <w:ind w:right="45"/>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200" w:type="dxa"/>
            <w:vAlign w:val="bottom"/>
            <w:gridSpan w:val="2"/>
            <w:vMerge w:val="continue"/>
          </w:tcPr>
          <w:p>
            <w:pPr>
              <w:spacing w:after="0"/>
              <w:rPr>
                <w:sz w:val="13"/>
                <w:szCs w:val="13"/>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200" w:type="dxa"/>
            <w:vAlign w:val="bottom"/>
            <w:tcBorders>
              <w:top w:val="single" w:sz="8" w:color="auto"/>
            </w:tcBorders>
          </w:tcPr>
          <w:p>
            <w:pPr>
              <w:jc w:val="right"/>
              <w:ind w:right="3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31,285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31,285</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17"/>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90"/>
        </w:trPr>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(4,537)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-827405</wp:posOffset>
            </wp:positionV>
            <wp:extent cx="5659120" cy="1314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9120" cy="13144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-571500</wp:posOffset>
            </wp:positionV>
            <wp:extent cx="5659120" cy="2012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9120" cy="201295"/>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-122555</wp:posOffset>
            </wp:positionV>
            <wp:extent cx="5659120" cy="123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9120" cy="123825"/>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3640" w:space="220"/>
            <w:col w:w="5159"/>
          </w:cols>
          <w:pgMar w:left="1440" w:top="477" w:right="1440" w:bottom="1440" w:gutter="0" w:footer="0" w:header="0"/>
          <w:type w:val="continuous"/>
        </w:sectPr>
      </w:pPr>
    </w:p>
    <w:p>
      <w:pPr>
        <w:ind w:left="340" w:right="79" w:hanging="298"/>
        <w:spacing w:after="0" w:line="203" w:lineRule="auto"/>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Our money market fund represents a bank-managed money market fund which permits daily redemptions. Amounts in the fund are recorded as cash equivalents in the consolidated balance sheets.</w:t>
      </w:r>
    </w:p>
    <w:p>
      <w:pPr>
        <w:spacing w:after="0" w:line="1" w:lineRule="exact"/>
        <w:rPr>
          <w:rFonts w:ascii="Times New Roman" w:cs="Times New Roman" w:eastAsia="Times New Roman" w:hAnsi="Times New Roman"/>
          <w:sz w:val="22"/>
          <w:szCs w:val="22"/>
          <w:color w:val="auto"/>
          <w:vertAlign w:val="superscript"/>
        </w:rPr>
      </w:pPr>
    </w:p>
    <w:p>
      <w:pPr>
        <w:ind w:left="340" w:right="59" w:hanging="298"/>
        <w:spacing w:after="0" w:line="206" w:lineRule="auto"/>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fair value of U.S. treasury debt securities is determined using quoted prices for identical assets in active markets and is recorded as cash and cash equivalents in the consolidated balance sheets.</w:t>
      </w:r>
    </w:p>
    <w:p>
      <w:pPr>
        <w:jc w:val="both"/>
        <w:ind w:left="340" w:right="59" w:hanging="298"/>
        <w:spacing w:after="0" w:line="220" w:lineRule="auto"/>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fair value of the foreign currency contract assets (including those designated as hedging instruments and those not designated as hedging instruments) is determined using Level 2 fair value inputs and is recorded as a prepaid expense and other current asset or other long-term asset in the consolidated balance sheets.</w:t>
      </w:r>
    </w:p>
    <w:p>
      <w:pPr>
        <w:jc w:val="both"/>
        <w:ind w:left="340" w:right="79" w:hanging="298"/>
        <w:spacing w:after="0" w:line="220" w:lineRule="auto"/>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fair value of the foreign currency contract liabilities (including those designated as hedging instruments and those not designated as hedging instruments) is determined using Level 2 fair value inputs and is recorded as an accrued expense or other long-term obligation in the consolidated balance sheets.</w:t>
      </w:r>
    </w:p>
    <w:p>
      <w:pPr>
        <w:ind w:left="340" w:right="79" w:hanging="298"/>
        <w:spacing w:after="0" w:line="206" w:lineRule="auto"/>
        <w:tabs>
          <w:tab w:leader="none" w:pos="34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The fair value of contingent consideration liabilities is determined using Level 3 fair value inputs and is recorded within accrued expenses and other long-term obligations.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Fair Value of Other Assets (Liabilities)</w:t>
      </w:r>
    </w:p>
    <w:p>
      <w:pPr>
        <w:spacing w:after="0" w:line="184"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The carrying amount of cash and cash equivalents, receivables, and trade payables approximate fair value because of the immediate, short-term maturity of these financial instruments. The fair value of our long-term debt under our Convertible Notes was $870.8 million as of September 30, 2026 and was determined based on quoted prices in markets that are not active, which is considered a Level 2 valuation input. The fair value of assets and liabilities whose carrying value approximates fair value is determined using Level 2 inputs, with the exception of cash and cash equivalents, which use Level 1 inputs.</w:t>
      </w:r>
    </w:p>
    <w:p>
      <w:pPr>
        <w:spacing w:after="0" w:line="12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We recognize or disclose the fair value of certain assets, such as non-financial assets, primarily property and equipment, right-of-use operating lease assets, equity investments, intangible assets and goodwill in connection with impairment evaluations. Such assets are reported at carrying value and are not subject to recurring fair value measurements. We review our long-lived assets for impairment whenever events or changes in circumstances indicate that the carrying amount of an asset may not be recoverable. Fair value is generally determined based on discounted future cash flow. All our nonrecurring valuations use significant unobservable inputs and therefore fall under Level 3 of the fair value hierarchy.</w:t>
      </w:r>
    </w:p>
    <w:p>
      <w:pPr>
        <w:spacing w:after="0" w:line="128"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Our equity investments in privately-held companies were $27.6 million and $28.7 million at September 30, 2026 and December 31, 2025, respectively, which are included within other long-term assets in our consolidated balance sheets. We analyze our investments in privately-held companies to determine if they should be accounted for using the equity method based on our ability to exercise significant influence over operating and financial policies of the investment whereby we record our proportionate share of the investee’s earnings or losses; amortization of differences between our investment basis and underlying equity in net assets of the investee, excluding the component representing goodwill; and impairment, if any, as a component of other income for each reporting period. Investments not accounted for under the equity method of accounting are accounted for at cost minus impairment, if applicable, plus or minus changes in valuation resulting from observable transactions for identical or similar investments. For the nine-month periods ended September 30, 2026 and 2025, we recorded no impairment charges related to our equity investments.</w:t>
      </w:r>
    </w:p>
    <w:p>
      <w:pPr>
        <w:spacing w:after="0" w:line="1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Current Expected Credit Losses</w:t>
      </w:r>
    </w:p>
    <w:p>
      <w:pPr>
        <w:spacing w:after="0" w:line="17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Our outstanding notes receivable, including accrued interest and an allowance for current expected credit losses, were $31.3 million and $21.6 million as of September 30, 2026 and December 31, 2025, respectively. As of September 30, 2026 and December 31, 2025, we had an allowance for current expected credit losses of $3.3 million and $2.6 million, respectively, associated with these notes receivable. We assess the allowance for current expected credit losses on an individual security basis, due to the limited number of securities, using a probability of default model, which is based on relevant information about past events, including historical experience, current conditions and reasonable and supportable forecasts that affect the expected collectability of securities, and other security specific factors.</w:t>
      </w:r>
    </w:p>
    <w:p>
      <w:pPr>
        <w:spacing w:after="0" w:line="328"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The table below presents a roll-forward of the allowance for current expected credit losses on our notes receivable for the three and nine-month periods ended September 30, 2026 and 2025 (in thousands):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4"/>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0" w:type="dxa"/>
            <w:vAlign w:val="bottom"/>
          </w:tcPr>
          <w:p>
            <w:pPr>
              <w:spacing w:after="0"/>
              <w:rPr>
                <w:sz w:val="1"/>
                <w:szCs w:val="1"/>
                <w:color w:val="auto"/>
              </w:rPr>
            </w:pPr>
          </w:p>
        </w:tc>
      </w:tr>
      <w:tr>
        <w:trPr>
          <w:trHeight w:val="156"/>
        </w:trPr>
        <w:tc>
          <w:tcPr>
            <w:tcW w:w="32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0" w:type="dxa"/>
            <w:vAlign w:val="bottom"/>
          </w:tcPr>
          <w:p>
            <w:pPr>
              <w:spacing w:after="0"/>
              <w:rPr>
                <w:sz w:val="1"/>
                <w:szCs w:val="1"/>
                <w:color w:val="auto"/>
              </w:rPr>
            </w:pPr>
          </w:p>
        </w:tc>
      </w:tr>
      <w:tr>
        <w:trPr>
          <w:trHeight w:val="126"/>
        </w:trPr>
        <w:tc>
          <w:tcPr>
            <w:tcW w:w="32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jc w:val="right"/>
              <w:ind w:right="167"/>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340" w:type="dxa"/>
            <w:vAlign w:val="bottom"/>
            <w:gridSpan w:val="2"/>
          </w:tcPr>
          <w:p>
            <w:pPr>
              <w:jc w:val="right"/>
              <w:ind w:right="9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ind w:right="183"/>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187"/>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340" w:type="dxa"/>
            <w:vAlign w:val="bottom"/>
            <w:gridSpan w:val="2"/>
          </w:tcPr>
          <w:p>
            <w:pPr>
              <w:jc w:val="right"/>
              <w:ind w:right="9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ind w:right="183"/>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87"/>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balance</w:t>
            </w:r>
          </w:p>
        </w:tc>
        <w:tc>
          <w:tcPr>
            <w:tcW w:w="20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3,230</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2,625</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0" w:type="dxa"/>
            <w:vAlign w:val="bottom"/>
          </w:tcPr>
          <w:p>
            <w:pPr>
              <w:spacing w:after="0"/>
              <w:rPr>
                <w:sz w:val="1"/>
                <w:szCs w:val="1"/>
                <w:color w:val="auto"/>
              </w:rPr>
            </w:pPr>
          </w:p>
        </w:tc>
      </w:tr>
      <w:tr>
        <w:trPr>
          <w:trHeight w:val="195"/>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Provision for credit loss expense</w:t>
            </w:r>
          </w:p>
        </w:tc>
        <w:tc>
          <w:tcPr>
            <w:tcW w:w="2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0" w:type="dxa"/>
            <w:vAlign w:val="bottom"/>
          </w:tcPr>
          <w:p>
            <w:pPr>
              <w:spacing w:after="0"/>
              <w:rPr>
                <w:sz w:val="1"/>
                <w:szCs w:val="1"/>
                <w:color w:val="auto"/>
              </w:rPr>
            </w:pPr>
          </w:p>
        </w:tc>
      </w:tr>
      <w:tr>
        <w:trPr>
          <w:trHeight w:val="187"/>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Ending balance</w:t>
            </w:r>
          </w:p>
        </w:tc>
        <w:tc>
          <w:tcPr>
            <w:tcW w:w="20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080" w:type="dxa"/>
            <w:vAlign w:val="bottom"/>
            <w:vMerge w:val="restart"/>
          </w:tcPr>
          <w:p>
            <w:pPr>
              <w:jc w:val="right"/>
              <w:ind w:right="719"/>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32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3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7"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right="59" w:firstLine="2"/>
        <w:spacing w:after="0" w:line="292" w:lineRule="auto"/>
        <w:tabs>
          <w:tab w:leader="none" w:pos="450" w:val="left"/>
        </w:tabs>
        <w:numPr>
          <w:ilvl w:val="0"/>
          <w:numId w:val="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Accumulated Other Comprehensive Income (Loss). </w:t>
      </w:r>
      <w:r>
        <w:rPr>
          <w:rFonts w:ascii="Times New Roman" w:cs="Times New Roman" w:eastAsia="Times New Roman" w:hAnsi="Times New Roman"/>
          <w:sz w:val="16"/>
          <w:szCs w:val="16"/>
          <w:color w:val="auto"/>
        </w:rPr>
        <w:t>The changes in each component of accumulated other comprehensive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income (loss) for the three and nine-month periods ended September 30, 2026 and 2025 were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Cash Flow Hedges</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Foreign Currency Translation</w:t>
            </w: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July 1, 2026</w:t>
            </w: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(9,547)</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Reclassifications to:</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sales</w:t>
            </w:r>
          </w:p>
        </w:tc>
        <w:tc>
          <w:tcPr>
            <w:tcW w:w="7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other comprehensive loss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(2,071)</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2026</w:t>
            </w:r>
          </w:p>
        </w:tc>
        <w:tc>
          <w:tcPr>
            <w:tcW w:w="7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(10,518)</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Cash Flow Hedges</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Foreign Currency Translation</w:t>
            </w: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2026</w:t>
            </w: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(5,424)</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(3,636)</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Reclassifications to:</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sales</w:t>
            </w:r>
          </w:p>
        </w:tc>
        <w:tc>
          <w:tcPr>
            <w:tcW w:w="7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other comprehensive loss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2026</w:t>
            </w:r>
          </w:p>
        </w:tc>
        <w:tc>
          <w:tcPr>
            <w:tcW w:w="7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(10,078)</w:t>
            </w:r>
          </w:p>
        </w:tc>
        <w:tc>
          <w:tcPr>
            <w:tcW w:w="1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(10,518)</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Cash Flow Hedges</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Foreign Currency Translation</w:t>
            </w: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July 1, 2025</w:t>
            </w: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(4,734)</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Reclassifications to:</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sales</w:t>
            </w:r>
          </w:p>
        </w:tc>
        <w:tc>
          <w:tcPr>
            <w:tcW w:w="7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other comprehensive income (loss)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7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1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Cash Flow Hedges</w:t>
            </w:r>
          </w:p>
        </w:tc>
        <w:tc>
          <w:tcPr>
            <w:tcW w:w="340" w:type="dxa"/>
            <w:vAlign w:val="bottom"/>
            <w:gridSpan w:val="2"/>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w:t>
            </w:r>
          </w:p>
        </w:tc>
        <w:tc>
          <w:tcPr>
            <w:tcW w:w="206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Foreign Currency Translation</w:t>
            </w:r>
          </w:p>
        </w:tc>
        <w:tc>
          <w:tcPr>
            <w:tcW w:w="400" w:type="dxa"/>
            <w:vAlign w:val="bottom"/>
            <w:gridSpan w:val="2"/>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as of January 1, 2025</w:t>
            </w:r>
          </w:p>
        </w:tc>
        <w:tc>
          <w:tcPr>
            <w:tcW w:w="7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(22,166)</w:t>
            </w: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(19,401)</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18,192</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17,229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Reclassifications to:</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Revenue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Cost of sales</w:t>
            </w:r>
          </w:p>
        </w:tc>
        <w:tc>
          <w:tcPr>
            <w:tcW w:w="7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Net other comprehensive (loss) income</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17,128</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15,682</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September 30, 2025</w:t>
            </w:r>
          </w:p>
        </w:tc>
        <w:tc>
          <w:tcPr>
            <w:tcW w:w="7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2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1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0" w:type="dxa"/>
            <w:vAlign w:val="bottom"/>
          </w:tcPr>
          <w:p>
            <w:pPr>
              <w:spacing w:after="0"/>
              <w:rPr>
                <w:sz w:val="1"/>
                <w:szCs w:val="1"/>
                <w:color w:val="auto"/>
              </w:rPr>
            </w:pPr>
          </w:p>
        </w:tc>
      </w:tr>
      <w:tr>
        <w:trPr>
          <w:trHeight w:val="784"/>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7"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40" w:right="59" w:firstLine="2"/>
        <w:spacing w:after="0" w:line="266" w:lineRule="auto"/>
        <w:tabs>
          <w:tab w:leader="none" w:pos="365" w:val="left"/>
        </w:tabs>
        <w:numPr>
          <w:ilvl w:val="0"/>
          <w:numId w:val="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Subsequent Events. </w:t>
      </w:r>
      <w:r>
        <w:rPr>
          <w:rFonts w:ascii="Times New Roman" w:cs="Times New Roman" w:eastAsia="Times New Roman" w:hAnsi="Times New Roman"/>
          <w:sz w:val="16"/>
          <w:szCs w:val="16"/>
          <w:color w:val="auto"/>
        </w:rPr>
        <w:t>On October 13, 2026, we acquired the remaining outstanding equity interests of Solo Pace, Inc. (“Solo Pace”),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pursuant to a Stock Purchase Agreement (the “Solo Pace Acquisition”). Prior to the Solo Pace Acquisition, we held an approximately 18% equity interest in Solo Pace, which we accounted for under the equity method and had a carrying amount of $4.2 million as of September 30, 2026. As a result of the Solo Pace Acquisition, Solo Pace became a wholly-owned subsidiary of Merit.</w:t>
      </w:r>
    </w:p>
    <w:p>
      <w:pPr>
        <w:spacing w:after="0" w:line="137"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The acquisition-date fair value of the consideration transferred consisted of (i) an upfront cash payment of $45.0 million, subject to customary working capital and other adjustments and (ii) the effective settlement of $2.5 million in principal and accrued interest outstanding under loans we previously issued to Solo Pace. We will account for the Solo Pace Acquisition as a business combination achieved in stages. Accordingly, we will remeasure our previously held equity interest to its acquisition-date fair value and recognize any resulting gain or loss within other income (expense) — net in the fourth quarter of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right="1039"/>
        <w:spacing w:after="0" w:line="292" w:lineRule="auto"/>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15"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The following discussion and analysis of our financial condition and results of operations should be read in conjunction with the consolidated financial statements and related condensed notes thereto, which are included in Part I of this report. Our future financial condition and results of operations, as well as any forward-looking statements, are subject to inherent risks and uncertainties that may adversely impact our operations and financial results. These risks and uncertainties are discussed in Part I, Item 1A “Risk Factors” in the 2025 Annual Report on Form 10-K and in Part II, Item 1A “Risk Factors” in this report and in our Quarterly Report on Form 10-Q for each of the quarters ended March 31, 2026 and June 30, 2026.</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7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We are a leading manufacturer and marketer of proprietary medical devices used in interventional, diagnostic and therapeutic procedures, particularly in cardiology, radiology, oncology, critical care and endoscopy. Our business consists of two product categories: foundational and therapeutic. Within each of these product categories, we sell a variety of products organized as product platforms. Our foundational product category includes product platforms such as access devices, procedural solutions, OEM products, and vascular intervention. Our therapeutic product category includes product platforms such as cardiac therapies, oncology, renal therapies, vascular intervention, OEM products and endoscopy.</w:t>
      </w:r>
    </w:p>
    <w:p>
      <w:pPr>
        <w:spacing w:after="0" w:line="14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For the three-month period ended September 30, 2026, we reported sales of $416.2 million, an increase of $32.1 million or 8.4% compared to sales for the three-month period ended September 30, 2025 of $384.2 million. For the nine-month period ended September 30, 2026, we reported sales of $1,217.0 million, an increase of $95.0 million or 8.5% compared to sales for the nine-month period ended September 30, 2025 of $1,122.0 million. Foreign currency fluctuations (net of hedging) increased our net sales by $1.1 million and $12.0 million for the three and nine-month periods ended September 30, 2026, respectively, assuming applicable foreign exchange rates in effect during the comparable prior-year periods.</w:t>
      </w:r>
    </w:p>
    <w:p>
      <w:pPr>
        <w:spacing w:after="0" w:line="12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Gross profit as a percentage of sales decreased to 48.2% for the three-month period ended September 30, 2026 compared to 48.5% for the three-month period ended September 30, 2025. Gross profit as a percentage of sales increased to 49.4% for the nine-month period ended September 30, 2026 compared to 48.4% for the nine-month period ended September 30, 2025.</w:t>
      </w:r>
    </w:p>
    <w:p>
      <w:pPr>
        <w:spacing w:after="0" w:line="1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Net income for the three-month period ended September 30, 2026 was $42.3 million, or $0.70 per share, compared to net income of $27.8 million, or $0.46 per share, for the three-month period ended September 30, 2025. Net income for the nine-month period ended September 30, 2026 was $122.1 million, or $2.03 per share, compared to net income of $90.5 million, or $1.49 per share, for the nine-month period ended September 30, 2025.</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Recent Developments and Trends</w:t>
      </w:r>
    </w:p>
    <w:p>
      <w:pPr>
        <w:spacing w:after="0" w:line="184"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In addition to the trends identified in the 2025 Annual Report on Form 10-K under the heading “Management’s Discussion and Analysis of Financial Condition and Results of Operations - Overview,” our business in 2026 has been impacted, and we believe will continue to be impacted, by the following recent developments and trends:</w:t>
      </w:r>
    </w:p>
    <w:p>
      <w:pPr>
        <w:spacing w:after="0" w:line="59" w:lineRule="exact"/>
        <w:rPr>
          <w:sz w:val="20"/>
          <w:szCs w:val="20"/>
          <w:color w:val="auto"/>
        </w:rPr>
      </w:pPr>
    </w:p>
    <w:p>
      <w:pPr>
        <w:ind w:left="660" w:right="59" w:hanging="301"/>
        <w:spacing w:after="0" w:line="289"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revenue results during the three-month period ended September 30, 2026 were driven primarily by demand in both our domestic and international regions.</w:t>
      </w:r>
    </w:p>
    <w:p>
      <w:pPr>
        <w:spacing w:after="0" w:line="44" w:lineRule="exact"/>
        <w:rPr>
          <w:rFonts w:ascii="Times New Roman" w:cs="Times New Roman" w:eastAsia="Times New Roman" w:hAnsi="Times New Roman"/>
          <w:sz w:val="16"/>
          <w:szCs w:val="16"/>
          <w:color w:val="auto"/>
        </w:rPr>
      </w:pPr>
    </w:p>
    <w:p>
      <w:pPr>
        <w:jc w:val="both"/>
        <w:ind w:left="660" w:right="59" w:hanging="301"/>
        <w:spacing w:after="0" w:line="266"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 2026, we completed the acquisition of View Point, which included the OneMark® Detection Imaging System and OneMark Tissue Markers used in the diagnosis and localization of breast and soft tissue tumors. We began commercial sales of OneMark products during the third quarter of 2026 and expect to continue to expand commercial availability through the remainder of 2026 and into 2027.</w:t>
      </w:r>
    </w:p>
    <w:p>
      <w:pPr>
        <w:spacing w:after="0" w:line="62" w:lineRule="exact"/>
        <w:rPr>
          <w:rFonts w:ascii="Times New Roman" w:cs="Times New Roman" w:eastAsia="Times New Roman" w:hAnsi="Times New Roman"/>
          <w:sz w:val="16"/>
          <w:szCs w:val="16"/>
          <w:color w:val="auto"/>
        </w:rPr>
      </w:pPr>
    </w:p>
    <w:p>
      <w:pPr>
        <w:ind w:left="660" w:right="79" w:hanging="301"/>
        <w:spacing w:after="0" w:line="289" w:lineRule="auto"/>
        <w:tabs>
          <w:tab w:leader="none" w:pos="6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September 30, 2026, we had cash, cash equivalents, and restricted cash of $505.8 million and net available borrowing capacity under our Amended Fourth A&amp;R Credit Agreement of $697 million.</w:t>
      </w:r>
    </w:p>
    <w:p>
      <w:pPr>
        <w:spacing w:after="0" w:line="3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 following table sets forth certain operational data as a percentage of sales for the periods indicated:</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660" w:type="dxa"/>
            <w:vAlign w:val="bottom"/>
            <w:gridSpan w:val="2"/>
          </w:tcPr>
          <w:p>
            <w:pPr>
              <w:ind w:left="4400"/>
              <w:spacing w:after="0"/>
              <w:rPr>
                <w:sz w:val="20"/>
                <w:szCs w:val="20"/>
                <w:color w:val="auto"/>
              </w:rPr>
            </w:pPr>
            <w:r>
              <w:rPr>
                <w:rFonts w:ascii="Times New Roman" w:cs="Times New Roman" w:eastAsia="Times New Roman" w:hAnsi="Times New Roman"/>
                <w:sz w:val="13"/>
                <w:szCs w:val="13"/>
                <w:b w:val="1"/>
                <w:bCs w:val="1"/>
                <w:color w:val="auto"/>
              </w:rPr>
              <w:t>​​​</w:t>
            </w:r>
          </w:p>
        </w:tc>
        <w:tc>
          <w:tcPr>
            <w:tcW w:w="1740" w:type="dxa"/>
            <w:vAlign w:val="bottom"/>
            <w:gridSpan w:val="6"/>
          </w:tcPr>
          <w:p>
            <w:pPr>
              <w:jc w:val="center"/>
              <w:ind w:right="119"/>
              <w:spacing w:after="0"/>
              <w:rPr>
                <w:sz w:val="20"/>
                <w:szCs w:val="20"/>
                <w:color w:val="auto"/>
              </w:rPr>
            </w:pPr>
            <w:r>
              <w:rPr>
                <w:rFonts w:ascii="Times New Roman" w:cs="Times New Roman" w:eastAsia="Times New Roman" w:hAnsi="Times New Roman"/>
                <w:sz w:val="13"/>
                <w:szCs w:val="13"/>
                <w:b w:val="1"/>
                <w:bCs w:val="1"/>
                <w:color w:val="auto"/>
                <w:w w:val="99"/>
              </w:rPr>
              <w:t>Three Months Ended</w:t>
            </w:r>
          </w:p>
        </w:tc>
        <w:tc>
          <w:tcPr>
            <w:tcW w:w="380" w:type="dxa"/>
            <w:vAlign w:val="bottom"/>
          </w:tcPr>
          <w:p>
            <w:pPr>
              <w:spacing w:after="0"/>
              <w:rPr>
                <w:sz w:val="12"/>
                <w:szCs w:val="12"/>
                <w:color w:val="auto"/>
              </w:rPr>
            </w:pPr>
          </w:p>
        </w:tc>
        <w:tc>
          <w:tcPr>
            <w:tcW w:w="1920" w:type="dxa"/>
            <w:vAlign w:val="bottom"/>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vMerge w:val="restart"/>
          </w:tcPr>
          <w:p>
            <w:pPr>
              <w:ind w:left="44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4"/>
          </w:tcPr>
          <w:p>
            <w:pPr>
              <w:jc w:val="center"/>
              <w:ind w:left="28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1320" w:type="dxa"/>
            <w:vAlign w:val="bottom"/>
            <w:tcBorders>
              <w:bottom w:val="single" w:sz="8" w:color="auto"/>
            </w:tcBorders>
            <w:gridSpan w:val="4"/>
          </w:tcPr>
          <w:p>
            <w:pPr>
              <w:jc w:val="center"/>
              <w:ind w:left="44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6"/>
        </w:trPr>
        <w:tc>
          <w:tcPr>
            <w:tcW w:w="45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203"/>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0"/>
                <w:szCs w:val="10"/>
                <w:color w:val="auto"/>
              </w:rPr>
            </w:pPr>
          </w:p>
        </w:tc>
        <w:tc>
          <w:tcPr>
            <w:tcW w:w="48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00"/>
              <w:spacing w:after="0" w:line="126"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820" w:type="dxa"/>
            <w:vAlign w:val="bottom"/>
          </w:tcPr>
          <w:p>
            <w:pPr>
              <w:jc w:val="right"/>
              <w:ind w:right="203"/>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20" w:type="dxa"/>
            <w:vAlign w:val="bottom"/>
          </w:tcPr>
          <w:p>
            <w:pPr>
              <w:spacing w:after="0"/>
              <w:rPr>
                <w:sz w:val="10"/>
                <w:szCs w:val="10"/>
                <w:color w:val="auto"/>
              </w:rPr>
            </w:pPr>
          </w:p>
        </w:tc>
        <w:tc>
          <w:tcPr>
            <w:tcW w:w="48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right"/>
              <w:ind w:right="200"/>
              <w:spacing w:after="0" w:line="126"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top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20" w:type="dxa"/>
            <w:vAlign w:val="bottom"/>
            <w:tcBorders>
              <w:top w:val="single" w:sz="8" w:color="CCEEFF"/>
            </w:tcBorders>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6"/>
                <w:szCs w:val="16"/>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top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tcBorders>
              <w:top w:val="single" w:sz="8" w:color="CCEEFF"/>
            </w:tcBorders>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195"/>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Contingent consideration (benefit) expense</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 — net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84"/>
        </w:trPr>
        <w:tc>
          <w:tcPr>
            <w:tcW w:w="4660" w:type="dxa"/>
            <w:vAlign w:val="bottom"/>
            <w:gridSpan w:val="2"/>
          </w:tcPr>
          <w:p>
            <w:pPr>
              <w:ind w:left="4380"/>
              <w:spacing w:after="0"/>
              <w:rPr>
                <w:sz w:val="20"/>
                <w:szCs w:val="20"/>
                <w:color w:val="auto"/>
              </w:rPr>
            </w:pPr>
            <w:r>
              <w:rPr>
                <w:rFonts w:ascii="Times New Roman" w:cs="Times New Roman" w:eastAsia="Times New Roman" w:hAnsi="Times New Roman"/>
                <w:sz w:val="16"/>
                <w:szCs w:val="16"/>
                <w:color w:val="auto"/>
              </w:rPr>
              <w:t>32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4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477"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Sales</w:t>
      </w:r>
    </w:p>
    <w:p>
      <w:pPr>
        <w:spacing w:after="0" w:line="18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Sales for the three-month period ended September 30, 2026 increased by 8.4%, or $32.1 million, compared to the corresponding period in 2025. Sales for the nine-month period ended September 30, 2026 increased by 8.5%, or $95.0 million, compared to the corresponding period in 2025. Listed below are the sales by product category and platform for the three and nine-month periods ended September 30, 2026 and 2025 (in thousands, other than percentage changes):</w:t>
      </w:r>
    </w:p>
    <w:p>
      <w:pPr>
        <w:spacing w:after="0" w:line="11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1880" w:type="dxa"/>
            <w:vAlign w:val="bottom"/>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2040" w:type="dxa"/>
            <w:vAlign w:val="bottom"/>
          </w:tcPr>
          <w:p>
            <w:pPr>
              <w:spacing w:after="0"/>
              <w:rPr>
                <w:sz w:val="13"/>
                <w:szCs w:val="13"/>
                <w:color w:val="auto"/>
              </w:rPr>
            </w:pPr>
          </w:p>
        </w:tc>
        <w:tc>
          <w:tcPr>
            <w:tcW w:w="1880" w:type="dxa"/>
            <w:vAlign w:val="bottom"/>
            <w:gridSpan w:val="3"/>
          </w:tcPr>
          <w:p>
            <w:pPr>
              <w:ind w:left="9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6"/>
        </w:trPr>
        <w:tc>
          <w:tcPr>
            <w:tcW w:w="2040" w:type="dxa"/>
            <w:vAlign w:val="bottom"/>
          </w:tcPr>
          <w:p>
            <w:pPr>
              <w:spacing w:after="0"/>
              <w:rPr>
                <w:sz w:val="10"/>
                <w:szCs w:val="10"/>
                <w:color w:val="auto"/>
              </w:rPr>
            </w:pPr>
          </w:p>
        </w:tc>
        <w:tc>
          <w:tcPr>
            <w:tcW w:w="1880" w:type="dxa"/>
            <w:vAlign w:val="bottom"/>
            <w:gridSpan w:val="3"/>
          </w:tcPr>
          <w:p>
            <w:pPr>
              <w:ind w:left="900"/>
              <w:spacing w:after="0" w:line="126" w:lineRule="exact"/>
              <w:rPr>
                <w:sz w:val="20"/>
                <w:szCs w:val="20"/>
                <w:color w:val="auto"/>
              </w:rPr>
            </w:pPr>
            <w:r>
              <w:rPr>
                <w:rFonts w:ascii="Times New Roman" w:cs="Times New Roman" w:eastAsia="Times New Roman" w:hAnsi="Times New Roman"/>
                <w:sz w:val="13"/>
                <w:szCs w:val="13"/>
                <w:b w:val="1"/>
                <w:bCs w:val="1"/>
                <w:color w:val="auto"/>
              </w:rPr>
              <w:t>​​​% Change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202"/>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gridSpan w:val="2"/>
          </w:tcPr>
          <w:p>
            <w:pPr>
              <w:jc w:val="right"/>
              <w:ind w:right="5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ind w:right="18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060" w:type="dxa"/>
            <w:vAlign w:val="bottom"/>
            <w:gridSpan w:val="3"/>
          </w:tcPr>
          <w:p>
            <w:pPr>
              <w:jc w:val="right"/>
              <w:ind w:right="19"/>
              <w:spacing w:after="0" w:line="126" w:lineRule="exact"/>
              <w:rPr>
                <w:sz w:val="20"/>
                <w:szCs w:val="20"/>
                <w:color w:val="auto"/>
              </w:rPr>
            </w:pPr>
            <w:r>
              <w:rPr>
                <w:rFonts w:ascii="Times New Roman" w:cs="Times New Roman" w:eastAsia="Times New Roman" w:hAnsi="Times New Roman"/>
                <w:sz w:val="13"/>
                <w:szCs w:val="13"/>
                <w:b w:val="1"/>
                <w:bCs w:val="1"/>
                <w:color w:val="auto"/>
              </w:rPr>
              <w:t>​​​% Change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262"/>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gridSpan w:val="2"/>
          </w:tcPr>
          <w:p>
            <w:pPr>
              <w:jc w:val="right"/>
              <w:ind w:right="5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60"/>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87"/>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Foundational</w:t>
            </w:r>
          </w:p>
        </w:tc>
        <w:tc>
          <w:tcPr>
            <w:tcW w:w="9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r>
      <w:tr>
        <w:trPr>
          <w:trHeight w:val="19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Access</w:t>
            </w:r>
          </w:p>
        </w:tc>
        <w:tc>
          <w:tcPr>
            <w:tcW w:w="18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157,922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151,508</w:t>
            </w: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7.5 %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470,832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438,028</w:t>
            </w:r>
          </w:p>
        </w:tc>
      </w:tr>
      <w:tr>
        <w:trPr>
          <w:trHeight w:val="19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OEM</w:t>
            </w:r>
          </w:p>
        </w:tc>
        <w:tc>
          <w:tcPr>
            <w:tcW w:w="18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41,499</w:t>
            </w:r>
          </w:p>
        </w:tc>
        <w:tc>
          <w:tcPr>
            <w:tcW w:w="10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134,156</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128,140</w:t>
            </w:r>
          </w:p>
        </w:tc>
      </w:tr>
      <w:tr>
        <w:trPr>
          <w:trHeight w:val="19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Procedural Solutions</w:t>
            </w:r>
          </w:p>
        </w:tc>
        <w:tc>
          <w:tcPr>
            <w:tcW w:w="18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32,287</w:t>
            </w: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81,599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92,597</w:t>
            </w:r>
          </w:p>
        </w:tc>
      </w:tr>
      <w:tr>
        <w:trPr>
          <w:trHeight w:val="19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Vascular Intervention</w:t>
            </w:r>
          </w:p>
        </w:tc>
        <w:tc>
          <w:tcPr>
            <w:tcW w:w="18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19.7 %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35,391</w:t>
            </w:r>
          </w:p>
        </w:tc>
        <w:tc>
          <w:tcPr>
            <w:tcW w:w="10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19.2 %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123,057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103,195</w:t>
            </w:r>
          </w:p>
        </w:tc>
      </w:tr>
      <w:tr>
        <w:trPr>
          <w:trHeight w:val="19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8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807.7 %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48.0 %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w:t>
            </w:r>
          </w:p>
        </w:tc>
      </w:tr>
      <w:tr>
        <w:trPr>
          <w:trHeight w:val="187"/>
        </w:trPr>
        <w:tc>
          <w:tcPr>
            <w:tcW w:w="2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Total Foundational</w:t>
            </w:r>
          </w:p>
        </w:tc>
        <w:tc>
          <w:tcPr>
            <w:tcW w:w="9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275,735</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260,906</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812,175</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763,670</w:t>
            </w:r>
          </w:p>
        </w:tc>
      </w:tr>
      <w:tr>
        <w:trPr>
          <w:trHeight w:val="195"/>
        </w:trPr>
        <w:tc>
          <w:tcPr>
            <w:tcW w:w="20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Therapeutic</w:t>
            </w: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19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Cardiac Therapies</w:t>
            </w:r>
          </w:p>
        </w:tc>
        <w:tc>
          <w:tcPr>
            <w:tcW w:w="18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7.9 %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27,547</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25,530</w:t>
            </w: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20.9 %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83,461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69,019</w:t>
            </w:r>
          </w:p>
        </w:tc>
      </w:tr>
      <w:tr>
        <w:trPr>
          <w:trHeight w:val="19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Endoscopy</w:t>
            </w:r>
          </w:p>
        </w:tc>
        <w:tc>
          <w:tcPr>
            <w:tcW w:w="18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32.9 %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23,428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17,631</w:t>
            </w:r>
          </w:p>
        </w:tc>
        <w:tc>
          <w:tcPr>
            <w:tcW w:w="10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30.8 %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68,767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52,582</w:t>
            </w:r>
          </w:p>
        </w:tc>
      </w:tr>
      <w:tr>
        <w:trPr>
          <w:trHeight w:val="19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OEM</w:t>
            </w:r>
          </w:p>
        </w:tc>
        <w:tc>
          <w:tcPr>
            <w:tcW w:w="18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31.5 %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9,953</w:t>
            </w: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8.2 %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30,830</w:t>
            </w:r>
          </w:p>
        </w:tc>
      </w:tr>
      <w:tr>
        <w:trPr>
          <w:trHeight w:val="19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Oncology</w:t>
            </w:r>
          </w:p>
        </w:tc>
        <w:tc>
          <w:tcPr>
            <w:tcW w:w="18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27,085</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23,263</w:t>
            </w:r>
          </w:p>
        </w:tc>
        <w:tc>
          <w:tcPr>
            <w:tcW w:w="10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76,367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69,257</w:t>
            </w:r>
          </w:p>
        </w:tc>
      </w:tr>
      <w:tr>
        <w:trPr>
          <w:trHeight w:val="195"/>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Renal Therapies</w:t>
            </w:r>
          </w:p>
        </w:tc>
        <w:tc>
          <w:tcPr>
            <w:tcW w:w="188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13,808</w:t>
            </w: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37,775</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40,014</w:t>
            </w:r>
          </w:p>
        </w:tc>
      </w:tr>
      <w:tr>
        <w:trPr>
          <w:trHeight w:val="195"/>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Vascular Intervention</w:t>
            </w:r>
          </w:p>
        </w:tc>
        <w:tc>
          <w:tcPr>
            <w:tcW w:w="18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35,810</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33,066</w:t>
            </w:r>
          </w:p>
        </w:tc>
        <w:tc>
          <w:tcPr>
            <w:tcW w:w="10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105,054</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96,598</w:t>
            </w:r>
          </w:p>
        </w:tc>
      </w:tr>
      <w:tr>
        <w:trPr>
          <w:trHeight w:val="187"/>
        </w:trPr>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Therapeutic</w:t>
            </w:r>
          </w:p>
        </w:tc>
        <w:tc>
          <w:tcPr>
            <w:tcW w:w="96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140,509</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123,251</w:t>
            </w:r>
          </w:p>
        </w:tc>
        <w:tc>
          <w:tcPr>
            <w:tcW w:w="140" w:type="dxa"/>
            <w:vAlign w:val="bottom"/>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404,789</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358,300</w:t>
            </w:r>
          </w:p>
        </w:tc>
      </w:tr>
      <w:tr>
        <w:trPr>
          <w:trHeight w:val="195"/>
        </w:trPr>
        <w:tc>
          <w:tcPr>
            <w:tcW w:w="20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r>
      <w:tr>
        <w:trPr>
          <w:trHeight w:val="187"/>
        </w:trPr>
        <w:tc>
          <w:tcPr>
            <w:tcW w:w="2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416,244</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384,157</w:t>
            </w:r>
          </w:p>
        </w:tc>
        <w:tc>
          <w:tcPr>
            <w:tcW w:w="14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1,216,964</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1,121,970</w:t>
            </w:r>
          </w:p>
        </w:tc>
      </w:tr>
      <w:tr>
        <w:trPr>
          <w:trHeight w:val="20"/>
        </w:trPr>
        <w:tc>
          <w:tcPr>
            <w:tcW w:w="2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Foundational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foundational sales for the three-month period ended September 30, 2026 were $275.7 million, up 5.7% when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the corresponding period of 2025 of $260.9 million. Sales for the three-month period ended September 30, 2026 were favorably affected by increased sales within the following platforms:</w:t>
      </w:r>
    </w:p>
    <w:p>
      <w:pPr>
        <w:spacing w:after="0" w:line="130" w:lineRule="exact"/>
        <w:rPr>
          <w:sz w:val="20"/>
          <w:szCs w:val="20"/>
          <w:color w:val="auto"/>
        </w:rPr>
      </w:pPr>
    </w:p>
    <w:p>
      <w:pPr>
        <w:jc w:val="both"/>
        <w:ind w:left="660" w:right="59" w:hanging="301"/>
        <w:spacing w:after="0" w:line="271"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which increased by $6.4 million, or 4.2%, from the corresponding period of 2025. This increase was driven primarily by increased sales of our angiography, access and hemostasis products, partially offset by decreased sales in our drainage and intervention products.</w:t>
      </w:r>
    </w:p>
    <w:p>
      <w:pPr>
        <w:spacing w:after="0" w:line="120" w:lineRule="exact"/>
        <w:rPr>
          <w:rFonts w:ascii="Times New Roman" w:cs="Times New Roman" w:eastAsia="Times New Roman" w:hAnsi="Times New Roman"/>
          <w:sz w:val="16"/>
          <w:szCs w:val="16"/>
          <w:color w:val="auto"/>
        </w:rPr>
      </w:pPr>
    </w:p>
    <w:p>
      <w:pPr>
        <w:jc w:val="both"/>
        <w:ind w:left="660" w:right="59" w:hanging="301"/>
        <w:spacing w:after="0" w:line="271"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OEM, which increased by $4.8 million, or 11.5%, from the corresponding period of 2025. This increase was driven primarily by increased sales of our fluid management, sensors, angiography and access products, partially offset by decreased sales of our intervention products.</w:t>
      </w:r>
    </w:p>
    <w:p>
      <w:pPr>
        <w:spacing w:after="0" w:line="120" w:lineRule="exact"/>
        <w:rPr>
          <w:rFonts w:ascii="Times New Roman" w:cs="Times New Roman" w:eastAsia="Times New Roman" w:hAnsi="Times New Roman"/>
          <w:sz w:val="16"/>
          <w:szCs w:val="16"/>
          <w:color w:val="auto"/>
        </w:rPr>
      </w:pPr>
    </w:p>
    <w:p>
      <w:pPr>
        <w:ind w:left="660" w:right="59" w:hanging="301"/>
        <w:spacing w:after="0" w:line="289" w:lineRule="auto"/>
        <w:tabs>
          <w:tab w:leader="none" w:pos="6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Vascular Intervention, which increased by $7.0 million, or 19.7%, from the corresponding period of 2025. This increase was driven primarily by increased sales of our drainage and biopsy products.</w:t>
      </w:r>
    </w:p>
    <w:p>
      <w:pPr>
        <w:spacing w:after="0" w:line="11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The foregoing increase in sales for the three-month period ended September 30, 2026 was partially offset by decreased sales within our Procedural Solutions platform, which decreased by $5.1 million, or 15.9%, from the corresponding period of 2025. This decrease was driven primarily by the sale of the DualCap® product line to Health Line.</w:t>
      </w:r>
    </w:p>
    <w:p>
      <w:pPr>
        <w:spacing w:after="0" w:line="12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Our foundational sales for the nine-month period ended September 30, 2026 were $812.2 million, up 6.4% when compared to the corresponding period of 2025 of $763.7 million. Sales for the nine-month period ended September 30, 2026 were favorably affected by increased sales within the following platforms:</w:t>
      </w:r>
    </w:p>
    <w:p>
      <w:pPr>
        <w:spacing w:after="0" w:line="120" w:lineRule="exact"/>
        <w:rPr>
          <w:sz w:val="20"/>
          <w:szCs w:val="20"/>
          <w:color w:val="auto"/>
        </w:rPr>
      </w:pPr>
    </w:p>
    <w:p>
      <w:pPr>
        <w:jc w:val="both"/>
        <w:ind w:left="660" w:right="79" w:hanging="301"/>
        <w:spacing w:after="0" w:line="271" w:lineRule="auto"/>
        <w:tabs>
          <w:tab w:leader="none" w:pos="66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Access, which increased by $32.8 million, or 7.5%, from the corresponding period of 2025. This increase was driven primarily by hemostasis products acquired in the Biolife Merger, as well as increased sales of our angiography and access products, partially offset by decreased sales in our drainage products.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660" w:right="79" w:hanging="301"/>
        <w:spacing w:after="0" w:line="271"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OEM, which increased by $6.0 million, or 4.7%, from the corresponding period of 2025. This increase was driven primarily by increased sales of our sensors, fluid management, access, hemostasis and angiography products, partially offset by decreased sales in our intervention, kits and cardiac rhythm management/electrophysiology (“CRM/EP”) products.</w:t>
      </w:r>
    </w:p>
    <w:p>
      <w:pPr>
        <w:spacing w:after="0" w:line="132" w:lineRule="exact"/>
        <w:rPr>
          <w:rFonts w:ascii="Times New Roman" w:cs="Times New Roman" w:eastAsia="Times New Roman" w:hAnsi="Times New Roman"/>
          <w:sz w:val="16"/>
          <w:szCs w:val="16"/>
          <w:color w:val="auto"/>
        </w:rPr>
      </w:pPr>
    </w:p>
    <w:p>
      <w:pPr>
        <w:ind w:left="660" w:right="79" w:hanging="301"/>
        <w:spacing w:after="0" w:line="289"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Vascular Intervention, which increased by $19.9 million, or 19.2%, from the corresponding period of 2025. This increase was driven primarily by increased sales of our drainage and biopsy products.</w:t>
      </w:r>
    </w:p>
    <w:p>
      <w:pPr>
        <w:spacing w:after="0" w:line="106"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The foregoing increase in sales for the nine-month period ended September 30, 2026 was partially offset by decreased sales within our Procedural Solutions platform, which decreased by $11.0 million, or 11.9%, from the corresponding period of 2025. This decrease was driven primarily by the sale of the DualCap® product line to Health Line, partially offset by increased sales of our trays.</w:t>
      </w:r>
    </w:p>
    <w:p>
      <w:pPr>
        <w:spacing w:after="0" w:line="118"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Therapeutic Sales</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Our therapeutic sales for the three-month period ended September 30, 2026 were $140.5 million, up 14.0% when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sales in the corresponding period of 2025 of $123.3 million. Sales for the three-month period ended September 30, 2026 were favorably affected by increased sales within the following platforms:</w:t>
      </w:r>
    </w:p>
    <w:p>
      <w:pPr>
        <w:spacing w:after="0" w:line="130" w:lineRule="exact"/>
        <w:rPr>
          <w:sz w:val="20"/>
          <w:szCs w:val="20"/>
          <w:color w:val="auto"/>
        </w:rPr>
      </w:pPr>
    </w:p>
    <w:p>
      <w:pPr>
        <w:ind w:left="660" w:right="79" w:hanging="301"/>
        <w:spacing w:after="0" w:line="289"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Cardiac Therapies, which increased by $2.0 million, or 7.9%, from the corresponding period of 2025. This increase was driven primarily by increased sales of the SoloPace temporary pacing system.</w:t>
      </w:r>
    </w:p>
    <w:p>
      <w:pPr>
        <w:spacing w:after="0" w:line="105" w:lineRule="exact"/>
        <w:rPr>
          <w:rFonts w:ascii="Times New Roman" w:cs="Times New Roman" w:eastAsia="Times New Roman" w:hAnsi="Times New Roman"/>
          <w:sz w:val="16"/>
          <w:szCs w:val="16"/>
          <w:color w:val="auto"/>
        </w:rPr>
      </w:pPr>
    </w:p>
    <w:p>
      <w:pPr>
        <w:jc w:val="both"/>
        <w:ind w:left="660" w:right="59" w:hanging="301"/>
        <w:spacing w:after="0" w:line="223"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Endoscopy, which increased by $5.8 million, or 32.9%, from the corresponding period of 2025. This increase was driven primarily by sales attributable to the acquisition of the C2 Cryoballoon from Pentax and increased sales of the Resilience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6"/>
          <w:szCs w:val="16"/>
          <w:color w:val="auto"/>
        </w:rPr>
        <w:t xml:space="preserve"> esophageal stent.</w:t>
      </w:r>
    </w:p>
    <w:p>
      <w:pPr>
        <w:spacing w:after="0" w:line="84" w:lineRule="exact"/>
        <w:rPr>
          <w:rFonts w:ascii="Times New Roman" w:cs="Times New Roman" w:eastAsia="Times New Roman" w:hAnsi="Times New Roman"/>
          <w:sz w:val="16"/>
          <w:szCs w:val="16"/>
          <w:color w:val="auto"/>
        </w:rPr>
      </w:pPr>
    </w:p>
    <w:p>
      <w:pPr>
        <w:ind w:left="660" w:right="219" w:hanging="301"/>
        <w:spacing w:after="0" w:line="289"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OEM, which increased by $3.1 million, or 31.5%, from the corresponding period of 2025. This increase was driven primarily by increased sales of our ablation products.</w:t>
      </w:r>
    </w:p>
    <w:p>
      <w:pPr>
        <w:spacing w:after="0" w:line="105" w:lineRule="exact"/>
        <w:rPr>
          <w:rFonts w:ascii="Times New Roman" w:cs="Times New Roman" w:eastAsia="Times New Roman" w:hAnsi="Times New Roman"/>
          <w:sz w:val="16"/>
          <w:szCs w:val="16"/>
          <w:color w:val="auto"/>
        </w:rPr>
      </w:pPr>
    </w:p>
    <w:p>
      <w:pPr>
        <w:ind w:left="660" w:right="79" w:hanging="301"/>
        <w:spacing w:after="0" w:line="289"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Oncology, which increased by $3.8 million, or 16.4%, from the corresponding period of 2025. This increase was driven primarily by increased sales of our SCOUT radar localization products.</w:t>
      </w:r>
    </w:p>
    <w:p>
      <w:pPr>
        <w:spacing w:after="0" w:line="117" w:lineRule="exact"/>
        <w:rPr>
          <w:rFonts w:ascii="Times New Roman" w:cs="Times New Roman" w:eastAsia="Times New Roman" w:hAnsi="Times New Roman"/>
          <w:sz w:val="16"/>
          <w:szCs w:val="16"/>
          <w:color w:val="auto"/>
        </w:rPr>
      </w:pPr>
    </w:p>
    <w:p>
      <w:pPr>
        <w:ind w:left="660" w:right="79" w:hanging="301"/>
        <w:spacing w:after="0" w:line="289" w:lineRule="auto"/>
        <w:tabs>
          <w:tab w:leader="none" w:pos="6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Vascular Intervention, which increased by $2.7 million, or 8.3%, from the corresponding period of 2025. This increase was driven primarily by increased sales of our delivery systems and embolotherapy products.</w:t>
      </w:r>
    </w:p>
    <w:p>
      <w:pPr>
        <w:spacing w:after="0" w:line="106"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The foregoing increase in sales for the three-month period ended September 30, 2026 was partially offset by decreased sales within our Renal Therapies platform, which decreased by $0.3 million, or 1.9%, from the corresponding period of 2025. This decrease was driven primarily by decreased sales of our access products.</w:t>
      </w:r>
    </w:p>
    <w:p>
      <w:pPr>
        <w:spacing w:after="0" w:line="12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Our therapeutic sales for the nine-month period ended September 30, 2026 were $404.8 million, up 13.0% when compared to sales in the corresponding period of 2025 of $358.3 million. Sales for the nine-month period ended September 30, 2026 were favorably affected by increased sales within the following platforms:</w:t>
      </w:r>
    </w:p>
    <w:p>
      <w:pPr>
        <w:spacing w:after="0" w:line="133" w:lineRule="exact"/>
        <w:rPr>
          <w:sz w:val="20"/>
          <w:szCs w:val="20"/>
          <w:color w:val="auto"/>
        </w:rPr>
      </w:pPr>
    </w:p>
    <w:p>
      <w:pPr>
        <w:ind w:left="660" w:right="79" w:hanging="301"/>
        <w:spacing w:after="0" w:line="289"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Cardiac Therapies, which increased by $14.4 million, or 20.9%, from the corresponding period of 2025. This increase was driven primarily by increased sales of our lead management products, Prelude SNAP and SoloPace temporary pacing system.</w:t>
      </w:r>
    </w:p>
    <w:p>
      <w:pPr>
        <w:spacing w:after="0" w:line="105" w:lineRule="exact"/>
        <w:rPr>
          <w:rFonts w:ascii="Times New Roman" w:cs="Times New Roman" w:eastAsia="Times New Roman" w:hAnsi="Times New Roman"/>
          <w:sz w:val="16"/>
          <w:szCs w:val="16"/>
          <w:color w:val="auto"/>
        </w:rPr>
      </w:pPr>
    </w:p>
    <w:p>
      <w:pPr>
        <w:jc w:val="both"/>
        <w:ind w:left="660" w:right="59" w:hanging="301"/>
        <w:spacing w:after="0" w:line="223"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Endoscopy, which increased by $16.2 million, or 30.8%, from the corresponding period of 2025. This increase was driven primarily by sales attributable to the acquisition of the C2 Cryoballoon from Pentax and increased sales of the Resilience</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6"/>
          <w:szCs w:val="16"/>
          <w:color w:val="auto"/>
        </w:rPr>
        <w:t xml:space="preserve"> esophageal stent.</w:t>
      </w:r>
    </w:p>
    <w:p>
      <w:pPr>
        <w:spacing w:after="0" w:line="145" w:lineRule="exact"/>
        <w:rPr>
          <w:rFonts w:ascii="Times New Roman" w:cs="Times New Roman" w:eastAsia="Times New Roman" w:hAnsi="Times New Roman"/>
          <w:sz w:val="16"/>
          <w:szCs w:val="16"/>
          <w:color w:val="auto"/>
        </w:rPr>
      </w:pPr>
    </w:p>
    <w:p>
      <w:pPr>
        <w:jc w:val="both"/>
        <w:ind w:left="660" w:right="79" w:hanging="301"/>
        <w:spacing w:after="0" w:line="282"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OEM, which increased by $2.5 million, or 8.2%, from the corresponding period of 2025. This increase was driven primarily by increased sales of our ablation products, partially offset by decreased sales of our peripheral intervention and CRM/EP products.</w:t>
      </w:r>
    </w:p>
    <w:p>
      <w:pPr>
        <w:spacing w:after="0" w:line="323" w:lineRule="exact"/>
        <w:rPr>
          <w:rFonts w:ascii="Times New Roman" w:cs="Times New Roman" w:eastAsia="Times New Roman" w:hAnsi="Times New Roman"/>
          <w:sz w:val="16"/>
          <w:szCs w:val="16"/>
          <w:color w:val="auto"/>
        </w:rPr>
      </w:pPr>
    </w:p>
    <w:p>
      <w:pPr>
        <w:ind w:left="660" w:right="79" w:hanging="301"/>
        <w:spacing w:after="0" w:line="289" w:lineRule="auto"/>
        <w:tabs>
          <w:tab w:leader="none" w:pos="66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Oncology, which increased by $7.1 million, or 10.3%, from the corresponding period of 2025. This increase was driven primarily by increased sales of our SCOUT radar localization products.</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79" w:hanging="301"/>
        <w:spacing w:after="0" w:line="289" w:lineRule="auto"/>
        <w:tabs>
          <w:tab w:leader="none" w:pos="6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Vascular Intervention, which increased by $8.5 million, or 8.8%, from the corresponding period of 2025. This increase was driven primarily by increased sales of our delivery systems and embolotherapy products.</w:t>
      </w:r>
    </w:p>
    <w:p>
      <w:pPr>
        <w:spacing w:after="0" w:line="118"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The foregoing increase in sales for the nine-month period ended September 30, 2026 was partially offset by decreased sales within our Renal Therapies platform, which decreased by $2.2 million, or 5.6%, from the corresponding period of 2025. This decrease was driven primarily by decreased sales of our access products.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Geographic Sales</w:t>
      </w:r>
    </w:p>
    <w:p>
      <w:pPr>
        <w:spacing w:after="0" w:line="172" w:lineRule="exact"/>
        <w:rPr>
          <w:sz w:val="20"/>
          <w:szCs w:val="20"/>
          <w:color w:val="auto"/>
        </w:rPr>
      </w:pPr>
    </w:p>
    <w:p>
      <w:pPr>
        <w:jc w:val="both"/>
        <w:ind w:left="40" w:right="59"/>
        <w:spacing w:after="0" w:line="289" w:lineRule="auto"/>
        <w:rPr>
          <w:sz w:val="20"/>
          <w:szCs w:val="20"/>
          <w:color w:val="auto"/>
        </w:rPr>
      </w:pPr>
      <w:r>
        <w:rPr>
          <w:rFonts w:ascii="Times New Roman" w:cs="Times New Roman" w:eastAsia="Times New Roman" w:hAnsi="Times New Roman"/>
          <w:sz w:val="16"/>
          <w:szCs w:val="16"/>
          <w:color w:val="auto"/>
        </w:rPr>
        <w:t>Listed below are sales by geography for the three and nine-month periods ended September 30, 2026 and 2025 (in thousands, other than percentage changes):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880" w:type="dxa"/>
            <w:vAlign w:val="bottom"/>
          </w:tcPr>
          <w:p>
            <w:pPr>
              <w:spacing w:after="0"/>
              <w:rPr>
                <w:sz w:val="12"/>
                <w:szCs w:val="12"/>
                <w:color w:val="auto"/>
              </w:rPr>
            </w:pPr>
          </w:p>
        </w:tc>
        <w:tc>
          <w:tcPr>
            <w:tcW w:w="2040" w:type="dxa"/>
            <w:vAlign w:val="bottom"/>
            <w:gridSpan w:val="3"/>
          </w:tcPr>
          <w:p>
            <w:pPr>
              <w:ind w:left="10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4"/>
          </w:tcPr>
          <w:p>
            <w:pPr>
              <w:jc w:val="right"/>
              <w:ind w:right="223"/>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4"/>
          </w:tcPr>
          <w:p>
            <w:pPr>
              <w:jc w:val="right"/>
              <w:ind w:right="383"/>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56"/>
        </w:trPr>
        <w:tc>
          <w:tcPr>
            <w:tcW w:w="1880" w:type="dxa"/>
            <w:vAlign w:val="bottom"/>
          </w:tcPr>
          <w:p>
            <w:pPr>
              <w:spacing w:after="0"/>
              <w:rPr>
                <w:sz w:val="13"/>
                <w:szCs w:val="13"/>
                <w:color w:val="auto"/>
              </w:rPr>
            </w:pPr>
          </w:p>
        </w:tc>
        <w:tc>
          <w:tcPr>
            <w:tcW w:w="2040" w:type="dxa"/>
            <w:vAlign w:val="bottom"/>
            <w:gridSpan w:val="3"/>
          </w:tcPr>
          <w:p>
            <w:pPr>
              <w:ind w:left="106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jc w:val="right"/>
              <w:ind w:right="563"/>
              <w:spacing w:after="0"/>
              <w:rPr>
                <w:sz w:val="20"/>
                <w:szCs w:val="20"/>
                <w:color w:val="auto"/>
              </w:rPr>
            </w:pPr>
            <w:r>
              <w:rPr>
                <w:rFonts w:ascii="Times New Roman" w:cs="Times New Roman" w:eastAsia="Times New Roman" w:hAnsi="Times New Roman"/>
                <w:sz w:val="13"/>
                <w:szCs w:val="13"/>
                <w:b w:val="1"/>
                <w:bCs w:val="1"/>
                <w:color w:val="auto"/>
              </w:rPr>
              <w:t>September 30,</w:t>
            </w:r>
          </w:p>
        </w:tc>
      </w:tr>
      <w:tr>
        <w:trPr>
          <w:trHeight w:val="126"/>
        </w:trPr>
        <w:tc>
          <w:tcPr>
            <w:tcW w:w="1880" w:type="dxa"/>
            <w:vAlign w:val="bottom"/>
          </w:tcPr>
          <w:p>
            <w:pPr>
              <w:spacing w:after="0"/>
              <w:rPr>
                <w:sz w:val="10"/>
                <w:szCs w:val="10"/>
                <w:color w:val="auto"/>
              </w:rPr>
            </w:pPr>
          </w:p>
        </w:tc>
        <w:tc>
          <w:tcPr>
            <w:tcW w:w="2040" w:type="dxa"/>
            <w:vAlign w:val="bottom"/>
            <w:gridSpan w:val="3"/>
          </w:tcPr>
          <w:p>
            <w:pPr>
              <w:ind w:left="1060"/>
              <w:spacing w:after="0" w:line="126" w:lineRule="exact"/>
              <w:rPr>
                <w:sz w:val="20"/>
                <w:szCs w:val="20"/>
                <w:color w:val="auto"/>
              </w:rPr>
            </w:pPr>
            <w:r>
              <w:rPr>
                <w:rFonts w:ascii="Times New Roman" w:cs="Times New Roman" w:eastAsia="Times New Roman" w:hAnsi="Times New Roman"/>
                <w:sz w:val="13"/>
                <w:szCs w:val="13"/>
                <w:b w:val="1"/>
                <w:bCs w:val="1"/>
                <w:color w:val="auto"/>
              </w:rPr>
              <w:t>​​​% Change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207"/>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280" w:type="dxa"/>
            <w:vAlign w:val="bottom"/>
            <w:gridSpan w:val="2"/>
          </w:tcPr>
          <w:p>
            <w:pPr>
              <w:jc w:val="right"/>
              <w:ind w:right="3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203"/>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c>
          <w:tcPr>
            <w:tcW w:w="1060" w:type="dxa"/>
            <w:vAlign w:val="bottom"/>
            <w:gridSpan w:val="3"/>
          </w:tcPr>
          <w:p>
            <w:pPr>
              <w:jc w:val="right"/>
              <w:ind w:right="19"/>
              <w:spacing w:after="0" w:line="126" w:lineRule="exact"/>
              <w:rPr>
                <w:sz w:val="20"/>
                <w:szCs w:val="20"/>
                <w:color w:val="auto"/>
              </w:rPr>
            </w:pPr>
            <w:r>
              <w:rPr>
                <w:rFonts w:ascii="Times New Roman" w:cs="Times New Roman" w:eastAsia="Times New Roman" w:hAnsi="Times New Roman"/>
                <w:sz w:val="13"/>
                <w:szCs w:val="13"/>
                <w:b w:val="1"/>
                <w:bCs w:val="1"/>
                <w:color w:val="auto"/>
              </w:rPr>
              <w:t>​​​% Change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267"/>
              <w:spacing w:after="0" w:line="126" w:lineRule="exact"/>
              <w:rPr>
                <w:sz w:val="20"/>
                <w:szCs w:val="20"/>
                <w:color w:val="auto"/>
              </w:rPr>
            </w:pPr>
            <w:r>
              <w:rPr>
                <w:rFonts w:ascii="Times New Roman" w:cs="Times New Roman" w:eastAsia="Times New Roman" w:hAnsi="Times New Roman"/>
                <w:sz w:val="13"/>
                <w:szCs w:val="13"/>
                <w:b w:val="1"/>
                <w:bCs w:val="1"/>
                <w:color w:val="auto"/>
              </w:rPr>
              <w:t>2026</w:t>
            </w:r>
          </w:p>
        </w:tc>
        <w:tc>
          <w:tcPr>
            <w:tcW w:w="300" w:type="dxa"/>
            <w:vAlign w:val="bottom"/>
            <w:gridSpan w:val="2"/>
          </w:tcPr>
          <w:p>
            <w:pPr>
              <w:jc w:val="right"/>
              <w:ind w:right="59"/>
              <w:spacing w:after="0" w:line="126"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right"/>
              <w:ind w:right="263"/>
              <w:spacing w:after="0" w:line="126" w:lineRule="exact"/>
              <w:rPr>
                <w:sz w:val="20"/>
                <w:szCs w:val="20"/>
                <w:color w:val="auto"/>
              </w:rPr>
            </w:pPr>
            <w:r>
              <w:rPr>
                <w:rFonts w:ascii="Times New Roman" w:cs="Times New Roman" w:eastAsia="Times New Roman" w:hAnsi="Times New Roman"/>
                <w:sz w:val="13"/>
                <w:szCs w:val="13"/>
                <w:b w:val="1"/>
                <w:bCs w:val="1"/>
                <w:color w:val="auto"/>
              </w:rPr>
              <w:t>2025</w:t>
            </w:r>
          </w:p>
        </w:tc>
      </w:tr>
      <w:tr>
        <w:trPr>
          <w:trHeight w:val="187"/>
        </w:trPr>
        <w:tc>
          <w:tcPr>
            <w:tcW w:w="1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11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255,946</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230,597</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734,513</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671,243</w:t>
            </w:r>
          </w:p>
        </w:tc>
      </w:tr>
      <w:tr>
        <w:trPr>
          <w:trHeight w:val="195"/>
        </w:trPr>
        <w:tc>
          <w:tcPr>
            <w:tcW w:w="1880" w:type="dxa"/>
            <w:vAlign w:val="bottom"/>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20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160,298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153,560</w:t>
            </w:r>
          </w:p>
        </w:tc>
        <w:tc>
          <w:tcPr>
            <w:tcW w:w="10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7.0 %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482,451</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450,727</w:t>
            </w:r>
          </w:p>
        </w:tc>
      </w:tr>
      <w:tr>
        <w:trPr>
          <w:trHeight w:val="187"/>
        </w:trPr>
        <w:tc>
          <w:tcPr>
            <w:tcW w:w="18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416,244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384,157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26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1,216,964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1,121,970</w:t>
            </w:r>
          </w:p>
        </w:tc>
      </w:tr>
      <w:tr>
        <w:trPr>
          <w:trHeight w:val="20"/>
        </w:trPr>
        <w:tc>
          <w:tcPr>
            <w:tcW w:w="1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Domestic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Domestic sales for the three-month period ended September 30, 2026 were $255.9 million, or 61.5% of net sales, up</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11.0% when compared to the corresponding period of 2025. Domestic sales for the nine-month period ended September 30, 2026 were $734.5 million, or 60.4% of net sales, up 9.4% when compared to the corresponding period of 2025.</w:t>
      </w:r>
    </w:p>
    <w:p>
      <w:pPr>
        <w:spacing w:after="0" w:line="116"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i w:val="1"/>
          <w:iCs w:val="1"/>
          <w:u w:val="single" w:color="auto"/>
          <w:color w:val="auto"/>
        </w:rPr>
        <w:t>International Sales</w:t>
      </w:r>
      <w:r>
        <w:rPr>
          <w:rFonts w:ascii="Times New Roman" w:cs="Times New Roman" w:eastAsia="Times New Roman" w:hAnsi="Times New Roman"/>
          <w:sz w:val="16"/>
          <w:szCs w:val="16"/>
          <w:color w:val="auto"/>
        </w:rPr>
        <w:t>. International sales for the three-month period ended September 30, 2026 were $160.3 million, or 38.5% of net sales,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up 4.4% when compared to the corresponding period in 2025 of $153.6 million. International sales for the nine-month period ended September 30, 2026 were $482.5 million, or 39.6% of net sales, up 7.0% when compared to the corresponding period in 2025 of $450.7 million. The increase in our international sales for the three and nine-month periods ended September 30, 2026, compared to the corresponding periods of 2025 included increased sales in each of our Europe, the Middle East and Africa, Rest of World and Asia Pacific regions.</w:t>
      </w:r>
    </w:p>
    <w:p>
      <w:pPr>
        <w:spacing w:after="0" w:line="1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Gross Profit</w:t>
      </w:r>
    </w:p>
    <w:p>
      <w:pPr>
        <w:spacing w:after="0" w:line="184"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Our gross profit as a percentage of sales decreased to 48.2% for the three-month period ended September 30, 2026, compared to 48.5% for the three-month period ended September 30, 2025. The decrease in gross profit percentage was primarily due to unfavorable price variances and increased freight costs.</w:t>
      </w:r>
    </w:p>
    <w:p>
      <w:pPr>
        <w:spacing w:after="0" w:line="120"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Our gross profit as a percentage of sales increased to 49.4% for the nine-month period ended September 30, 2026, compared to 48.4% for the nine-month period ended September 30, 2025. The increase in gross profit percentage was primarily due to an increase in sales combined with favorable changes in product mix and refunds of $6.9 million relating to previously paid IEEPA tariffs.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Operating Expenses</w:t>
      </w:r>
    </w:p>
    <w:p>
      <w:pPr>
        <w:spacing w:after="0" w:line="182"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i w:val="1"/>
          <w:iCs w:val="1"/>
          <w:u w:val="single" w:color="auto"/>
          <w:color w:val="auto"/>
        </w:rPr>
        <w:t>Selling, General and Administrative Expense.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Selling, general and administrative (“SG&amp;A”) expenses decreased $(0.3) million, or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(0.2)%, for the three-month period ended September 30, 2026 compared to the corresponding period of 2025. As a percentage of sales, SG&amp;A expenses were 28.7% for the three-month period ended September 30, 2026, compared to 31.2% for the corresponding period of 2025. For the three-month period ended September 30, 2026, SG&amp;A expenses decreased compared to the corresponding period of 2025, primarily due to a decrease in legal fees, acquisition-related integration costs and employee termination benefits, partially offset by an increase in employee compensation expenses.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SG&amp;A expenses increased $26.6 million, or 7.8%, for the nine-month period ended September 30, 2026 compared to the corresponding period of 2025. As a percentage of sales, SG&amp;A expenses were 30.2% for the nine-month period ended September 30, 2026, compared to 30.3% for the corresponding period of 2025. For the nine-month period ended September 30, 2026, SG&amp;A expenses increased compared to the corresponding period of 2025, primarily due to an increase in labor-related costs including (i) commissions associated with sales growth, (ii) headcount additions to support investment in the business and (iii) stock-based compensation. Additional drivers of the increase were costs associated with the View Point Merger totaling $5.7 million and company conferences. Such increases were partially offset by a decrease in contract termination costs incurred during 2025 as a result of the Biolife Merger.</w:t>
      </w:r>
    </w:p>
    <w:p>
      <w:pPr>
        <w:spacing w:after="0" w:line="139"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i w:val="1"/>
          <w:iCs w:val="1"/>
          <w:u w:val="single" w:color="auto"/>
          <w:color w:val="auto"/>
        </w:rPr>
        <w:t>Research and Development Expenses.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Research and development (“R&amp;D”) expenses for the three-month period ended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September 30, 2026 were $22.4 million, down (6.6)%, when compared to R&amp;D expenses in the corresponding period of 2025 of $24.0 million. For the three-month period ended September 30, 2026, R&amp;D expenses decreased compared to the corresponding period of 2025 primarily due to decreased service related costs for ongoing compliance with European Union Medical Device Registration (“MDR”).</w:t>
      </w:r>
    </w:p>
    <w:p>
      <w:pPr>
        <w:spacing w:after="0" w:line="12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R&amp;D expenses for the nine-month period ended September 30, 2026 were $70.4 million, down (0.6)%, when compared to R&amp;D expenses in the corresponding period of 2025 of $70.8 million. For the nine-month period ended September 30, 2026, R&amp;D expenses decreased compared to the corresponding period of 2025 primarily due to decreased service related costs for ongoing compliance with MDR, partially offset by an increase in employee compensation expenses.</w:t>
      </w:r>
    </w:p>
    <w:p>
      <w:pPr>
        <w:spacing w:after="0" w:line="121"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i w:val="1"/>
          <w:iCs w:val="1"/>
          <w:u w:val="single" w:color="auto"/>
          <w:color w:val="auto"/>
        </w:rPr>
        <w:t>Contingent Consideration (Benefit) Expense</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For the three and nine-month periods ended September 30, 2026, we recognized contingent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consideration (benefit) from changes in the estimated fair value of our contingent consideration obligations stemming from our previously disclosed business acquisitions of $(0.0) million and $(0.1) million, respectively, compared to contingent consideration expense of $0.0 million and $1.2 million for the three and nine-month periods ended September 30, 2025, respectively. Expense (benefit) in each period related to changes in the probability and timing of achieving certain revenue and operational milestones, as well as expense for the passage of time.</w:t>
      </w:r>
    </w:p>
    <w:p>
      <w:pPr>
        <w:spacing w:after="0" w:line="1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Operating Income</w:t>
      </w:r>
    </w:p>
    <w:p>
      <w:pPr>
        <w:spacing w:after="0" w:line="17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Our operating income for the three-month period ended September 30, 2026 was $58.8 million, compared to operating income in the corresponding period of 2025 of $42.6 million. The increase in operating income during the three-month period ended September 30, 2026 compared to the corresponding period of 2025 was primarily a result of increased sales and decreased SG&amp;A and R&amp;D costs, partially offset by a decrease in gross margin.</w:t>
      </w:r>
    </w:p>
    <w:p>
      <w:pPr>
        <w:spacing w:after="0" w:line="123"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Our operating income for the nine-month period ended September 30, 2026 was $163.3 million, compared to operating income in the corresponding period of 2025 of $130.5 million. The increase in operating income during the nine-month period ended September 30, 2026 compared to the corresponding period of 2025 was primarily a result of increased sales and gross margin, partially offset by an increase in SG&amp;A expense.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Other Expense — Net</w:t>
      </w:r>
    </w:p>
    <w:p>
      <w:pPr>
        <w:spacing w:after="0" w:line="17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Our other expense for the three months ended September 30, 2026 and 2025 was $3.0 million and $4.1 million, respectively. The change in other expense for the three-month period ended September 30, 2026 compared to the corresponding period of 2025 was primarily related to increased interest income associated with higher cash balances and interest rates and deferred compensation investment gains, partially offset by increased interest expense associated with our deferred View Point Merger payments.</w:t>
      </w:r>
    </w:p>
    <w:p>
      <w:pPr>
        <w:spacing w:after="0" w:line="12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Our other expense for the nine months ended September 30, 2026 and 2025 was $2.7 million and $10.6 million, respectively. The change in other expense for the nine-month period ended September 30, 2026 compared to the corresponding period of 2025 was primarily related to a gain of $12.5 million associated with the sale of the DualCap® product line to Health Line in February 2026, partially offset by a one-time charge of $5.1 million for additional interest incurred pursuant to Merit's obligation to remove restrictive legends with respect to the Convertible Notes and increased interest expense associated with our deferred View Point Merger payments.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Effective Tax Rate</w:t>
      </w:r>
    </w:p>
    <w:p>
      <w:pPr>
        <w:spacing w:after="0" w:line="18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Our provision for income taxes for the three-month periods ended September 30, 2026 and 2025 was a tax expense of $13.5 million and $10.8 million, respectively, which resulted in an effective tax rate of 24.2% and 28.0%, respectively. Our provision for income taxes for the nine-month periods ended September 30, 2026 and 2025 was a tax expense of $38.5 million and $29.4 million, respectively, which resulted in an effective tax rate of 24.0% and 24.5%, respectively. The decrease in the effective income tax rate for the three and nine-month periods ended September 30, 2026, when compared to the prior-year periods, was primarily due to increased benefit from discrete items such as share-based compensation, and impacts from the enacted OBBBA tax law. The increase in income tax expense for the three and nine-month periods ended September 30, 2026, when compared to the prior-year periods, was primarily due to increased pre-tax book income. Our effective tax rate differs from the U.S. statutory rate primarily due to the impact of net controlled foreign corporation tested income and Subpart F inclusions, state income taxes, foreign taxes, other nondeductible permanent items and discrete items (such as share-based compensation).</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Net Income</w:t>
      </w:r>
    </w:p>
    <w:p>
      <w:pPr>
        <w:spacing w:after="0" w:line="172"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Our net income for the three-month periods ended September 30, 2026 and 2025 was $42.3 million and $27.8 million, respectively. The increase in our net income for the three-month period ended September 30, 2026 was the result of several principal factors, including increased sales and decreased SG&amp;A, R&amp;D, and other expense, partially offset by decreased gross margin and increased income tax expense.</w:t>
      </w:r>
    </w:p>
    <w:p>
      <w:pPr>
        <w:spacing w:after="0" w:line="13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Our net income for the nine-month periods ended September 30, 2026 and 2025 was $122.1 million and $90.5 million, respectively. The increase in our net income for the nine-month period ended September 30, 2026 was the result of several principal factors, including increased sales and gross margin and decreased R&amp;D and other expense, partially offset by increased SG&amp;A expenses and income tax expense.</w:t>
      </w: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Capital Commitments, Contractual Obligations and Cash Flows</w:t>
      </w:r>
    </w:p>
    <w:p>
      <w:pPr>
        <w:spacing w:after="0" w:line="184" w:lineRule="exact"/>
        <w:rPr>
          <w:sz w:val="20"/>
          <w:szCs w:val="20"/>
          <w:color w:val="auto"/>
        </w:rPr>
      </w:pPr>
    </w:p>
    <w:p>
      <w:pPr>
        <w:jc w:val="both"/>
        <w:ind w:left="40" w:right="59"/>
        <w:spacing w:after="0" w:line="259" w:lineRule="auto"/>
        <w:rPr>
          <w:sz w:val="20"/>
          <w:szCs w:val="20"/>
          <w:color w:val="auto"/>
        </w:rPr>
      </w:pPr>
      <w:r>
        <w:rPr>
          <w:rFonts w:ascii="Times New Roman" w:cs="Times New Roman" w:eastAsia="Times New Roman" w:hAnsi="Times New Roman"/>
          <w:sz w:val="16"/>
          <w:szCs w:val="16"/>
          <w:color w:val="auto"/>
        </w:rPr>
        <w:t>As of September 30, 2026 and December 31, 2025, our current assets exceeded current liabilities by $933.7 million and $800.4 million, respectively, and we had cash, cash equivalents and restricted cash of $505.8 million and $448.5 million, respectively, of which $72.4 million and $66.0 million, respectively, were held by foreign subsidiaries. We currently believe future repatriation of cash and other property held by our foreign subsidiaries will generally not be subject to U.S. federal income tax. As a result, earnings of our foreign subsidiaries are not considered to be permanently reinvested. In addition, cash held by our subsidiary in China is subject to local laws and regulations that require government approval for the transfer of such funds to entities located outside of China. As of September 30, 2026, and December 31, 2025, we had cash, cash equivalents and restricted cash of $19.0 million and $20.0 million, respectively, within our subsidiary in China.</w:t>
      </w:r>
    </w:p>
    <w:p>
      <w:pPr>
        <w:spacing w:after="0" w:line="129" w:lineRule="exact"/>
        <w:rPr>
          <w:sz w:val="20"/>
          <w:szCs w:val="20"/>
          <w:color w:val="auto"/>
        </w:rPr>
      </w:pPr>
    </w:p>
    <w:p>
      <w:pPr>
        <w:jc w:val="both"/>
        <w:ind w:left="40" w:right="59"/>
        <w:spacing w:after="0" w:line="273" w:lineRule="auto"/>
        <w:rPr>
          <w:sz w:val="20"/>
          <w:szCs w:val="20"/>
          <w:color w:val="auto"/>
        </w:rPr>
      </w:pPr>
      <w:r>
        <w:rPr>
          <w:rFonts w:ascii="Times New Roman" w:cs="Times New Roman" w:eastAsia="Times New Roman" w:hAnsi="Times New Roman"/>
          <w:sz w:val="16"/>
          <w:szCs w:val="16"/>
          <w:i w:val="1"/>
          <w:iCs w:val="1"/>
          <w:u w:val="single" w:color="auto"/>
          <w:color w:val="auto"/>
        </w:rPr>
        <w:t>Cash flows provided by operating activities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We generated cash from operating activities of $175.2 million and $198.9 million during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nine-month periods ended September 30, 2026 and 2025, respectively. Significant factors affecting operating cash flows during these periods included:</w:t>
      </w:r>
    </w:p>
    <w:p>
      <w:pPr>
        <w:spacing w:after="0" w:line="57" w:lineRule="exact"/>
        <w:rPr>
          <w:sz w:val="20"/>
          <w:szCs w:val="20"/>
          <w:color w:val="auto"/>
        </w:rPr>
      </w:pPr>
    </w:p>
    <w:p>
      <w:pPr>
        <w:ind w:left="660" w:right="79" w:hanging="301"/>
        <w:spacing w:after="0" w:line="264"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was $122.1 million and $90.5 million for the nine-month periods ended September 30, 2026 and 2025, respectively.</w:t>
      </w:r>
    </w:p>
    <w:p>
      <w:pPr>
        <w:spacing w:after="0" w:line="285" w:lineRule="exact"/>
        <w:rPr>
          <w:rFonts w:ascii="Times New Roman" w:cs="Times New Roman" w:eastAsia="Times New Roman" w:hAnsi="Times New Roman"/>
          <w:sz w:val="16"/>
          <w:szCs w:val="16"/>
          <w:color w:val="auto"/>
        </w:rPr>
      </w:pPr>
    </w:p>
    <w:p>
      <w:pPr>
        <w:jc w:val="both"/>
        <w:ind w:left="660" w:right="59" w:hanging="301"/>
        <w:spacing w:after="0" w:line="263"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Depreciation and amortization was $93.4 million and $91.6 million for the nine-month periods ended September 30, 2026 and 2025, respectively. The increase in depreciation and amortization for the nine-month period ended September 30, 2026 was primarily associated with the amortization of developed technology and other intangible assets acquired in connection with the Biolife Merger, C2 Acquisition and View Point Merger and depreciation of new property and equipment, including our South Jordan distribution facility.</w:t>
      </w:r>
    </w:p>
    <w:p>
      <w:pPr>
        <w:spacing w:after="0" w:line="64" w:lineRule="exact"/>
        <w:rPr>
          <w:rFonts w:ascii="Times New Roman" w:cs="Times New Roman" w:eastAsia="Times New Roman" w:hAnsi="Times New Roman"/>
          <w:sz w:val="16"/>
          <w:szCs w:val="16"/>
          <w:color w:val="auto"/>
        </w:rPr>
      </w:pPr>
    </w:p>
    <w:p>
      <w:pPr>
        <w:ind w:left="660" w:right="59" w:hanging="301"/>
        <w:spacing w:after="0" w:line="289" w:lineRule="auto"/>
        <w:tabs>
          <w:tab w:leader="none" w:pos="66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used for inventories was $59.9 million and $15.1 million for the nine-month periods ended September 30, 2026 and 2025, respectively. The increase in inventories during 2026 was principally associated</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right="79"/>
        <w:spacing w:after="0" w:line="289" w:lineRule="auto"/>
        <w:rPr>
          <w:sz w:val="20"/>
          <w:szCs w:val="20"/>
          <w:color w:val="auto"/>
        </w:rPr>
      </w:pPr>
      <w:r>
        <w:rPr>
          <w:rFonts w:ascii="Times New Roman" w:cs="Times New Roman" w:eastAsia="Times New Roman" w:hAnsi="Times New Roman"/>
          <w:sz w:val="16"/>
          <w:szCs w:val="16"/>
          <w:color w:val="auto"/>
        </w:rPr>
        <w:t>with our strategy to proactively invest in our inventory balances to encourage high customer service levels, as well as to expand inventory balances for newly-acquired products and increases in safety stock due to vendor supply delays.</w:t>
      </w:r>
    </w:p>
    <w:p>
      <w:pPr>
        <w:spacing w:after="0" w:line="45" w:lineRule="exact"/>
        <w:rPr>
          <w:sz w:val="20"/>
          <w:szCs w:val="20"/>
          <w:color w:val="auto"/>
        </w:rPr>
      </w:pPr>
    </w:p>
    <w:p>
      <w:pPr>
        <w:ind w:left="660" w:right="79" w:hanging="301"/>
        <w:spacing w:after="0" w:line="289"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used for trade receivables was $18.8 million and $13.7 million for the nine-month periods ended September 30, 2026 and 2025, respectively, due primarily to the timing of customer payments and increased sales.</w:t>
      </w:r>
    </w:p>
    <w:p>
      <w:pPr>
        <w:spacing w:after="0" w:line="44" w:lineRule="exact"/>
        <w:rPr>
          <w:rFonts w:ascii="Times New Roman" w:cs="Times New Roman" w:eastAsia="Times New Roman" w:hAnsi="Times New Roman"/>
          <w:sz w:val="16"/>
          <w:szCs w:val="16"/>
          <w:color w:val="auto"/>
        </w:rPr>
      </w:pPr>
    </w:p>
    <w:p>
      <w:pPr>
        <w:jc w:val="both"/>
        <w:ind w:left="660" w:right="59" w:hanging="301"/>
        <w:spacing w:after="0" w:line="271" w:lineRule="auto"/>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provided by (used for) other long-term obligations was $9.9 million and $(0.8) million for the nine-month periods ended September 30, 2026 and 2025, respectively, due primarily to an increase in deferred revenue associated with revenue from contracts with customers under our OEM product platform in 2026.</w:t>
      </w:r>
    </w:p>
    <w:p>
      <w:pPr>
        <w:spacing w:after="0" w:line="57"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Cash flows used in investing activities.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used in investing activities was $124.7 million and $197.1 million for the nine-month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periods ended September 30, 2026 and 2025, respectively. We used cash for capital expenditures of property and equipment of $45.7 million and $57.3 million in the nine-month periods ended September 30, 2026 and 2025, respectively. Capital expenditures in each period were primarily related to investments in property and equipment to support development and production of our products, and include costs for the construction of a new distribution facility in South Jordan, Utah. Historically, we have incurred significant expenses in connection with facility construction, production automation, product development and the introduction of new products. We anticipate that we will spend approximately $60 to $70 million in 2026 for property and equipment.</w:t>
      </w:r>
    </w:p>
    <w:p>
      <w:pPr>
        <w:spacing w:after="0" w:line="14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Cash outflows for the acquisition of equity investments and issuance of notes receivable were $9.2 million and $14.9 million for the nine-month periods ended September 30, 2026 and 2025, respectively. Cash outflows invested in acquisitions were $93.0 million and $122.8 million for the nine-month periods ended September 30, 2026 and 2025, respectively, and were primarily related to the acquisitions of View Point in 2026 and Biolife in 2025. Cash inflows from divestitures were $25.5 million for the nine-month period ended September 30, 2026 and were related to the sale of the DualCap® product line to Health Line.</w:t>
      </w:r>
    </w:p>
    <w:p>
      <w:pPr>
        <w:spacing w:after="0" w:line="12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i w:val="1"/>
          <w:iCs w:val="1"/>
          <w:u w:val="single" w:color="auto"/>
          <w:color w:val="auto"/>
        </w:rPr>
        <w:t>Cash flows provided by financing activities.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Cash provided by financing activities for the nine-month periods ended September 30, 2026</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2025 was $6.3 million and $10.9 million, respectively. For the nine-month periods ended September 30, 2026 and 2025, we had cash used in financing activities of $3.0 million and $2.6 million, respectively, primarily attributable to the payment of milestone-based contingencies associated with the C2 Acquisition in 2026 and Brightwater Medical, Inc. in 2025. We had cash inflows from the issuance of Common Stock of $9.3 million and $13.6 million, net of taxes paid in exchange for common stock, for the nine-month periods ended September 30, 2026 and 2025, respectively, related to the exercise of non-qualified stock options and release of time and performance-based stock awards.</w:t>
      </w:r>
    </w:p>
    <w:p>
      <w:pPr>
        <w:spacing w:after="0" w:line="131"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As of September 30, 2026, we had outstanding borrowings of $747.5 million and had issued letter of credit guarantees of $3.0 million, with additional available borrowings of $697 million under the Amended Fourth A&amp;R Credit Agreement, based on the maximum net leverage ratio and the aggregate revolving credit commitment pursuant to the Amended Fourth A&amp;R Credit Agreement. Our interest rate as of September 30, 2026 and December 31, 2025 was a fixed rate of 3.0% on our Convertible Notes.</w:t>
      </w:r>
    </w:p>
    <w:p>
      <w:pPr>
        <w:spacing w:after="0" w:line="135"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We currently believe that our existing cash balances, anticipated future cash flows from operations and borrowings under our long-term debt agreements will be adequate to fund our current and currently planned future operations for the next twelve months and the foreseeable future. In the event we pursue and complete significant transactions or acquisitions in the future, additional funds may be required to meet our strategic needs, which may require us to raise additional funds in the debt or equity markets.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CRITICAL ACCOUNTING POLICIES AND ESTIMATES</w:t>
      </w:r>
    </w:p>
    <w:p>
      <w:pPr>
        <w:spacing w:after="0" w:line="17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Our financial results are affected by the selection and application of accounting policies and methods. In the nine-month period ended September 30, 2026 there were no changes to the application of critical accounting policies previously disclosed in Part II, Item 7 of our 2025 Annual Report on Form 10-K.</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CAUTIONARY NOTICE REGARDING FORWARD-LOOKING STATEMENTS</w:t>
      </w:r>
    </w:p>
    <w:p>
      <w:pPr>
        <w:spacing w:after="0" w:line="184"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This report contains “forward-looking statements” within the meaning of Section 27A of the Securities Act of 1933, as amended, and Section 21E of the Securities Exchange Act of 1934, as amended (the “Exchange Act”). Forward-looking statements include, among others:</w:t>
      </w:r>
    </w:p>
    <w:p>
      <w:pPr>
        <w:spacing w:after="0" w:line="120" w:lineRule="exact"/>
        <w:rPr>
          <w:sz w:val="20"/>
          <w:szCs w:val="20"/>
          <w:color w:val="auto"/>
        </w:rPr>
      </w:pPr>
    </w:p>
    <w:p>
      <w:pPr>
        <w:jc w:val="both"/>
        <w:ind w:left="580" w:right="79" w:hanging="221"/>
        <w:spacing w:after="0" w:line="271"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p>
      <w:pPr>
        <w:spacing w:after="0" w:line="120" w:lineRule="exact"/>
        <w:rPr>
          <w:rFonts w:ascii="Times New Roman" w:cs="Times New Roman" w:eastAsia="Times New Roman" w:hAnsi="Times New Roman"/>
          <w:sz w:val="16"/>
          <w:szCs w:val="16"/>
          <w:color w:val="auto"/>
        </w:rPr>
      </w:pPr>
    </w:p>
    <w:p>
      <w:pPr>
        <w:jc w:val="both"/>
        <w:ind w:left="580" w:right="59" w:hanging="221"/>
        <w:spacing w:after="0" w:line="261"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statements that address our future operating performance or events or developments that we expect or anticipate will occur, including, without limitation, any statements regarding our projected earnings, revenue, revenue growth or other future financial measures, our plans and objectives for future operations, our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p>
      <w:pPr>
        <w:spacing w:after="0" w:line="140" w:lineRule="exact"/>
        <w:rPr>
          <w:rFonts w:ascii="Times New Roman" w:cs="Times New Roman" w:eastAsia="Times New Roman" w:hAnsi="Times New Roman"/>
          <w:sz w:val="16"/>
          <w:szCs w:val="16"/>
          <w:color w:val="auto"/>
        </w:rPr>
      </w:pPr>
    </w:p>
    <w:p>
      <w:pPr>
        <w:jc w:val="both"/>
        <w:ind w:left="580" w:right="79" w:hanging="221"/>
        <w:spacing w:after="0" w:line="266" w:lineRule="auto"/>
        <w:tabs>
          <w:tab w:leader="none" w:pos="5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statements regarding our past performance, efforts, or results about which inferences or assumptions may be made, including statements preceded or followed by the words "preliminary," "initial," "potential," "possible," "diligence," "industry-leading," "compliant," "indications," or "early feedback" or other forms of these words or similar words or expressions, or the negative thereof or other comparable terminology.</w:t>
      </w:r>
    </w:p>
    <w:p>
      <w:pPr>
        <w:spacing w:after="0" w:line="123"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The forward-looking statements contained in this report are based on our management’s current expectations and assumptions regarding future events or outcomes. If underlying expectations or assumptions prove inaccurate, or risks or uncertainties materialize, actual results will likely differ, and could differ materially, from our expectations reflected in any forward-looking statements. Financial estimates are subject to change and are not intended to be relied upon as predictions of future operating results. Investors are cautioned not to unduly rely on any such forward-looking statements.</w:t>
      </w:r>
    </w:p>
    <w:p>
      <w:pPr>
        <w:spacing w:after="0" w:line="126" w:lineRule="exact"/>
        <w:rPr>
          <w:sz w:val="20"/>
          <w:szCs w:val="20"/>
          <w:color w:val="auto"/>
        </w:rPr>
      </w:pPr>
    </w:p>
    <w:p>
      <w:pPr>
        <w:jc w:val="both"/>
        <w:ind w:left="40" w:right="59"/>
        <w:spacing w:after="0" w:line="256" w:lineRule="auto"/>
        <w:rPr>
          <w:sz w:val="20"/>
          <w:szCs w:val="20"/>
          <w:color w:val="auto"/>
        </w:rPr>
      </w:pPr>
      <w:r>
        <w:rPr>
          <w:rFonts w:ascii="Times New Roman" w:cs="Times New Roman" w:eastAsia="Times New Roman" w:hAnsi="Times New Roman"/>
          <w:sz w:val="16"/>
          <w:szCs w:val="16"/>
          <w:color w:val="auto"/>
        </w:rPr>
        <w:t>The following are some of the important risks and uncertainties that could cause Merit’s actual results to differ from our management’s expectations in any forward-looking statements: risks and uncertainties arising from the conflict among the United States, Israel and Iran and related geopolitical instability; risks and uncertainties associated with Merit’s executive succession and leadership transition; risks and uncertainties regarding trade policies or related actions implemented by the United States or other countries, including existing, proposed, prospective or invalidated tariffs, duties or other measures; risks and uncertainties associated with Merit’s integration of businesses or assets acquired from third parties, including View Point in April 2026 and the business and assets acquired in connection with the C2 Acquisition in November 2025 and the Biolife Merger in May 2025, and Merit’s ability to achieve the anticipated operating and financial results, product development and other anticipated benefits of such acquisitions; effects of the Convertible Notes on Merit’s net income and earnings per share performance; restrictions and limitations set forth in the Convertible Notes and Indenture, which could affect Merit’s ability to operate its business as well as its liquidity; disruptions in Merit’s supply chain, manufacturing or sterilization processes; U.S. and global political, economic, competitive, reimbursement and regulatory conditions;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prospective financial obligations or other uncertainties associated with Merit’s divestiture of its DualCap® anti-microbial cap product line in February 2026; fluctuations in interest or foreign currency exchange rates and inflation; cybersecurity events; government scrutiny and regulation of the medical device industry; difficulties relating to development, testing and regulatory approval, clearance and maintenance of Merit’s products; the safety, efficacy and patient and physician adoption of Merit’s products; the ability to fully enroll and the outcomes of ongoing and future clinical trials and market studies relating to Merit’s products; litigation and other legal proceedings affecting Merit; risks and possible effects of any failure to comply with U.S. and foreign laws and regulations; restrictions on Merit’s liquidity or business operations resulting from its debt agreements;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and other factors that may affect our business, operations or financial condition, see Part I, Item 1A. “Risk Factors” in the 2025 Annual Report on Form 10-K filed with the SEC which we updated in Part II, Item 1A. “Risk Factors” in this report.</w:t>
      </w:r>
    </w:p>
    <w:p>
      <w:pPr>
        <w:spacing w:after="0" w:line="171"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All subsequent forward-looking statements attributable to Merit or persons acting on its behalf are expressly qualified in their entirety by these cautionary statements. Financial estimates are subject to change and are not intended to be relied upon as predictions of future operating results. Those estimates and all other forward-looking statements included in this report are made only as of the date of this report, and except as otherwise required by applicable law, Merit assumes no obligation to update or disclose revisions to estimates and all other forward-looking statements.</w:t>
      </w:r>
    </w:p>
    <w:p>
      <w:pPr>
        <w:spacing w:after="0" w:line="1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NOTICE REGARDING TRADEMARKS</w:t>
      </w:r>
    </w:p>
    <w:p>
      <w:pPr>
        <w:spacing w:after="0" w:line="172" w:lineRule="exact"/>
        <w:rPr>
          <w:sz w:val="20"/>
          <w:szCs w:val="20"/>
          <w:color w:val="auto"/>
        </w:rPr>
      </w:pPr>
    </w:p>
    <w:p>
      <w:pPr>
        <w:jc w:val="both"/>
        <w:ind w:left="40" w:right="59"/>
        <w:spacing w:after="0" w:line="269" w:lineRule="auto"/>
        <w:rPr>
          <w:sz w:val="20"/>
          <w:szCs w:val="20"/>
          <w:color w:val="auto"/>
        </w:rPr>
      </w:pPr>
      <w:r>
        <w:rPr>
          <w:rFonts w:ascii="Times New Roman" w:cs="Times New Roman" w:eastAsia="Times New Roman" w:hAnsi="Times New Roman"/>
          <w:sz w:val="16"/>
          <w:szCs w:val="16"/>
          <w:color w:val="auto"/>
        </w:rPr>
        <w:t>This report includes trademarks, tradenames and service marks that are our property or the property of others.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w:t>
      </w:r>
    </w:p>
    <w:p>
      <w:pPr>
        <w:spacing w:after="0" w:line="3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72"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Quantitative and qualitative disclosures about currency exchange rate risk and interest rate risk are included in Part II, Item 7A "Quantitative and Qualitative Disclosures About Market Risk" in the 2025 Annual Report on Form 10-K. In the nine-month period ended September 30, 2026, there were no material changes from the information provided therein.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72" w:lineRule="exact"/>
        <w:rPr>
          <w:sz w:val="20"/>
          <w:szCs w:val="20"/>
          <w:color w:val="auto"/>
        </w:rPr>
      </w:pPr>
    </w:p>
    <w:p>
      <w:pPr>
        <w:jc w:val="both"/>
        <w:ind w:left="40" w:right="59"/>
        <w:spacing w:after="0" w:line="257"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disclosure controls and procedures for our company. Consequently, our management, with the participation of our chief executive officer and chief financial officer, evaluated the effectiveness of our disclosure controls and procedures pursuant to Rule 13a-15 under the Exchange Act as of September 30, 2026.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Based on that evaluation, our chief executive officer and chief financial officer concluded that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84"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Except as set forth below, during the three-month period ended September 30, 2026, there were no changes in our internal control over financial reporting that materially affected, or were reasonably likely to materially affect, our internal control over financial reporting (as defined in Exchange Act Rules 13a-15(f) and 15d-15(f) under the Securities Exchange Act of 1934).</w:t>
      </w:r>
    </w:p>
    <w:p>
      <w:pPr>
        <w:spacing w:after="0" w:line="120"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On April 1, 2026, we completed our acquisition of View Point Medical, Inc. We are currently integrating the policies, processes, employees, technology and operations of View Point. Management does not currently expect a material change to our internal controls over financial reporting as we fully integrate View Point. Management will continue to evaluate our internal control over financial reporting as we execute acquisition integration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u w:val="single" w:color="auto"/>
          <w:color w:val="auto"/>
        </w:rPr>
        <w:t>PART II - OTHER INFORMATION</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70" w:lineRule="exact"/>
        <w:rPr>
          <w:sz w:val="20"/>
          <w:szCs w:val="20"/>
          <w:color w:val="auto"/>
        </w:rPr>
      </w:pPr>
    </w:p>
    <w:p>
      <w:pPr>
        <w:jc w:val="both"/>
        <w:ind w:left="40" w:right="59"/>
        <w:spacing w:after="0" w:line="292" w:lineRule="auto"/>
        <w:rPr>
          <w:sz w:val="20"/>
          <w:szCs w:val="20"/>
          <w:color w:val="auto"/>
        </w:rPr>
      </w:pPr>
      <w:r>
        <w:rPr>
          <w:rFonts w:ascii="Times New Roman" w:cs="Times New Roman" w:eastAsia="Times New Roman" w:hAnsi="Times New Roman"/>
          <w:sz w:val="16"/>
          <w:szCs w:val="16"/>
          <w:color w:val="auto"/>
        </w:rPr>
        <w:t xml:space="preserve">See Note 10, </w:t>
      </w:r>
      <w:r>
        <w:rPr>
          <w:rFonts w:ascii="Times New Roman" w:cs="Times New Roman" w:eastAsia="Times New Roman" w:hAnsi="Times New Roman"/>
          <w:sz w:val="16"/>
          <w:szCs w:val="16"/>
          <w:i w:val="1"/>
          <w:iCs w:val="1"/>
          <w:color w:val="auto"/>
        </w:rPr>
        <w:t>Commitments and Contingencies</w:t>
      </w:r>
      <w:r>
        <w:rPr>
          <w:rFonts w:ascii="Times New Roman" w:cs="Times New Roman" w:eastAsia="Times New Roman" w:hAnsi="Times New Roman"/>
          <w:sz w:val="16"/>
          <w:szCs w:val="16"/>
          <w:color w:val="auto"/>
        </w:rPr>
        <w:t xml:space="preserve"> set forth in the notes to our consolidated financial statements included in Part I, Item 1 of this report.</w:t>
      </w:r>
    </w:p>
    <w:p>
      <w:pPr>
        <w:spacing w:after="0" w:line="1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72"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In addition to other information set forth in this report, readers should carefully consider the factors discussed in Part I, Item 1A. "Risk Factors" of our 2025 Annual Report on Form 10-K, which we filed with the SEC. Any of the risk factors disclosed in our reports could materially affect our business, financial condition or future results. The risks described here and in our 2025 Annual Report on Form 10-K, as updated and supplemented, are not the only risks we face. Additional risks and uncertainties not currently known to us or that we currently deem to be immaterial also may materially and adversely affect our business, financial condition and/or operating results. The discussion of the risk factors below updates the corresponding disclosure under the same heading in the 2025 Annual Report on Form 10-K and may contain material changes to the corresponding risk factor discussion in the 2025 Annual Report on Form 10-K.</w:t>
      </w: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The conflict among the United States, Israel and Iran and related geopolitical instability may adversely affect our business.</w:t>
      </w:r>
    </w:p>
    <w:p>
      <w:pPr>
        <w:spacing w:after="0" w:line="174" w:lineRule="exact"/>
        <w:rPr>
          <w:sz w:val="20"/>
          <w:szCs w:val="20"/>
          <w:color w:val="auto"/>
        </w:rPr>
      </w:pPr>
    </w:p>
    <w:p>
      <w:pPr>
        <w:jc w:val="both"/>
        <w:ind w:left="40" w:right="59"/>
        <w:spacing w:after="0" w:line="258" w:lineRule="auto"/>
        <w:rPr>
          <w:sz w:val="20"/>
          <w:szCs w:val="20"/>
          <w:color w:val="auto"/>
        </w:rPr>
      </w:pPr>
      <w:r>
        <w:rPr>
          <w:rFonts w:ascii="Times New Roman" w:cs="Times New Roman" w:eastAsia="Times New Roman" w:hAnsi="Times New Roman"/>
          <w:sz w:val="16"/>
          <w:szCs w:val="16"/>
          <w:color w:val="auto"/>
        </w:rPr>
        <w:t>The ongoing conflict among the United States, Israel and Iran and any further escalation, including additional military actions, retaliatory measures, sanctions, disruptions to trade or transportation routes, cyberattacks, or other governmental or market responses, has and could continue to lead to (i) significant disruption of global energy supplies and increases in global energy prices, (ii) heightened inflationary pressures on our input costs, such as resins and other petroleum-based materials, (iii) adverse effects upon global supply chains, energy markets, commodity prices, currency exchange rates, interest rates, financial markets and overall macroeconomic conditions, and (iv) adverse customer spending patterns in markets in which we operate. The conflict remains dynamic. The full impact of the conflict is highly uncertain and protraction or escalation of hostilities may cause the risks noted above to increase or may cause other negative impacts on our business, any of which could adversely affect our business, financial condition or results of operations. We are unable to predict the extent or nature of these impacts at this time.</w:t>
      </w:r>
    </w:p>
    <w:p>
      <w:pPr>
        <w:spacing w:after="0" w:line="130" w:lineRule="exact"/>
        <w:rPr>
          <w:sz w:val="20"/>
          <w:szCs w:val="20"/>
          <w:color w:val="auto"/>
        </w:rPr>
      </w:pPr>
    </w:p>
    <w:p>
      <w:pPr>
        <w:jc w:val="both"/>
        <w:ind w:left="40" w:right="59"/>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The agreements and instruments governing our debt contain restrictions and limitations that could significantly affect our ability to operate our business, as well as significantly affect our liquidity.</w:t>
      </w:r>
    </w:p>
    <w:p>
      <w:pPr>
        <w:spacing w:after="0" w:line="114" w:lineRule="exact"/>
        <w:rPr>
          <w:sz w:val="20"/>
          <w:szCs w:val="20"/>
          <w:color w:val="auto"/>
        </w:rPr>
      </w:pPr>
    </w:p>
    <w:p>
      <w:pPr>
        <w:jc w:val="both"/>
        <w:ind w:left="40" w:right="59"/>
        <w:spacing w:after="0" w:line="266" w:lineRule="auto"/>
        <w:rPr>
          <w:sz w:val="20"/>
          <w:szCs w:val="20"/>
          <w:color w:val="auto"/>
        </w:rPr>
      </w:pPr>
      <w:r>
        <w:rPr>
          <w:rFonts w:ascii="Times New Roman" w:cs="Times New Roman" w:eastAsia="Times New Roman" w:hAnsi="Times New Roman"/>
          <w:sz w:val="16"/>
          <w:szCs w:val="16"/>
          <w:color w:val="auto"/>
        </w:rPr>
        <w:t>On June 6, 2023, we entered into a Fourth Amended and Restated Credit Agreement (“Fourth A&amp;R Credit Agreement”), with Wells Fargo Bank, National Association, and other financial institutions named therein. On December 5, 2023, we executed an amendment to the Fourth A&amp;R Credit Agreement (as amended, the "Amended Fourth A&amp;R Credit Agreement”) to facilitate the issuance of our Convertible Notes described below.</w:t>
      </w:r>
    </w:p>
    <w:p>
      <w:pPr>
        <w:spacing w:after="0" w:line="123" w:lineRule="exact"/>
        <w:rPr>
          <w:sz w:val="20"/>
          <w:szCs w:val="20"/>
          <w:color w:val="auto"/>
        </w:rPr>
      </w:pPr>
    </w:p>
    <w:p>
      <w:pPr>
        <w:jc w:val="both"/>
        <w:ind w:left="40" w:right="59"/>
        <w:spacing w:after="0" w:line="261" w:lineRule="auto"/>
        <w:rPr>
          <w:sz w:val="20"/>
          <w:szCs w:val="20"/>
          <w:color w:val="auto"/>
        </w:rPr>
      </w:pPr>
      <w:r>
        <w:rPr>
          <w:rFonts w:ascii="Times New Roman" w:cs="Times New Roman" w:eastAsia="Times New Roman" w:hAnsi="Times New Roman"/>
          <w:sz w:val="16"/>
          <w:szCs w:val="16"/>
          <w:color w:val="auto"/>
        </w:rPr>
        <w:t>We have pledged substantially all of our assets as collateral for the Amended Fourth A&amp;R Credit Agreement. Our breach of any covenant in the Amended Fourth A&amp;R Credit Agreement could result in a default under that agreement and could trigger acceleration of the underlying obligations. Any default under the Amended Fourth A&amp;R Credit Agreement could adversely affect our ability to service our debt and to fund our planned capital expenditures and ongoing operations. The administrative agent, joint lead arrangers, joint bookrunners and lenders under the Amended Fourth A&amp;R Credit Agreement have available to them the remedies typically available to lenders and secured parties, including the ability to foreclose on the collateral we have pledged.</w:t>
      </w:r>
    </w:p>
    <w:p>
      <w:pPr>
        <w:spacing w:after="0" w:line="128"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On December 8, 2023, we issued $747.5 million aggregate principal amount of 3.00% Convertible Senior Notes due 2029 (the “Convertible Notes”) pursuant to Rule 144A of the Securities Act of 1933, as amended. The Convertible Notes are unsecured and bear interest at 3.00% per year, payable semi-annually in arrears on February 1 and August 1 of each year, beginning on August 1, 2024. The Convertible Notes will mature on February 1, 2029, unless earlier repurchased, redeemed, accelerated or converted in accordance with their terms prior to such date. The Convertible Notes and the Indenture include payment obligations, affirmative covenants and negative covenants. A payment default or breach of certain covenants could result in a default under the Convertible Notes and related Indenture, which could trigger (or allow</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40" w:right="59"/>
        <w:spacing w:after="0" w:line="260" w:lineRule="auto"/>
        <w:rPr>
          <w:sz w:val="20"/>
          <w:szCs w:val="20"/>
          <w:color w:val="auto"/>
        </w:rPr>
      </w:pPr>
      <w:r>
        <w:rPr>
          <w:rFonts w:ascii="Times New Roman" w:cs="Times New Roman" w:eastAsia="Times New Roman" w:hAnsi="Times New Roman"/>
          <w:sz w:val="16"/>
          <w:szCs w:val="16"/>
          <w:color w:val="auto"/>
        </w:rPr>
        <w:t>the trustee and/or certain noteholders to trigger) acceleration of the underlying obligations, additional interest, fees and expenses. Any default under the Convertible Notes or the Indenture could create a substantial immediate need for liquidity, result in substantial litigation, and adversely affect our ability to fund our planned capital expenditures and ongoing operations. The Amended Fourth A&amp;R Credit Agreement and the Indenture contain restrictive covenants that could adversely affect our ability to operate our business, our liquidity or our results of operations. These covenants restrict, among other things, our incurrence of indebtedness, creation of liens or pledges on our assets, mergers or similar combinations or liquidations, asset dispositions, repurchases or redemptions of equity interests or debt, issuances of equity and payment of dividends and certain distributions.</w:t>
      </w:r>
    </w:p>
    <w:p>
      <w:pPr>
        <w:spacing w:after="0" w:line="141" w:lineRule="exact"/>
        <w:rPr>
          <w:sz w:val="20"/>
          <w:szCs w:val="20"/>
          <w:color w:val="auto"/>
        </w:rPr>
      </w:pPr>
    </w:p>
    <w:p>
      <w:pPr>
        <w:jc w:val="both"/>
        <w:ind w:left="40" w:right="59"/>
        <w:spacing w:after="0" w:line="263" w:lineRule="auto"/>
        <w:rPr>
          <w:sz w:val="20"/>
          <w:szCs w:val="20"/>
          <w:color w:val="auto"/>
        </w:rPr>
      </w:pPr>
      <w:r>
        <w:rPr>
          <w:rFonts w:ascii="Times New Roman" w:cs="Times New Roman" w:eastAsia="Times New Roman" w:hAnsi="Times New Roman"/>
          <w:sz w:val="16"/>
          <w:szCs w:val="16"/>
          <w:color w:val="auto"/>
        </w:rPr>
        <w:t>As currently amended, the Amended Fourth A&amp;R Credit Agreement provides for potential borrowings under a revolving credit commitment of up to an aggregate amount of $700 million. Such increased borrowing limits may make it more difficult for us to comply with leverage ratios and other restrictive covenants in the Amended Fourth A&amp;R Credit Agreement. We may also have less cash available for operations and investments in our business, as we will be required to use additional cash to satisfy the minimum payment obligations associated with the increased indebtedness.</w:t>
      </w:r>
    </w:p>
    <w:p>
      <w:pPr>
        <w:spacing w:after="0" w:line="1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72" w:lineRule="exact"/>
        <w:rPr>
          <w:sz w:val="20"/>
          <w:szCs w:val="20"/>
          <w:color w:val="auto"/>
        </w:rPr>
      </w:pPr>
    </w:p>
    <w:p>
      <w:pPr>
        <w:jc w:val="both"/>
        <w:ind w:left="40" w:right="59" w:firstLine="2"/>
        <w:spacing w:after="0" w:line="260" w:lineRule="auto"/>
        <w:tabs>
          <w:tab w:leader="none" w:pos="62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24, 2026, Michel Voigt, Chief Human Resources Officer, modified a trading arrangement (the “Voigt Rule 10b5-1 Trading Plan”) for the sale of Common Stock that is intended to satisfy the affirmative defense conditions of Exchange Act Rule 10b5-1(c). Pursuant to Exchange Act Rule 10b5-1(c)(1)(iv), the modification is considered a termination of the existing trading arrangement and the adoption of a new trading arrangement. The Voigt Rule 10b5-1 Trading Plan provides for the sale of up to 7,682 shares of Common Stock issued or issuable under the terms of certain performance share awards and restricted stock awards granted to Mr. Voigt by Merit. The Voigt Rule 10b5-1 Trading Plan will terminate on May 12, 2027, unless terminated earlier pursuant to the terms of the Voigt Rule 10b5-1 Trading Plan.</w:t>
      </w:r>
    </w:p>
    <w:p>
      <w:pPr>
        <w:spacing w:after="0" w:line="165" w:lineRule="exact"/>
        <w:rPr>
          <w:sz w:val="20"/>
          <w:szCs w:val="20"/>
          <w:color w:val="auto"/>
        </w:rPr>
      </w:pPr>
    </w:p>
    <w:p>
      <w:pPr>
        <w:jc w:val="both"/>
        <w:ind w:left="40" w:right="59"/>
        <w:spacing w:after="0" w:line="271" w:lineRule="auto"/>
        <w:rPr>
          <w:sz w:val="20"/>
          <w:szCs w:val="20"/>
          <w:color w:val="auto"/>
        </w:rPr>
      </w:pPr>
      <w:r>
        <w:rPr>
          <w:rFonts w:ascii="Times New Roman" w:cs="Times New Roman" w:eastAsia="Times New Roman" w:hAnsi="Times New Roman"/>
          <w:sz w:val="16"/>
          <w:szCs w:val="16"/>
          <w:color w:val="auto"/>
        </w:rPr>
        <w:t>Other than with respect to the Voigt Rule 10b5-1 Trading Plan, none of our directors or officers informed us of the adoption or termination of a “Rule 10b5-1 trading arrangement” or “non-Rule 10b5-1 trading arrangement,” as those terms are defined in Item 408 of Regulation S-K, during the three-month period ended September 30, 2026.</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39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6"/>
          <w:szCs w:val="16"/>
          <w:color w:val="auto"/>
        </w:rPr>
        <w:t>​</w:t>
      </w:r>
    </w:p>
    <w:p>
      <w:pPr>
        <w:spacing w:after="0" w:line="27" w:lineRule="exact"/>
        <w:rPr>
          <w:sz w:val="20"/>
          <w:szCs w:val="20"/>
          <w:color w:val="auto"/>
        </w:rPr>
      </w:pPr>
    </w:p>
    <w:p>
      <w:pPr>
        <w:ind w:left="120"/>
        <w:spacing w:after="0"/>
        <w:tabs>
          <w:tab w:leader="none" w:pos="880" w:val="left"/>
          <w:tab w:leader="none" w:pos="3100"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7620</wp:posOffset>
            </wp:positionV>
            <wp:extent cx="37312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31260" cy="7620"/>
                    </a:xfrm>
                    <a:prstGeom prst="rect">
                      <a:avLst/>
                    </a:prstGeom>
                    <a:noFill/>
                  </pic:spPr>
                </pic:pic>
              </a:graphicData>
            </a:graphic>
          </wp:anchor>
        </w:drawing>
      </w:r>
    </w:p>
    <w:p>
      <w:pPr>
        <w:spacing w:after="0" w:line="5" w:lineRule="exact"/>
        <w:rPr>
          <w:sz w:val="20"/>
          <w:szCs w:val="20"/>
          <w:color w:val="auto"/>
        </w:rPr>
      </w:pPr>
    </w:p>
    <w:p>
      <w:pPr>
        <w:ind w:left="340"/>
        <w:spacing w:after="0"/>
        <w:tabs>
          <w:tab w:leader="none" w:pos="10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3.1</w:t>
      </w:r>
      <w:r>
        <w:rPr>
          <w:sz w:val="20"/>
          <w:szCs w:val="20"/>
          <w:color w:val="auto"/>
        </w:rPr>
        <w:tab/>
      </w:r>
      <w:hyperlink r:id="rId55">
        <w:r>
          <w:rPr>
            <w:rFonts w:ascii="Times New Roman" w:cs="Times New Roman" w:eastAsia="Times New Roman" w:hAnsi="Times New Roman"/>
            <w:sz w:val="16"/>
            <w:szCs w:val="16"/>
            <w:u w:val="single" w:color="auto"/>
            <w:color w:val="0000EE"/>
          </w:rPr>
          <w:t>Second Amended and Restated Articles of Incorporation.*</w:t>
        </w:r>
      </w:hyperlink>
    </w:p>
    <w:p>
      <w:pPr>
        <w:spacing w:after="0" w:line="91" w:lineRule="exact"/>
        <w:rPr>
          <w:sz w:val="20"/>
          <w:szCs w:val="20"/>
          <w:color w:val="auto"/>
        </w:rPr>
      </w:pPr>
    </w:p>
    <w:p>
      <w:pPr>
        <w:ind w:left="340"/>
        <w:spacing w:after="0"/>
        <w:tabs>
          <w:tab w:leader="none" w:pos="1000" w:val="left"/>
        </w:tabs>
        <w:rPr>
          <w:rFonts w:ascii="Times New Roman" w:cs="Times New Roman" w:eastAsia="Times New Roman" w:hAnsi="Times New Roman"/>
          <w:sz w:val="16"/>
          <w:szCs w:val="16"/>
          <w:u w:val="single" w:color="auto"/>
          <w:color w:val="0000EE"/>
        </w:rPr>
      </w:pPr>
      <w:r>
        <w:rPr>
          <w:rFonts w:ascii="Times New Roman" w:cs="Times New Roman" w:eastAsia="Times New Roman" w:hAnsi="Times New Roman"/>
          <w:sz w:val="16"/>
          <w:szCs w:val="16"/>
          <w:color w:val="auto"/>
        </w:rPr>
        <w:t>3.2</w:t>
      </w:r>
      <w:r>
        <w:rPr>
          <w:sz w:val="20"/>
          <w:szCs w:val="20"/>
          <w:color w:val="auto"/>
        </w:rPr>
        <w:tab/>
      </w:r>
      <w:hyperlink r:id="rId56">
        <w:r>
          <w:rPr>
            <w:rFonts w:ascii="Times New Roman" w:cs="Times New Roman" w:eastAsia="Times New Roman" w:hAnsi="Times New Roman"/>
            <w:sz w:val="16"/>
            <w:szCs w:val="16"/>
            <w:u w:val="single" w:color="auto"/>
            <w:color w:val="0000EE"/>
          </w:rPr>
          <w:t>Fifth Amended and Restated Bylaws of Merit Medical Systems, Inc.*</w:t>
        </w:r>
      </w:hyperlink>
    </w:p>
    <w:p>
      <w:pPr>
        <w:spacing w:after="0" w:line="109" w:lineRule="exact"/>
        <w:rPr>
          <w:sz w:val="20"/>
          <w:szCs w:val="20"/>
          <w:color w:val="auto"/>
        </w:rPr>
      </w:pPr>
    </w:p>
    <w:p>
      <w:pPr>
        <w:jc w:val="both"/>
        <w:ind w:left="1020" w:right="80" w:hanging="732"/>
        <w:spacing w:after="0" w:line="289" w:lineRule="auto"/>
        <w:tabs>
          <w:tab w:leader="none" w:pos="1000" w:val="left"/>
        </w:tabs>
        <w:rPr>
          <w:sz w:val="20"/>
          <w:szCs w:val="20"/>
          <w:color w:val="auto"/>
        </w:rPr>
      </w:pPr>
      <w:r>
        <w:rPr>
          <w:rFonts w:ascii="Times New Roman" w:cs="Times New Roman" w:eastAsia="Times New Roman" w:hAnsi="Times New Roman"/>
          <w:sz w:val="16"/>
          <w:szCs w:val="16"/>
          <w:color w:val="auto"/>
        </w:rPr>
        <w:t>10.1</w:t>
      </w:r>
      <w:r>
        <w:rPr>
          <w:sz w:val="20"/>
          <w:szCs w:val="20"/>
          <w:color w:val="auto"/>
        </w:rPr>
        <w:tab/>
      </w:r>
      <w:r>
        <w:rPr>
          <w:rFonts w:ascii="Times New Roman" w:cs="Times New Roman" w:eastAsia="Times New Roman" w:hAnsi="Times New Roman"/>
          <w:sz w:val="16"/>
          <w:szCs w:val="16"/>
          <w:u w:val="single" w:color="auto"/>
          <w:color w:val="0000EE"/>
        </w:rPr>
        <w:t>Form of Indemnification Agreement, dated July 17, 2026, between Merit Medical Systems, Inc. and each director.†</w:t>
      </w:r>
    </w:p>
    <w:p>
      <w:pPr>
        <w:spacing w:after="0" w:line="45" w:lineRule="exact"/>
        <w:rPr>
          <w:sz w:val="20"/>
          <w:szCs w:val="20"/>
          <w:color w:val="auto"/>
        </w:rPr>
      </w:pPr>
    </w:p>
    <w:p>
      <w:pPr>
        <w:jc w:val="both"/>
        <w:ind w:left="1020" w:right="80" w:hanging="732"/>
        <w:spacing w:after="0" w:line="271" w:lineRule="auto"/>
        <w:tabs>
          <w:tab w:leader="none" w:pos="1000" w:val="left"/>
        </w:tabs>
        <w:rPr>
          <w:sz w:val="20"/>
          <w:szCs w:val="20"/>
          <w:color w:val="auto"/>
        </w:rPr>
      </w:pPr>
      <w:r>
        <w:rPr>
          <w:rFonts w:ascii="Times New Roman" w:cs="Times New Roman" w:eastAsia="Times New Roman" w:hAnsi="Times New Roman"/>
          <w:sz w:val="16"/>
          <w:szCs w:val="16"/>
          <w:color w:val="auto"/>
        </w:rPr>
        <w:t>10.2</w:t>
      </w:r>
      <w:r>
        <w:rPr>
          <w:sz w:val="20"/>
          <w:szCs w:val="20"/>
          <w:color w:val="auto"/>
        </w:rPr>
        <w:tab/>
      </w:r>
      <w:r>
        <w:rPr>
          <w:rFonts w:ascii="Times New Roman" w:cs="Times New Roman" w:eastAsia="Times New Roman" w:hAnsi="Times New Roman"/>
          <w:sz w:val="16"/>
          <w:szCs w:val="16"/>
          <w:u w:val="single" w:color="auto"/>
          <w:color w:val="0000EE"/>
        </w:rPr>
        <w:t>Form of Indemnification Agreement, dated July 17, 2026, between Merit Medical Systems, Inc. and each of the following individuals: Raul Parra, Brian G. Lloyd, Christian Adam Smith and Michel J. Voigt.†</w:t>
      </w:r>
    </w:p>
    <w:p>
      <w:pPr>
        <w:spacing w:after="0" w:line="59" w:lineRule="exact"/>
        <w:rPr>
          <w:sz w:val="20"/>
          <w:szCs w:val="20"/>
          <w:color w:val="auto"/>
        </w:rPr>
      </w:pPr>
    </w:p>
    <w:p>
      <w:pPr>
        <w:jc w:val="both"/>
        <w:ind w:left="1020" w:right="100" w:hanging="732"/>
        <w:spacing w:after="0" w:line="289" w:lineRule="auto"/>
        <w:tabs>
          <w:tab w:leader="none" w:pos="1000" w:val="left"/>
        </w:tabs>
        <w:rPr>
          <w:rFonts w:ascii="Times New Roman" w:cs="Times New Roman" w:eastAsia="Times New Roman" w:hAnsi="Times New Roman"/>
          <w:sz w:val="16"/>
          <w:szCs w:val="16"/>
          <w:color w:val="0000EE"/>
        </w:rPr>
      </w:pPr>
      <w:r>
        <w:rPr>
          <w:rFonts w:ascii="Times New Roman" w:cs="Times New Roman" w:eastAsia="Times New Roman" w:hAnsi="Times New Roman"/>
          <w:sz w:val="16"/>
          <w:szCs w:val="16"/>
          <w:color w:val="auto"/>
        </w:rPr>
        <w:t>10.3</w:t>
      </w:r>
      <w:r>
        <w:rPr>
          <w:sz w:val="20"/>
          <w:szCs w:val="20"/>
          <w:color w:val="auto"/>
        </w:rPr>
        <w:tab/>
      </w:r>
      <w:hyperlink r:id="rId57">
        <w:r>
          <w:rPr>
            <w:rFonts w:ascii="Times New Roman" w:cs="Times New Roman" w:eastAsia="Times New Roman" w:hAnsi="Times New Roman"/>
            <w:sz w:val="16"/>
            <w:szCs w:val="16"/>
            <w:u w:val="single" w:color="auto"/>
            <w:color w:val="0000EE"/>
          </w:rPr>
          <w:t>Employment Agreement, effective as of August 31, 2026, between Merit</w:t>
        </w:r>
      </w:hyperlink>
      <w:r>
        <w:rPr>
          <w:rFonts w:ascii="Times New Roman" w:cs="Times New Roman" w:eastAsia="Times New Roman" w:hAnsi="Times New Roman"/>
          <w:sz w:val="16"/>
          <w:szCs w:val="16"/>
          <w:u w:val="single" w:color="auto"/>
          <w:color w:val="0000EE"/>
        </w:rPr>
        <w:t xml:space="preserve"> </w:t>
      </w:r>
      <w:hyperlink r:id="rId57">
        <w:r>
          <w:rPr>
            <w:rFonts w:ascii="Times New Roman" w:cs="Times New Roman" w:eastAsia="Times New Roman" w:hAnsi="Times New Roman"/>
            <w:sz w:val="16"/>
            <w:szCs w:val="16"/>
            <w:u w:val="single" w:color="auto"/>
            <w:color w:val="0000EE"/>
          </w:rPr>
          <w:t>Medical Systems, Inc. and Sheri L. Lewis</w:t>
        </w:r>
        <w:r>
          <w:rPr>
            <w:rFonts w:ascii="Times New Roman" w:cs="Times New Roman" w:eastAsia="Times New Roman" w:hAnsi="Times New Roman"/>
            <w:sz w:val="16"/>
            <w:szCs w:val="16"/>
            <w:color w:val="000000"/>
          </w:rPr>
          <w:t>.*†</w:t>
        </w:r>
      </w:hyperlink>
    </w:p>
    <w:p>
      <w:pPr>
        <w:spacing w:after="0" w:line="45" w:lineRule="exact"/>
        <w:rPr>
          <w:sz w:val="20"/>
          <w:szCs w:val="20"/>
          <w:color w:val="auto"/>
        </w:rPr>
      </w:pPr>
    </w:p>
    <w:p>
      <w:pPr>
        <w:ind w:left="1020" w:right="460" w:hanging="732"/>
        <w:spacing w:after="0" w:line="289" w:lineRule="auto"/>
        <w:tabs>
          <w:tab w:leader="none" w:pos="100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u w:val="single" w:color="auto"/>
          <w:color w:val="0000EE"/>
        </w:rPr>
        <w:t>Indemnification Agreement, dated August 31, 2026, between Merit Medical Systems, Inc. and Sheri L. Lewis.†</w:t>
      </w:r>
    </w:p>
    <w:p>
      <w:pPr>
        <w:spacing w:after="0" w:line="45" w:lineRule="exact"/>
        <w:rPr>
          <w:sz w:val="20"/>
          <w:szCs w:val="20"/>
          <w:color w:val="auto"/>
        </w:rPr>
      </w:pPr>
    </w:p>
    <w:p>
      <w:pPr>
        <w:ind w:left="1020" w:right="240" w:hanging="732"/>
        <w:spacing w:after="0" w:line="289" w:lineRule="auto"/>
        <w:tabs>
          <w:tab w:leader="none" w:pos="1000" w:val="left"/>
        </w:tabs>
        <w:rPr>
          <w:sz w:val="20"/>
          <w:szCs w:val="20"/>
          <w:color w:val="auto"/>
        </w:rPr>
      </w:pPr>
      <w:r>
        <w:rPr>
          <w:rFonts w:ascii="Times New Roman" w:cs="Times New Roman" w:eastAsia="Times New Roman" w:hAnsi="Times New Roman"/>
          <w:sz w:val="16"/>
          <w:szCs w:val="16"/>
          <w:color w:val="auto"/>
        </w:rPr>
        <w:t>31.1</w:t>
      </w:r>
      <w:r>
        <w:rPr>
          <w:sz w:val="20"/>
          <w:szCs w:val="20"/>
          <w:color w:val="auto"/>
        </w:rPr>
        <w:tab/>
      </w:r>
      <w:r>
        <w:rPr>
          <w:rFonts w:ascii="Times New Roman" w:cs="Times New Roman" w:eastAsia="Times New Roman" w:hAnsi="Times New Roman"/>
          <w:sz w:val="16"/>
          <w:szCs w:val="16"/>
          <w:u w:val="single" w:color="auto"/>
          <w:color w:val="0000EE"/>
        </w:rPr>
        <w:t>Certification of Chief Executive Officer pursuant to Section 302 of the Sarbanes-Oxley Act of 2002</w:t>
      </w:r>
      <w:r>
        <w:rPr>
          <w:rFonts w:ascii="Times New Roman" w:cs="Times New Roman" w:eastAsia="Times New Roman" w:hAnsi="Times New Roman"/>
          <w:sz w:val="16"/>
          <w:szCs w:val="16"/>
          <w:color w:val="000000"/>
        </w:rPr>
        <w:t>.</w:t>
      </w:r>
    </w:p>
    <w:p>
      <w:pPr>
        <w:spacing w:after="0" w:line="45" w:lineRule="exact"/>
        <w:rPr>
          <w:sz w:val="20"/>
          <w:szCs w:val="20"/>
          <w:color w:val="auto"/>
        </w:rPr>
      </w:pPr>
    </w:p>
    <w:p>
      <w:pPr>
        <w:ind w:left="1020" w:right="300" w:hanging="732"/>
        <w:spacing w:after="0" w:line="289" w:lineRule="auto"/>
        <w:tabs>
          <w:tab w:leader="none" w:pos="1000" w:val="left"/>
        </w:tabs>
        <w:rPr>
          <w:sz w:val="20"/>
          <w:szCs w:val="20"/>
          <w:color w:val="auto"/>
        </w:rPr>
      </w:pPr>
      <w:r>
        <w:rPr>
          <w:rFonts w:ascii="Times New Roman" w:cs="Times New Roman" w:eastAsia="Times New Roman" w:hAnsi="Times New Roman"/>
          <w:sz w:val="16"/>
          <w:szCs w:val="16"/>
          <w:color w:val="auto"/>
        </w:rPr>
        <w:t>31.2</w:t>
      </w:r>
      <w:r>
        <w:rPr>
          <w:sz w:val="20"/>
          <w:szCs w:val="20"/>
          <w:color w:val="auto"/>
        </w:rPr>
        <w:tab/>
      </w:r>
      <w:r>
        <w:rPr>
          <w:rFonts w:ascii="Times New Roman" w:cs="Times New Roman" w:eastAsia="Times New Roman" w:hAnsi="Times New Roman"/>
          <w:sz w:val="16"/>
          <w:szCs w:val="16"/>
          <w:u w:val="single" w:color="auto"/>
          <w:color w:val="0000EE"/>
        </w:rPr>
        <w:t>Certification of Chief Financial Officer pursuant to Section 302 of the Sarbanes-Oxley Act of 2002</w:t>
      </w:r>
      <w:r>
        <w:rPr>
          <w:rFonts w:ascii="Times New Roman" w:cs="Times New Roman" w:eastAsia="Times New Roman" w:hAnsi="Times New Roman"/>
          <w:sz w:val="16"/>
          <w:szCs w:val="16"/>
          <w:color w:val="000000"/>
        </w:rPr>
        <w:t>.</w:t>
      </w:r>
    </w:p>
    <w:p>
      <w:pPr>
        <w:spacing w:after="0" w:line="45" w:lineRule="exact"/>
        <w:rPr>
          <w:sz w:val="20"/>
          <w:szCs w:val="20"/>
          <w:color w:val="auto"/>
        </w:rPr>
      </w:pPr>
    </w:p>
    <w:p>
      <w:pPr>
        <w:ind w:left="1020" w:right="240" w:hanging="732"/>
        <w:spacing w:after="0" w:line="289" w:lineRule="auto"/>
        <w:tabs>
          <w:tab w:leader="none" w:pos="1000" w:val="left"/>
        </w:tabs>
        <w:rPr>
          <w:sz w:val="20"/>
          <w:szCs w:val="20"/>
          <w:color w:val="auto"/>
        </w:rPr>
      </w:pPr>
      <w:r>
        <w:rPr>
          <w:rFonts w:ascii="Times New Roman" w:cs="Times New Roman" w:eastAsia="Times New Roman" w:hAnsi="Times New Roman"/>
          <w:sz w:val="16"/>
          <w:szCs w:val="16"/>
          <w:color w:val="auto"/>
        </w:rPr>
        <w:t>32.1</w:t>
      </w:r>
      <w:r>
        <w:rPr>
          <w:sz w:val="20"/>
          <w:szCs w:val="20"/>
          <w:color w:val="auto"/>
        </w:rPr>
        <w:tab/>
      </w:r>
      <w:r>
        <w:rPr>
          <w:rFonts w:ascii="Times New Roman" w:cs="Times New Roman" w:eastAsia="Times New Roman" w:hAnsi="Times New Roman"/>
          <w:sz w:val="16"/>
          <w:szCs w:val="16"/>
          <w:u w:val="single" w:color="auto"/>
          <w:color w:val="0000EE"/>
        </w:rPr>
        <w:t>Certification of Chief Executive Officer pursuant to Section 906 of the Sarbanes-Oxley Act of 2002</w:t>
      </w:r>
      <w:r>
        <w:rPr>
          <w:rFonts w:ascii="Times New Roman" w:cs="Times New Roman" w:eastAsia="Times New Roman" w:hAnsi="Times New Roman"/>
          <w:sz w:val="16"/>
          <w:szCs w:val="16"/>
          <w:color w:val="000000"/>
        </w:rPr>
        <w:t>.</w:t>
      </w:r>
    </w:p>
    <w:p>
      <w:pPr>
        <w:spacing w:after="0" w:line="45" w:lineRule="exact"/>
        <w:rPr>
          <w:sz w:val="20"/>
          <w:szCs w:val="20"/>
          <w:color w:val="auto"/>
        </w:rPr>
      </w:pPr>
    </w:p>
    <w:p>
      <w:pPr>
        <w:ind w:left="1020" w:right="300" w:hanging="732"/>
        <w:spacing w:after="0" w:line="289" w:lineRule="auto"/>
        <w:tabs>
          <w:tab w:leader="none" w:pos="1000" w:val="left"/>
        </w:tabs>
        <w:rPr>
          <w:sz w:val="20"/>
          <w:szCs w:val="20"/>
          <w:color w:val="auto"/>
        </w:rPr>
      </w:pPr>
      <w:r>
        <w:rPr>
          <w:rFonts w:ascii="Times New Roman" w:cs="Times New Roman" w:eastAsia="Times New Roman" w:hAnsi="Times New Roman"/>
          <w:sz w:val="16"/>
          <w:szCs w:val="16"/>
          <w:color w:val="auto"/>
        </w:rPr>
        <w:t>32.2</w:t>
      </w:r>
      <w:r>
        <w:rPr>
          <w:sz w:val="20"/>
          <w:szCs w:val="20"/>
          <w:color w:val="auto"/>
        </w:rPr>
        <w:tab/>
      </w:r>
      <w:r>
        <w:rPr>
          <w:rFonts w:ascii="Times New Roman" w:cs="Times New Roman" w:eastAsia="Times New Roman" w:hAnsi="Times New Roman"/>
          <w:sz w:val="16"/>
          <w:szCs w:val="16"/>
          <w:u w:val="single" w:color="auto"/>
          <w:color w:val="0000EE"/>
        </w:rPr>
        <w:t>Certification of Chief Financial Officer pursuant to Section 906 of the Sarbanes-Oxley Act of 2002</w:t>
      </w:r>
      <w:r>
        <w:rPr>
          <w:rFonts w:ascii="Times New Roman" w:cs="Times New Roman" w:eastAsia="Times New Roman" w:hAnsi="Times New Roman"/>
          <w:sz w:val="16"/>
          <w:szCs w:val="16"/>
          <w:color w:val="000000"/>
        </w:rPr>
        <w:t>.</w:t>
      </w:r>
    </w:p>
    <w:p>
      <w:pPr>
        <w:spacing w:after="0" w:line="45" w:lineRule="exact"/>
        <w:rPr>
          <w:sz w:val="20"/>
          <w:szCs w:val="20"/>
          <w:color w:val="auto"/>
        </w:rPr>
      </w:pPr>
    </w:p>
    <w:p>
      <w:pPr>
        <w:ind w:left="1020" w:hanging="710"/>
        <w:spacing w:after="0" w:line="259" w:lineRule="auto"/>
        <w:tabs>
          <w:tab w:leader="none" w:pos="10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following financial information from the quarterly report </w:t>
      </w:r>
      <w:r>
        <w:rPr>
          <w:rFonts w:ascii="Times New Roman" w:cs="Times New Roman" w:eastAsia="Times New Roman" w:hAnsi="Times New Roman"/>
          <w:sz w:val="16"/>
          <w:szCs w:val="16"/>
          <w:color w:val="212529"/>
        </w:rPr>
        <w:t>on Form 10-Q for the quarter ended September 30, 2026, formatted in Inline Extensible Business Reporting Language (iXBRL): (i) Consolidated Balance Sheets, (ii) Consolidated Statements of Income, (iii) Consolidated Statements of Comprehensive Income, (iv) Consolidated Statements of Stockholders’ Equity, (v) Consolidated Statements of Cash Flows, and (vi) related Condensed Notes to the Unaudited Consolidated Financial Statements, tagged in detail.</w:t>
      </w:r>
    </w:p>
    <w:p>
      <w:pPr>
        <w:spacing w:after="0" w:line="70" w:lineRule="exact"/>
        <w:rPr>
          <w:sz w:val="20"/>
          <w:szCs w:val="20"/>
          <w:color w:val="auto"/>
        </w:rPr>
      </w:pPr>
    </w:p>
    <w:p>
      <w:pPr>
        <w:ind w:left="1020" w:right="640" w:hanging="710"/>
        <w:spacing w:after="0" w:line="289" w:lineRule="auto"/>
        <w:tabs>
          <w:tab w:leader="none" w:pos="1020" w:val="left"/>
        </w:tabs>
        <w:numPr>
          <w:ilvl w:val="1"/>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(the cover page XBRL tags are embedded within the Inline XBRL document).</w:t>
      </w:r>
    </w:p>
    <w:p>
      <w:pPr>
        <w:spacing w:after="0" w:line="239" w:lineRule="exact"/>
        <w:rPr>
          <w:rFonts w:ascii="Times New Roman" w:cs="Times New Roman" w:eastAsia="Times New Roman" w:hAnsi="Times New Roman"/>
          <w:sz w:val="16"/>
          <w:szCs w:val="16"/>
          <w:color w:val="auto"/>
        </w:rPr>
      </w:pPr>
    </w:p>
    <w:p>
      <w:pPr>
        <w:ind w:left="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These exhibits are incorporated herein by reference.</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 Indicates management contract or compensatory plan or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188150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881505" cy="762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1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Filing Date</w:t>
            </w:r>
          </w:p>
        </w:tc>
      </w:tr>
      <w:tr>
        <w:trPr>
          <w:trHeight w:val="203"/>
        </w:trPr>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10-Q</w:t>
            </w:r>
          </w:p>
        </w:tc>
        <w:tc>
          <w:tcPr>
            <w:tcW w:w="40" w:type="dxa"/>
            <w:vAlign w:val="bottom"/>
          </w:tcPr>
          <w:p>
            <w:pPr>
              <w:spacing w:after="0"/>
              <w:rPr>
                <w:sz w:val="17"/>
                <w:szCs w:val="17"/>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60" w:type="dxa"/>
            <w:vAlign w:val="bottom"/>
          </w:tcPr>
          <w:p>
            <w:pPr>
              <w:spacing w:after="0"/>
              <w:rPr>
                <w:sz w:val="17"/>
                <w:szCs w:val="17"/>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August 9, 2018</w:t>
            </w:r>
          </w:p>
        </w:tc>
      </w:tr>
      <w:tr>
        <w:trPr>
          <w:trHeight w:val="276"/>
        </w:trPr>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19, 2026</w:t>
            </w:r>
          </w:p>
        </w:tc>
      </w:tr>
      <w:tr>
        <w:trPr>
          <w:trHeight w:val="293"/>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88"/>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683"/>
        </w:trPr>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8-K</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 2026</w:t>
            </w:r>
          </w:p>
        </w:tc>
      </w:tr>
      <w:tr>
        <w:trPr>
          <w:trHeight w:val="488"/>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88"/>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88"/>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88"/>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88"/>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488"/>
        </w:trPr>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60"/>
        <w:spacing w:after="0"/>
        <w:tabs>
          <w:tab w:leader="none" w:pos="960" w:val="left"/>
          <w:tab w:leader="none" w:pos="210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093" w:lineRule="exact"/>
        <w:rPr>
          <w:sz w:val="20"/>
          <w:szCs w:val="20"/>
          <w:color w:val="auto"/>
        </w:rPr>
      </w:pPr>
    </w:p>
    <w:p>
      <w:pPr>
        <w:sectPr>
          <w:pgSz w:w="11900" w:h="16838" w:orient="portrait"/>
          <w:cols w:equalWidth="0" w:num="2">
            <w:col w:w="5860" w:space="120"/>
            <w:col w:w="3039"/>
          </w:cols>
          <w:pgMar w:left="1440" w:top="47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5659120" cy="15240"/>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type w:val="continuous"/>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84" w:lineRule="exact"/>
        <w:rPr>
          <w:sz w:val="20"/>
          <w:szCs w:val="20"/>
          <w:color w:val="auto"/>
        </w:rPr>
      </w:pPr>
    </w:p>
    <w:p>
      <w:pPr>
        <w:ind w:left="40" w:right="59"/>
        <w:spacing w:after="0" w:line="28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2980" w:type="dxa"/>
            <w:vAlign w:val="bottom"/>
          </w:tcPr>
          <w:p>
            <w:pPr>
              <w:spacing w:after="0"/>
              <w:rPr>
                <w:sz w:val="18"/>
                <w:szCs w:val="18"/>
                <w:color w:val="auto"/>
              </w:rPr>
            </w:pPr>
          </w:p>
        </w:tc>
        <w:tc>
          <w:tcPr>
            <w:tcW w:w="59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MERIT MEDICAL SYSTEMS, INC.</w:t>
            </w:r>
          </w:p>
        </w:tc>
      </w:tr>
      <w:tr>
        <w:trPr>
          <w:trHeight w:val="391"/>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2026</w:t>
            </w:r>
          </w:p>
        </w:tc>
        <w:tc>
          <w:tcPr>
            <w:tcW w:w="59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By:  /s/ MARTHA G. ARONSON</w:t>
            </w:r>
          </w:p>
        </w:tc>
      </w:tr>
      <w:tr>
        <w:trPr>
          <w:trHeight w:val="171"/>
        </w:trPr>
        <w:tc>
          <w:tcPr>
            <w:tcW w:w="2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120" w:type="dxa"/>
            <w:vAlign w:val="bottom"/>
            <w:tcBorders>
              <w:top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​​​Martha​ G. Aronson</w:t>
            </w:r>
          </w:p>
        </w:tc>
      </w:tr>
      <w:tr>
        <w:trPr>
          <w:trHeight w:val="211"/>
        </w:trPr>
        <w:tc>
          <w:tcPr>
            <w:tcW w:w="2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Executive Officer and President</w:t>
            </w:r>
          </w:p>
        </w:tc>
      </w:tr>
      <w:tr>
        <w:trPr>
          <w:trHeight w:val="391"/>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2026</w:t>
            </w:r>
          </w:p>
        </w:tc>
        <w:tc>
          <w:tcPr>
            <w:tcW w:w="5940" w:type="dxa"/>
            <w:vAlign w:val="bottom"/>
            <w:gridSpan w:val="2"/>
          </w:tcPr>
          <w:p>
            <w:pPr>
              <w:ind w:left="1460"/>
              <w:spacing w:after="0"/>
              <w:rPr>
                <w:sz w:val="20"/>
                <w:szCs w:val="20"/>
                <w:color w:val="auto"/>
              </w:rPr>
            </w:pPr>
            <w:r>
              <w:rPr>
                <w:rFonts w:ascii="Times New Roman" w:cs="Times New Roman" w:eastAsia="Times New Roman" w:hAnsi="Times New Roman"/>
                <w:sz w:val="16"/>
                <w:szCs w:val="16"/>
                <w:color w:val="auto"/>
              </w:rPr>
              <w:t>By:  /s/ RAUL PARRA</w:t>
            </w:r>
          </w:p>
        </w:tc>
      </w:tr>
      <w:tr>
        <w:trPr>
          <w:trHeight w:val="171"/>
        </w:trPr>
        <w:tc>
          <w:tcPr>
            <w:tcW w:w="2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120" w:type="dxa"/>
            <w:vAlign w:val="bottom"/>
            <w:tcBorders>
              <w:top w:val="single" w:sz="8" w:color="auto"/>
            </w:tcBorders>
          </w:tcPr>
          <w:p>
            <w:pPr>
              <w:ind w:left="80"/>
              <w:spacing w:after="0" w:line="171" w:lineRule="exact"/>
              <w:rPr>
                <w:sz w:val="20"/>
                <w:szCs w:val="20"/>
                <w:color w:val="auto"/>
              </w:rPr>
            </w:pPr>
            <w:r>
              <w:rPr>
                <w:rFonts w:ascii="Times New Roman" w:cs="Times New Roman" w:eastAsia="Times New Roman" w:hAnsi="Times New Roman"/>
                <w:sz w:val="16"/>
                <w:szCs w:val="16"/>
                <w:color w:val="auto"/>
              </w:rPr>
              <w:t>​​​Raul​ Parra</w:t>
            </w:r>
          </w:p>
        </w:tc>
      </w:tr>
      <w:tr>
        <w:trPr>
          <w:trHeight w:val="211"/>
        </w:trPr>
        <w:tc>
          <w:tcPr>
            <w:tcW w:w="29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327025</wp:posOffset>
            </wp:positionV>
            <wp:extent cx="565912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77" w:right="1440" w:bottom="1440" w:gutter="0" w:footer="0" w:header="0"/>
        </w:sectPr>
      </w:pPr>
    </w:p>
    <w:bookmarkStart w:id="45" w:name="page46"/>
    <w:bookmarkEnd w:id="45"/>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I, Martha G. Aronson, certify that:</w:t>
      </w:r>
    </w:p>
    <w:p>
      <w:pPr>
        <w:spacing w:after="0" w:line="206" w:lineRule="exact"/>
        <w:rPr>
          <w:sz w:val="20"/>
          <w:szCs w:val="20"/>
          <w:color w:val="auto"/>
        </w:rPr>
      </w:pPr>
    </w:p>
    <w:p>
      <w:pPr>
        <w:ind w:left="361" w:hanging="361"/>
        <w:spacing w:after="0"/>
        <w:tabs>
          <w:tab w:leader="none" w:pos="36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(the “Report”) of Merit Medical Systems, Inc. (the “Registrant”);</w:t>
      </w:r>
    </w:p>
    <w:p>
      <w:pPr>
        <w:spacing w:after="0" w:line="206" w:lineRule="exact"/>
        <w:rPr>
          <w:rFonts w:ascii="Times New Roman" w:cs="Times New Roman" w:eastAsia="Times New Roman" w:hAnsi="Times New Roman"/>
          <w:sz w:val="16"/>
          <w:szCs w:val="16"/>
          <w:color w:val="auto"/>
        </w:rPr>
      </w:pPr>
    </w:p>
    <w:p>
      <w:pPr>
        <w:jc w:val="both"/>
        <w:ind w:left="1" w:right="20" w:hanging="1"/>
        <w:spacing w:after="0" w:line="282" w:lineRule="auto"/>
        <w:tabs>
          <w:tab w:leader="none" w:pos="375"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7" w:lineRule="exact"/>
        <w:rPr>
          <w:rFonts w:ascii="Times New Roman" w:cs="Times New Roman" w:eastAsia="Times New Roman" w:hAnsi="Times New Roman"/>
          <w:sz w:val="16"/>
          <w:szCs w:val="16"/>
          <w:color w:val="auto"/>
        </w:rPr>
      </w:pPr>
    </w:p>
    <w:p>
      <w:pPr>
        <w:ind w:left="1" w:right="20" w:hanging="1"/>
        <w:spacing w:after="0" w:line="289" w:lineRule="auto"/>
        <w:tabs>
          <w:tab w:leader="none" w:pos="372"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Times New Roman" w:cs="Times New Roman" w:eastAsia="Times New Roman" w:hAnsi="Times New Roman"/>
          <w:sz w:val="16"/>
          <w:szCs w:val="16"/>
          <w:color w:val="auto"/>
        </w:rPr>
      </w:pPr>
    </w:p>
    <w:p>
      <w:pPr>
        <w:jc w:val="both"/>
        <w:ind w:left="1" w:right="20" w:hanging="1"/>
        <w:spacing w:after="0" w:line="271" w:lineRule="auto"/>
        <w:tabs>
          <w:tab w:leader="none" w:pos="41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Times New Roman" w:cs="Times New Roman" w:eastAsia="Times New Roman" w:hAnsi="Times New Roman"/>
          <w:sz w:val="16"/>
          <w:szCs w:val="16"/>
          <w:color w:val="auto"/>
        </w:rPr>
      </w:pPr>
    </w:p>
    <w:p>
      <w:pPr>
        <w:jc w:val="both"/>
        <w:ind w:left="581" w:right="20" w:firstLine="4"/>
        <w:spacing w:after="0" w:line="271" w:lineRule="auto"/>
        <w:tabs>
          <w:tab w:leader="none" w:pos="756"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jc w:val="both"/>
        <w:ind w:left="581" w:right="20" w:firstLine="4"/>
        <w:spacing w:after="0" w:line="271" w:lineRule="auto"/>
        <w:tabs>
          <w:tab w:leader="none" w:pos="774"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57" w:lineRule="exact"/>
        <w:rPr>
          <w:rFonts w:ascii="Times New Roman" w:cs="Times New Roman" w:eastAsia="Times New Roman" w:hAnsi="Times New Roman"/>
          <w:sz w:val="16"/>
          <w:szCs w:val="16"/>
          <w:color w:val="auto"/>
        </w:rPr>
      </w:pPr>
    </w:p>
    <w:p>
      <w:pPr>
        <w:ind w:left="581" w:right="20" w:firstLine="4"/>
        <w:spacing w:after="0" w:line="289" w:lineRule="auto"/>
        <w:tabs>
          <w:tab w:leader="none" w:pos="765"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jc w:val="both"/>
        <w:ind w:left="581" w:right="20" w:firstLine="4"/>
        <w:spacing w:after="0" w:line="271" w:lineRule="auto"/>
        <w:tabs>
          <w:tab w:leader="none" w:pos="770"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6"/>
          <w:szCs w:val="16"/>
          <w:color w:val="auto"/>
        </w:rPr>
      </w:pPr>
    </w:p>
    <w:p>
      <w:pPr>
        <w:ind w:left="1" w:right="20" w:hanging="1"/>
        <w:spacing w:after="0" w:line="289" w:lineRule="auto"/>
        <w:tabs>
          <w:tab w:leader="none" w:pos="41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6"/>
          <w:szCs w:val="16"/>
          <w:color w:val="auto"/>
        </w:rPr>
      </w:pPr>
    </w:p>
    <w:p>
      <w:pPr>
        <w:ind w:left="581" w:right="20" w:firstLine="4"/>
        <w:spacing w:after="0" w:line="289" w:lineRule="auto"/>
        <w:tabs>
          <w:tab w:leader="none" w:pos="782"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581" w:right="20" w:firstLine="4"/>
        <w:spacing w:after="0" w:line="289" w:lineRule="auto"/>
        <w:tabs>
          <w:tab w:leader="none" w:pos="771" w:val="left"/>
        </w:tabs>
        <w:numPr>
          <w:ilvl w:val="1"/>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tbl>
      <w:tblPr>
        <w:tblLayout w:type="fixed"/>
        <w:tblInd w:w="1" w:type="dxa"/>
        <w:tblCellMar>
          <w:top w:w="0" w:type="dxa"/>
          <w:left w:w="0" w:type="dxa"/>
          <w:bottom w:w="0" w:type="dxa"/>
          <w:right w:w="0" w:type="dxa"/>
        </w:tblCellMar>
      </w:tblPr>
      <w:tr>
        <w:trPr>
          <w:trHeight w:val="211"/>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2026</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Martha G. Aronson</w:t>
            </w:r>
          </w:p>
        </w:tc>
      </w:tr>
      <w:tr>
        <w:trPr>
          <w:trHeight w:val="171"/>
        </w:trPr>
        <w:tc>
          <w:tcPr>
            <w:tcW w:w="4960" w:type="dxa"/>
            <w:vAlign w:val="bottom"/>
          </w:tcPr>
          <w:p>
            <w:pPr>
              <w:spacing w:after="0"/>
              <w:rPr>
                <w:sz w:val="14"/>
                <w:szCs w:val="14"/>
                <w:color w:val="auto"/>
              </w:rPr>
            </w:pPr>
          </w:p>
        </w:tc>
        <w:tc>
          <w:tcPr>
            <w:tcW w:w="49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Martha G. Aronson</w:t>
            </w:r>
          </w:p>
        </w:tc>
      </w:tr>
      <w:tr>
        <w:trPr>
          <w:trHeight w:val="195"/>
        </w:trPr>
        <w:tc>
          <w:tcPr>
            <w:tcW w:w="496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1"/>
        </w:trPr>
        <w:tc>
          <w:tcPr>
            <w:tcW w:w="49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700"/>
        </w:trPr>
        <w:tc>
          <w:tcPr>
            <w:tcW w:w="49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41"/>
          </w:cols>
          <w:pgMar w:left="979" w:top="121" w:right="979" w:bottom="1440" w:gutter="0" w:footer="0" w:header="0"/>
        </w:sectPr>
      </w:pPr>
    </w:p>
    <w:bookmarkStart w:id="46" w:name="page47"/>
    <w:bookmarkEnd w:id="46"/>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20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6"/>
          <w:szCs w:val="16"/>
          <w:color w:val="auto"/>
        </w:rPr>
        <w:t>I, Raul Parra, certify that:</w:t>
      </w:r>
    </w:p>
    <w:p>
      <w:pPr>
        <w:spacing w:after="0" w:line="206" w:lineRule="exact"/>
        <w:rPr>
          <w:sz w:val="20"/>
          <w:szCs w:val="20"/>
          <w:color w:val="auto"/>
        </w:rPr>
      </w:pPr>
    </w:p>
    <w:p>
      <w:pPr>
        <w:ind w:left="361" w:hanging="361"/>
        <w:spacing w:after="0"/>
        <w:tabs>
          <w:tab w:leader="none" w:pos="36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(the “Report”) of Merit Medical Systems, Inc. (the “Registrant”);</w:t>
      </w:r>
    </w:p>
    <w:p>
      <w:pPr>
        <w:spacing w:after="0" w:line="206" w:lineRule="exact"/>
        <w:rPr>
          <w:rFonts w:ascii="Times New Roman" w:cs="Times New Roman" w:eastAsia="Times New Roman" w:hAnsi="Times New Roman"/>
          <w:sz w:val="16"/>
          <w:szCs w:val="16"/>
          <w:color w:val="auto"/>
        </w:rPr>
      </w:pPr>
    </w:p>
    <w:p>
      <w:pPr>
        <w:jc w:val="both"/>
        <w:ind w:left="1" w:right="20" w:hanging="1"/>
        <w:spacing w:after="0" w:line="282" w:lineRule="auto"/>
        <w:tabs>
          <w:tab w:leader="none" w:pos="375"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7" w:lineRule="exact"/>
        <w:rPr>
          <w:rFonts w:ascii="Times New Roman" w:cs="Times New Roman" w:eastAsia="Times New Roman" w:hAnsi="Times New Roman"/>
          <w:sz w:val="16"/>
          <w:szCs w:val="16"/>
          <w:color w:val="auto"/>
        </w:rPr>
      </w:pPr>
    </w:p>
    <w:p>
      <w:pPr>
        <w:ind w:left="1" w:right="20" w:hanging="1"/>
        <w:spacing w:after="0" w:line="289" w:lineRule="auto"/>
        <w:tabs>
          <w:tab w:leader="none" w:pos="372"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Times New Roman" w:cs="Times New Roman" w:eastAsia="Times New Roman" w:hAnsi="Times New Roman"/>
          <w:sz w:val="16"/>
          <w:szCs w:val="16"/>
          <w:color w:val="auto"/>
        </w:rPr>
      </w:pPr>
    </w:p>
    <w:p>
      <w:pPr>
        <w:jc w:val="both"/>
        <w:ind w:left="1" w:right="20" w:hanging="1"/>
        <w:spacing w:after="0" w:line="271" w:lineRule="auto"/>
        <w:tabs>
          <w:tab w:leader="none" w:pos="419"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57" w:lineRule="exact"/>
        <w:rPr>
          <w:rFonts w:ascii="Times New Roman" w:cs="Times New Roman" w:eastAsia="Times New Roman" w:hAnsi="Times New Roman"/>
          <w:sz w:val="16"/>
          <w:szCs w:val="16"/>
          <w:color w:val="auto"/>
        </w:rPr>
      </w:pPr>
    </w:p>
    <w:p>
      <w:pPr>
        <w:jc w:val="both"/>
        <w:ind w:left="581" w:right="20" w:firstLine="4"/>
        <w:spacing w:after="0" w:line="271" w:lineRule="auto"/>
        <w:tabs>
          <w:tab w:leader="none" w:pos="756"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7" w:lineRule="exact"/>
        <w:rPr>
          <w:rFonts w:ascii="Times New Roman" w:cs="Times New Roman" w:eastAsia="Times New Roman" w:hAnsi="Times New Roman"/>
          <w:sz w:val="16"/>
          <w:szCs w:val="16"/>
          <w:color w:val="auto"/>
        </w:rPr>
      </w:pPr>
    </w:p>
    <w:p>
      <w:pPr>
        <w:jc w:val="both"/>
        <w:ind w:left="581" w:right="20" w:firstLine="4"/>
        <w:spacing w:after="0" w:line="271" w:lineRule="auto"/>
        <w:tabs>
          <w:tab w:leader="none" w:pos="774"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 accepted accounting principles;</w:t>
      </w:r>
    </w:p>
    <w:p>
      <w:pPr>
        <w:spacing w:after="0" w:line="157" w:lineRule="exact"/>
        <w:rPr>
          <w:rFonts w:ascii="Times New Roman" w:cs="Times New Roman" w:eastAsia="Times New Roman" w:hAnsi="Times New Roman"/>
          <w:sz w:val="16"/>
          <w:szCs w:val="16"/>
          <w:color w:val="auto"/>
        </w:rPr>
      </w:pPr>
    </w:p>
    <w:p>
      <w:pPr>
        <w:ind w:left="581" w:right="20" w:firstLine="4"/>
        <w:spacing w:after="0" w:line="289" w:lineRule="auto"/>
        <w:tabs>
          <w:tab w:leader="none" w:pos="765"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Times New Roman" w:cs="Times New Roman" w:eastAsia="Times New Roman" w:hAnsi="Times New Roman"/>
          <w:sz w:val="16"/>
          <w:szCs w:val="16"/>
          <w:color w:val="auto"/>
        </w:rPr>
      </w:pPr>
    </w:p>
    <w:p>
      <w:pPr>
        <w:jc w:val="both"/>
        <w:ind w:left="581" w:right="20" w:firstLine="4"/>
        <w:spacing w:after="0" w:line="271" w:lineRule="auto"/>
        <w:tabs>
          <w:tab w:leader="none" w:pos="770"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6"/>
          <w:szCs w:val="16"/>
          <w:color w:val="auto"/>
        </w:rPr>
      </w:pPr>
    </w:p>
    <w:p>
      <w:pPr>
        <w:ind w:left="1" w:right="20" w:hanging="1"/>
        <w:spacing w:after="0" w:line="289" w:lineRule="auto"/>
        <w:tabs>
          <w:tab w:leader="none" w:pos="41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6"/>
          <w:szCs w:val="16"/>
          <w:color w:val="auto"/>
        </w:rPr>
      </w:pPr>
    </w:p>
    <w:p>
      <w:pPr>
        <w:ind w:left="581" w:right="20" w:firstLine="4"/>
        <w:spacing w:after="0" w:line="289" w:lineRule="auto"/>
        <w:tabs>
          <w:tab w:leader="none" w:pos="782"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Times New Roman" w:cs="Times New Roman" w:eastAsia="Times New Roman" w:hAnsi="Times New Roman"/>
          <w:sz w:val="16"/>
          <w:szCs w:val="16"/>
          <w:color w:val="auto"/>
        </w:rPr>
      </w:pPr>
    </w:p>
    <w:p>
      <w:pPr>
        <w:ind w:left="581" w:right="20" w:firstLine="4"/>
        <w:spacing w:after="0" w:line="289" w:lineRule="auto"/>
        <w:tabs>
          <w:tab w:leader="none" w:pos="771"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tbl>
      <w:tblPr>
        <w:tblLayout w:type="fixed"/>
        <w:tblInd w:w="1" w:type="dxa"/>
        <w:tblCellMar>
          <w:top w:w="0" w:type="dxa"/>
          <w:left w:w="0" w:type="dxa"/>
          <w:bottom w:w="0" w:type="dxa"/>
          <w:right w:w="0" w:type="dxa"/>
        </w:tblCellMar>
      </w:tblPr>
      <w:tr>
        <w:trPr>
          <w:trHeight w:val="211"/>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2026</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Raul Parra</w:t>
            </w:r>
          </w:p>
        </w:tc>
      </w:tr>
      <w:tr>
        <w:trPr>
          <w:trHeight w:val="171"/>
        </w:trPr>
        <w:tc>
          <w:tcPr>
            <w:tcW w:w="4960" w:type="dxa"/>
            <w:vAlign w:val="bottom"/>
          </w:tcPr>
          <w:p>
            <w:pPr>
              <w:spacing w:after="0"/>
              <w:rPr>
                <w:sz w:val="14"/>
                <w:szCs w:val="14"/>
                <w:color w:val="auto"/>
              </w:rPr>
            </w:pPr>
          </w:p>
        </w:tc>
        <w:tc>
          <w:tcPr>
            <w:tcW w:w="49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Raul Parra</w:t>
            </w:r>
          </w:p>
        </w:tc>
      </w:tr>
      <w:tr>
        <w:trPr>
          <w:trHeight w:val="195"/>
        </w:trPr>
        <w:tc>
          <w:tcPr>
            <w:tcW w:w="496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1"/>
        </w:trPr>
        <w:tc>
          <w:tcPr>
            <w:tcW w:w="49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712"/>
        </w:trPr>
        <w:tc>
          <w:tcPr>
            <w:tcW w:w="49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9941"/>
          </w:cols>
          <w:pgMar w:left="979" w:top="121" w:right="979" w:bottom="1440" w:gutter="0" w:footer="0" w:header="0"/>
        </w:sectPr>
      </w:pPr>
    </w:p>
    <w:bookmarkStart w:id="47" w:name="page48"/>
    <w:bookmarkEnd w:id="47"/>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18 U.S.C. Section 1350, as Adopted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 connection with the Quarterly Report on Form 10-Q of Merit Medical Systems, Inc. (the “Company”) for the quarter ended September 30, 2026, as filed with the Securities and Exchange Commission (the “Report”), I, Martha G. Aronson, Chief Executive Officer of the Company, certify, pursuant to 18 U.S.C. Section 1350, as adopted pursuant to Section 906 of the Sarbanes-Oxley Act of 2002, that, to the best of my knowledge:</w:t>
      </w:r>
    </w:p>
    <w:p>
      <w:pPr>
        <w:spacing w:after="0" w:line="157" w:lineRule="exact"/>
        <w:rPr>
          <w:sz w:val="20"/>
          <w:szCs w:val="20"/>
          <w:color w:val="auto"/>
        </w:rPr>
      </w:pPr>
    </w:p>
    <w:p>
      <w:pPr>
        <w:ind w:left="900" w:hanging="316"/>
        <w:spacing w:after="0"/>
        <w:tabs>
          <w:tab w:leader="none" w:pos="90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 (d) of the Securities Exchange Act of 1934; and</w:t>
      </w:r>
    </w:p>
    <w:p>
      <w:pPr>
        <w:spacing w:after="0" w:line="206" w:lineRule="exact"/>
        <w:rPr>
          <w:rFonts w:ascii="Times New Roman" w:cs="Times New Roman" w:eastAsia="Times New Roman" w:hAnsi="Times New Roman"/>
          <w:sz w:val="16"/>
          <w:szCs w:val="16"/>
          <w:color w:val="auto"/>
        </w:rPr>
      </w:pPr>
    </w:p>
    <w:p>
      <w:pPr>
        <w:ind w:left="580" w:right="20" w:firstLine="4"/>
        <w:spacing w:after="0" w:line="289" w:lineRule="auto"/>
        <w:tabs>
          <w:tab w:leader="none" w:pos="931"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2026</w:t>
            </w:r>
          </w:p>
        </w:tc>
        <w:tc>
          <w:tcPr>
            <w:tcW w:w="1740" w:type="dxa"/>
            <w:vAlign w:val="bottom"/>
          </w:tcPr>
          <w:p>
            <w:pPr>
              <w:spacing w:after="0"/>
              <w:rPr>
                <w:sz w:val="18"/>
                <w:szCs w:val="18"/>
                <w:color w:val="auto"/>
              </w:rPr>
            </w:pPr>
          </w:p>
        </w:tc>
        <w:tc>
          <w:tcPr>
            <w:tcW w:w="4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 Martha G. Aronson</w:t>
            </w:r>
          </w:p>
        </w:tc>
      </w:tr>
      <w:tr>
        <w:trPr>
          <w:trHeight w:val="172"/>
        </w:trPr>
        <w:tc>
          <w:tcPr>
            <w:tcW w:w="3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9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Martha G. Aronson</w:t>
            </w:r>
          </w:p>
        </w:tc>
      </w:tr>
      <w:tr>
        <w:trPr>
          <w:trHeight w:val="195"/>
        </w:trPr>
        <w:tc>
          <w:tcPr>
            <w:tcW w:w="3240" w:type="dxa"/>
            <w:vAlign w:val="bottom"/>
          </w:tcPr>
          <w:p>
            <w:pPr>
              <w:spacing w:after="0"/>
              <w:rPr>
                <w:sz w:val="16"/>
                <w:szCs w:val="16"/>
                <w:color w:val="auto"/>
              </w:rPr>
            </w:pPr>
          </w:p>
        </w:tc>
        <w:tc>
          <w:tcPr>
            <w:tcW w:w="670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President and Chief Executive Officer</w:t>
            </w:r>
          </w:p>
        </w:tc>
      </w:tr>
      <w:tr>
        <w:trPr>
          <w:trHeight w:val="211"/>
        </w:trPr>
        <w:tc>
          <w:tcPr>
            <w:tcW w:w="3240" w:type="dxa"/>
            <w:vAlign w:val="bottom"/>
          </w:tcPr>
          <w:p>
            <w:pPr>
              <w:spacing w:after="0"/>
              <w:rPr>
                <w:sz w:val="18"/>
                <w:szCs w:val="18"/>
                <w:color w:val="auto"/>
              </w:rPr>
            </w:pPr>
          </w:p>
        </w:tc>
        <w:tc>
          <w:tcPr>
            <w:tcW w:w="6700" w:type="dxa"/>
            <w:vAlign w:val="bottom"/>
            <w:gridSpan w:val="2"/>
          </w:tcPr>
          <w:p>
            <w:pPr>
              <w:ind w:left="1720"/>
              <w:spacing w:after="0"/>
              <w:rPr>
                <w:sz w:val="20"/>
                <w:szCs w:val="20"/>
                <w:color w:val="auto"/>
              </w:rPr>
            </w:pPr>
            <w:r>
              <w:rPr>
                <w:rFonts w:ascii="Times New Roman" w:cs="Times New Roman" w:eastAsia="Times New Roman" w:hAnsi="Times New Roman"/>
                <w:sz w:val="16"/>
                <w:szCs w:val="16"/>
                <w:color w:val="auto"/>
              </w:rPr>
              <w:t>(principal executive officer)</w:t>
            </w:r>
          </w:p>
        </w:tc>
      </w:tr>
    </w:tbl>
    <w:p>
      <w:pPr>
        <w:spacing w:after="0" w:line="37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630936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6309360" cy="2349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48" w:name="page49"/>
    <w:bookmarkEnd w:id="48"/>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18 U.S.C. Section 1350, as Adopted</w:t>
      </w:r>
    </w:p>
    <w:p>
      <w:pPr>
        <w:spacing w:after="0" w:line="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Pursuant to Section 906 of the Sarbanes-Oxley Act of 2002</w:t>
      </w:r>
    </w:p>
    <w:p>
      <w:pPr>
        <w:spacing w:after="0" w:line="190"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6"/>
          <w:szCs w:val="16"/>
          <w:color w:val="auto"/>
        </w:rPr>
        <w:t>In connection with the Quarterly Report on Form 10-Q of Merit Medical Systems, Inc. (the “Company”) for the quarter ended September 30, 2026, as filed with the Securities and Exchange Commission (the “Report”), I, Raul Parra, Chief Financial Officer of the Company, certify, pursuant to 18 U.S.C. Section 1350, as adopted pursuant to Section 906 of the Sarbanes-Oxley Act of 2002, that, to the best of my knowledge:</w:t>
      </w:r>
    </w:p>
    <w:p>
      <w:pPr>
        <w:spacing w:after="0" w:line="157" w:lineRule="exact"/>
        <w:rPr>
          <w:sz w:val="20"/>
          <w:szCs w:val="20"/>
          <w:color w:val="auto"/>
        </w:rPr>
      </w:pPr>
    </w:p>
    <w:p>
      <w:pPr>
        <w:ind w:left="900" w:hanging="316"/>
        <w:spacing w:after="0"/>
        <w:tabs>
          <w:tab w:leader="none" w:pos="90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 (d) of the Securities Exchange Act of 1934; and</w:t>
      </w:r>
    </w:p>
    <w:p>
      <w:pPr>
        <w:spacing w:after="0" w:line="206" w:lineRule="exact"/>
        <w:rPr>
          <w:rFonts w:ascii="Times New Roman" w:cs="Times New Roman" w:eastAsia="Times New Roman" w:hAnsi="Times New Roman"/>
          <w:sz w:val="16"/>
          <w:szCs w:val="16"/>
          <w:color w:val="auto"/>
        </w:rPr>
      </w:pPr>
    </w:p>
    <w:p>
      <w:pPr>
        <w:ind w:left="580" w:right="20" w:firstLine="4"/>
        <w:spacing w:after="0" w:line="289" w:lineRule="auto"/>
        <w:tabs>
          <w:tab w:leader="none" w:pos="931"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2026</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Raul Parra</w:t>
            </w:r>
          </w:p>
        </w:tc>
      </w:tr>
      <w:tr>
        <w:trPr>
          <w:trHeight w:val="171"/>
        </w:trPr>
        <w:tc>
          <w:tcPr>
            <w:tcW w:w="4960" w:type="dxa"/>
            <w:vAlign w:val="bottom"/>
          </w:tcPr>
          <w:p>
            <w:pPr>
              <w:spacing w:after="0"/>
              <w:rPr>
                <w:sz w:val="14"/>
                <w:szCs w:val="14"/>
                <w:color w:val="auto"/>
              </w:rPr>
            </w:pPr>
          </w:p>
        </w:tc>
        <w:tc>
          <w:tcPr>
            <w:tcW w:w="49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Raul Parra</w:t>
            </w:r>
          </w:p>
        </w:tc>
      </w:tr>
      <w:tr>
        <w:trPr>
          <w:trHeight w:val="195"/>
        </w:trPr>
        <w:tc>
          <w:tcPr>
            <w:tcW w:w="4960" w:type="dxa"/>
            <w:vAlign w:val="bottom"/>
          </w:tcPr>
          <w:p>
            <w:pPr>
              <w:spacing w:after="0"/>
              <w:rPr>
                <w:sz w:val="16"/>
                <w:szCs w:val="16"/>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11"/>
        </w:trPr>
        <w:tc>
          <w:tcPr>
            <w:tcW w:w="496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pacing w:after="0" w:line="1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This certification accompanies the foregoing Report pursuant to 18 U.S.C. Section 1350, as adopted pursuant to Section 906 of the Sarbanes-Oxley Act of 2002 and shall not, except to the extent required by the Sarbanes-Oxley Act of 2002, be deemed filed by the Registrant for purposes of Section 18 of the Securities Exchange Act of 1934, as amended. A signed original of this certification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630936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309360" cy="2349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49" w:name="page50"/>
    <w:bookmarkEnd w:id="49"/>
    <w:p>
      <w:pPr>
        <w:ind w:left="9300"/>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41910</wp:posOffset>
            </wp:positionV>
            <wp:extent cx="6774180" cy="88411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774180" cy="88411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88900</wp:posOffset>
            </wp:positionV>
            <wp:extent cx="6781800" cy="8848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78180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ind w:left="9300"/>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41910</wp:posOffset>
            </wp:positionV>
            <wp:extent cx="6774180" cy="88411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774180" cy="88411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88900</wp:posOffset>
            </wp:positionV>
            <wp:extent cx="6781800" cy="88487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78180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ind w:left="9300"/>
        <w:spacing w:after="0"/>
        <w:rPr>
          <w:sz w:val="20"/>
          <w:szCs w:val="20"/>
          <w:color w:val="auto"/>
        </w:rPr>
      </w:pPr>
      <w:r>
        <w:rPr>
          <w:rFonts w:ascii="Times New Roman" w:cs="Times New Roman" w:eastAsia="Times New Roman" w:hAnsi="Times New Roman"/>
          <w:sz w:val="16"/>
          <w:szCs w:val="16"/>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-526415</wp:posOffset>
            </wp:positionH>
            <wp:positionV relativeFrom="paragraph">
              <wp:posOffset>41910</wp:posOffset>
            </wp:positionV>
            <wp:extent cx="6774180" cy="88411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6774180" cy="88411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88" w:name="page89"/>
    <w:bookmarkEnd w:id="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88900</wp:posOffset>
            </wp:positionV>
            <wp:extent cx="6781800" cy="8848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781800" cy="8848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387350</wp:posOffset>
            </wp:positionH>
            <wp:positionV relativeFrom="page">
              <wp:posOffset>88900</wp:posOffset>
            </wp:positionV>
            <wp:extent cx="6774180" cy="8848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774180" cy="88487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2"/>
    </w:lvl>
  </w:abstractNum>
  <w:abstractNum w:abstractNumId="4">
    <w:nsid w:val="436C6125"/>
    <w:multiLevelType w:val="hybridMultilevel"/>
    <w:lvl w:ilvl="0">
      <w:lvlJc w:val="left"/>
      <w:lvlText w:val="%1."/>
      <w:numFmt w:val="decimal"/>
      <w:start w:val="3"/>
    </w:lvl>
  </w:abstractNum>
  <w:abstractNum w:abstractNumId="5">
    <w:nsid w:val="628C895D"/>
    <w:multiLevelType w:val="hybridMultilevel"/>
    <w:lvl w:ilvl="0">
      <w:lvlJc w:val="left"/>
      <w:lvlText w:val="%1."/>
      <w:numFmt w:val="decimal"/>
      <w:start w:val="4"/>
    </w:lvl>
  </w:abstractNum>
  <w:abstractNum w:abstractNumId="6">
    <w:nsid w:val="333AB105"/>
    <w:multiLevelType w:val="hybridMultilevel"/>
    <w:lvl w:ilvl="0">
      <w:lvlJc w:val="left"/>
      <w:lvlText w:val="%1."/>
      <w:numFmt w:val="decimal"/>
      <w:start w:val="5"/>
    </w:lvl>
  </w:abstractNum>
  <w:abstractNum w:abstractNumId="7">
    <w:nsid w:val="721DA317"/>
    <w:multiLevelType w:val="hybridMultilevel"/>
    <w:lvl w:ilvl="0">
      <w:lvlJc w:val="left"/>
      <w:lvlText w:val="%1."/>
      <w:numFmt w:val="decimal"/>
      <w:start w:val="6"/>
    </w:lvl>
  </w:abstractNum>
  <w:abstractNum w:abstractNumId="8">
    <w:nsid w:val="2443A858"/>
    <w:multiLevelType w:val="hybridMultilevel"/>
    <w:lvl w:ilvl="0">
      <w:lvlJc w:val="left"/>
      <w:lvlText w:val="%1."/>
      <w:numFmt w:val="decimal"/>
      <w:start w:val="7"/>
    </w:lvl>
  </w:abstractNum>
  <w:abstractNum w:abstractNumId="9">
    <w:nsid w:val="2D1D5AE9"/>
    <w:multiLevelType w:val="hybridMultilevel"/>
    <w:lvl w:ilvl="0">
      <w:lvlJc w:val="left"/>
      <w:lvlText w:val="%1."/>
      <w:numFmt w:val="decimal"/>
      <w:start w:val="8"/>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2"/>
    </w:lvl>
  </w:abstractNum>
  <w:abstractNum w:abstractNumId="14">
    <w:nsid w:val="4353D0CD"/>
    <w:multiLevelType w:val="hybridMultilevel"/>
    <w:lvl w:ilvl="0">
      <w:lvlJc w:val="left"/>
      <w:lvlText w:val="%1."/>
      <w:numFmt w:val="decimal"/>
      <w:start w:val="13"/>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5"/>
    </w:lvl>
  </w:abstractNum>
  <w:abstractNum w:abstractNumId="18">
    <w:nsid w:val="71F32454"/>
    <w:multiLevelType w:val="hybridMultilevel"/>
    <w:lvl w:ilvl="0">
      <w:lvlJc w:val="left"/>
      <w:lvlText w:val="%1."/>
      <w:numFmt w:val="decimal"/>
      <w:start w:val="16"/>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2"/>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5"/>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1)"/>
      <w:numFmt w:val="lowerLetter"/>
      <w:start w:val="3"/>
    </w:lvl>
  </w:abstractNum>
  <w:abstractNum w:abstractNumId="30">
    <w:nsid w:val="3006C83E"/>
    <w:multiLevelType w:val="hybridMultilevel"/>
    <w:lvl w:ilvl="0">
      <w:lvlJc w:val="left"/>
      <w:lvlText w:val="%1"/>
      <w:numFmt w:val="decimal"/>
      <w:start w:val="101"/>
    </w:lvl>
  </w:abstractNum>
  <w:abstractNum w:abstractNumId="31">
    <w:nsid w:val="614FD4A1"/>
    <w:multiLevelType w:val="hybridMultilevel"/>
    <w:lvl w:ilvl="0">
      <w:lvlJc w:val="left"/>
      <w:lvlText w:val="*"/>
      <w:numFmt w:val="bullet"/>
      <w:start w:val="1"/>
    </w:lvl>
    <w:lvl w:ilvl="1">
      <w:lvlJc w:val="left"/>
      <w:lvlText w:val="%2"/>
      <w:numFmt w:val="decimal"/>
      <w:start w:val="104"/>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55" Type="http://schemas.openxmlformats.org/officeDocument/2006/relationships/hyperlink" Target="https://www.sec.gov/Archives/edgar/data/856982/000085698218000027/secondamendedandrestatedar.htm" TargetMode="External"/><Relationship Id="rId56" Type="http://schemas.openxmlformats.org/officeDocument/2006/relationships/hyperlink" Target="https://www.sec.gov/Archives/edgar/data/856982/000085698226000030/mmsi-20260513xex3d1.htm" TargetMode="External"/><Relationship Id="rId57" Type="http://schemas.openxmlformats.org/officeDocument/2006/relationships/hyperlink" Target="https://www.sec.gov/Archives/edgar/data/856982/000085698226000047/mmsi-20260814x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2026-10-29T16:18:28Z</dcterms:created>
  <dcterms:modified xsi:type="dcterms:W3CDTF">2026-10-29T16:18:28Z</dcterms:modified>
</cp:coreProperties>
</file>