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833755</wp:posOffset>
            </wp:positionH>
            <wp:positionV relativeFrom="page">
              <wp:posOffset>431800</wp:posOffset>
            </wp:positionV>
            <wp:extent cx="5880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0735" cy="34290"/>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517525</wp:posOffset>
            </wp:positionV>
            <wp:extent cx="5880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0735" cy="8255"/>
                    </a:xfrm>
                    <a:prstGeom prst="rect">
                      <a:avLst/>
                    </a:prstGeom>
                    <a:noFill/>
                  </pic:spPr>
                </pic:pic>
              </a:graphicData>
            </a:graphic>
          </wp:anchor>
        </w:drawing>
        <w:t>UNITED STATES</w:t>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339" w:lineRule="exact"/>
        <w:rPr>
          <w:sz w:val="24"/>
          <w:szCs w:val="24"/>
          <w:color w:val="auto"/>
        </w:rPr>
      </w:pPr>
    </w:p>
    <w:p>
      <w:pPr>
        <w:ind w:left="1140" w:hanging="222"/>
        <w:spacing w:after="0"/>
        <w:tabs>
          <w:tab w:leader="none" w:pos="114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24" w:lineRule="exact"/>
        <w:rPr>
          <w:rFonts w:ascii="MS PGothic" w:cs="MS PGothic" w:eastAsia="MS PGothic" w:hAnsi="MS PGothic"/>
          <w:sz w:val="20"/>
          <w:szCs w:val="20"/>
          <w:color w:val="auto"/>
        </w:rPr>
      </w:pPr>
    </w:p>
    <w:p>
      <w:pPr>
        <w:ind w:left="264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56" w:lineRule="exact"/>
        <w:rPr>
          <w:rFonts w:ascii="MS PGothic" w:cs="MS PGothic" w:eastAsia="MS PGothic" w:hAnsi="MS PGothic"/>
          <w:sz w:val="20"/>
          <w:szCs w:val="20"/>
          <w:color w:val="auto"/>
        </w:rPr>
      </w:pPr>
    </w:p>
    <w:p>
      <w:pPr>
        <w:ind w:left="436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OR</w:t>
      </w:r>
    </w:p>
    <w:p>
      <w:pPr>
        <w:spacing w:after="0" w:line="264" w:lineRule="exact"/>
        <w:rPr>
          <w:rFonts w:ascii="MS PGothic" w:cs="MS PGothic" w:eastAsia="MS PGothic" w:hAnsi="MS PGothic"/>
          <w:sz w:val="20"/>
          <w:szCs w:val="20"/>
          <w:color w:val="auto"/>
        </w:rPr>
      </w:pPr>
    </w:p>
    <w:p>
      <w:pPr>
        <w:ind w:left="1000" w:hanging="222"/>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38" w:lineRule="exact"/>
        <w:rPr>
          <w:sz w:val="24"/>
          <w:szCs w:val="24"/>
          <w:color w:val="auto"/>
        </w:rPr>
      </w:pPr>
    </w:p>
    <w:p>
      <w:pPr>
        <w:jc w:val="center"/>
        <w:ind w:right="120"/>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5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Commission File Number: 0-18592</w:t>
      </w:r>
    </w:p>
    <w:p>
      <w:pPr>
        <w:spacing w:after="0" w:line="26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A. Full title of the plan and the address of the plan, if different from that of the issuer named below:</w:t>
      </w:r>
    </w:p>
    <w:p>
      <w:pPr>
        <w:spacing w:after="0" w:line="2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MERIT MEDICAL SYSTEMS, INC. 401(k) PROFIT SHARING PLAN</w:t>
      </w:r>
    </w:p>
    <w:p>
      <w:pPr>
        <w:spacing w:after="0" w:line="26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9"/>
          <w:szCs w:val="19"/>
          <w:color w:val="auto"/>
        </w:rPr>
        <w:t>B. 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1745615</wp:posOffset>
            </wp:positionH>
            <wp:positionV relativeFrom="paragraph">
              <wp:posOffset>184150</wp:posOffset>
            </wp:positionV>
            <wp:extent cx="226314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Merit Medical Systems, Inc.</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1600 West Merit Parkway</w:t>
      </w:r>
    </w:p>
    <w:p>
      <w:pPr>
        <w:spacing w:after="0" w:line="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South Jordan, Utah 84095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wp:posOffset>
            </wp:positionH>
            <wp:positionV relativeFrom="paragraph">
              <wp:posOffset>922020</wp:posOffset>
            </wp:positionV>
            <wp:extent cx="5880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5880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7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227330</wp:posOffset>
            </wp:positionV>
            <wp:extent cx="588073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34290"/>
                    </a:xfrm>
                    <a:prstGeom prst="rect">
                      <a:avLst/>
                    </a:prstGeom>
                    <a:noFill/>
                  </pic:spPr>
                </pic:pic>
              </a:graphicData>
            </a:graphic>
          </wp:anchor>
        </w:drawing>
      </w:r>
    </w:p>
    <w:p>
      <w:pPr>
        <w:sectPr>
          <w:pgSz w:w="11900" w:h="16838" w:orient="portrait"/>
          <w:cols w:equalWidth="0" w:num="1">
            <w:col w:w="9120"/>
          </w:cols>
          <w:pgMar w:left="1440" w:top="983"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140"/>
        <w:spacing w:after="0" w:line="273" w:lineRule="auto"/>
        <w:rPr>
          <w:sz w:val="20"/>
          <w:szCs w:val="20"/>
          <w:color w:val="auto"/>
        </w:rPr>
      </w:pPr>
      <w:r>
        <w:rPr>
          <w:rFonts w:ascii="Times New Roman" w:cs="Times New Roman" w:eastAsia="Times New Roman" w:hAnsi="Times New Roman"/>
          <w:sz w:val="20"/>
          <w:szCs w:val="20"/>
          <w:b w:val="1"/>
          <w:bCs w:val="1"/>
          <w:color w:val="auto"/>
        </w:rPr>
        <w:t>MERIT MEDICAL SYSTEMS, INC. 401(k) PROFIT SHARING PLAN TABLE OF CONTENTS</w:t>
      </w:r>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3"/>
        </w:trPr>
        <w:tc>
          <w:tcPr>
            <w:tcW w:w="63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REPORT OF INDEPENDENT REGISTERED PUBLIC ACCOUNTING FIRM</w:t>
            </w:r>
          </w:p>
        </w:tc>
        <w:tc>
          <w:tcPr>
            <w:tcW w:w="208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0" w:type="dxa"/>
            <w:vAlign w:val="bottom"/>
          </w:tcPr>
          <w:p>
            <w:pPr>
              <w:spacing w:after="0"/>
              <w:rPr>
                <w:sz w:val="1"/>
                <w:szCs w:val="1"/>
                <w:color w:val="auto"/>
              </w:rPr>
            </w:pPr>
          </w:p>
        </w:tc>
      </w:tr>
      <w:tr>
        <w:trPr>
          <w:trHeight w:val="439"/>
        </w:trPr>
        <w:tc>
          <w:tcPr>
            <w:tcW w:w="8460" w:type="dxa"/>
            <w:vAlign w:val="bottom"/>
            <w:gridSpan w:val="15"/>
          </w:tcPr>
          <w:p>
            <w:pPr>
              <w:spacing w:after="0"/>
              <w:rPr>
                <w:sz w:val="20"/>
                <w:szCs w:val="20"/>
                <w:color w:val="auto"/>
              </w:rPr>
            </w:pPr>
            <w:r>
              <w:rPr>
                <w:rFonts w:ascii="Times New Roman" w:cs="Times New Roman" w:eastAsia="Times New Roman" w:hAnsi="Times New Roman"/>
                <w:sz w:val="20"/>
                <w:szCs w:val="20"/>
                <w:color w:val="0000EE"/>
              </w:rPr>
              <w:t>FINANCIAL STATEMENTS</w:t>
            </w:r>
            <w:r>
              <w:rPr>
                <w:rFonts w:ascii="Times New Roman" w:cs="Times New Roman" w:eastAsia="Times New Roman" w:hAnsi="Times New Roman"/>
                <w:sz w:val="20"/>
                <w:szCs w:val="20"/>
                <w:color w:val="00000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00" w:type="dxa"/>
            <w:vAlign w:val="bottom"/>
            <w:tcBorders>
              <w:bottom w:val="single" w:sz="8" w:color="0000EE"/>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EE"/>
                <w:w w:val="98"/>
              </w:rPr>
              <w:t>Statements of Net Assets Available for Benefits as of December 31, 2025 and 2024</w:t>
            </w:r>
          </w:p>
        </w:tc>
        <w:tc>
          <w:tcPr>
            <w:tcW w:w="1740" w:type="dxa"/>
            <w:vAlign w:val="bottom"/>
            <w:gridSpan w:val="4"/>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20" w:type="dxa"/>
            <w:vAlign w:val="bottom"/>
          </w:tcPr>
          <w:p>
            <w:pPr>
              <w:spacing w:after="0"/>
              <w:rPr>
                <w:sz w:val="24"/>
                <w:szCs w:val="24"/>
                <w:color w:val="auto"/>
              </w:rPr>
            </w:pPr>
          </w:p>
        </w:tc>
        <w:tc>
          <w:tcPr>
            <w:tcW w:w="8340" w:type="dxa"/>
            <w:vAlign w:val="bottom"/>
            <w:gridSpan w:val="14"/>
          </w:tcPr>
          <w:p>
            <w:pPr>
              <w:spacing w:after="0"/>
              <w:rPr>
                <w:sz w:val="20"/>
                <w:szCs w:val="20"/>
                <w:color w:val="auto"/>
              </w:rPr>
            </w:pPr>
            <w:r>
              <w:rPr>
                <w:rFonts w:ascii="Times New Roman" w:cs="Times New Roman" w:eastAsia="Times New Roman" w:hAnsi="Times New Roman"/>
                <w:sz w:val="20"/>
                <w:szCs w:val="20"/>
                <w:color w:val="0000EE"/>
              </w:rPr>
              <w:t>Statement of Changes in Net Assets Available for Benefits for the Year Ended December 31, 2025</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0" w:type="dxa"/>
            <w:vAlign w:val="bottom"/>
          </w:tcPr>
          <w:p>
            <w:pPr>
              <w:spacing w:after="0"/>
              <w:rPr>
                <w:sz w:val="1"/>
                <w:szCs w:val="1"/>
                <w:color w:val="auto"/>
              </w:rPr>
            </w:pPr>
          </w:p>
        </w:tc>
      </w:tr>
      <w:tr>
        <w:trPr>
          <w:trHeight w:val="318"/>
        </w:trPr>
        <w:tc>
          <w:tcPr>
            <w:tcW w:w="1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8"/>
              </w:rPr>
              <w:t>Notes to Financial Statements</w:t>
            </w:r>
          </w:p>
        </w:tc>
        <w:tc>
          <w:tcPr>
            <w:tcW w:w="5400" w:type="dxa"/>
            <w:vAlign w:val="bottom"/>
            <w:tcBorders>
              <w:top w:val="single" w:sz="8" w:color="0000EE"/>
            </w:tcBorders>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0" w:type="dxa"/>
            <w:vAlign w:val="bottom"/>
          </w:tcPr>
          <w:p>
            <w:pPr>
              <w:spacing w:after="0"/>
              <w:rPr>
                <w:sz w:val="1"/>
                <w:szCs w:val="1"/>
                <w:color w:val="auto"/>
              </w:rPr>
            </w:pPr>
          </w:p>
        </w:tc>
      </w:tr>
      <w:tr>
        <w:trPr>
          <w:trHeight w:val="547"/>
        </w:trPr>
        <w:tc>
          <w:tcPr>
            <w:tcW w:w="8460" w:type="dxa"/>
            <w:vAlign w:val="bottom"/>
            <w:gridSpan w:val="15"/>
          </w:tcPr>
          <w:p>
            <w:pPr>
              <w:spacing w:after="0"/>
              <w:rPr>
                <w:sz w:val="20"/>
                <w:szCs w:val="20"/>
                <w:color w:val="auto"/>
              </w:rPr>
            </w:pPr>
            <w:r>
              <w:rPr>
                <w:rFonts w:ascii="Times New Roman" w:cs="Times New Roman" w:eastAsia="Times New Roman" w:hAnsi="Times New Roman"/>
                <w:sz w:val="20"/>
                <w:szCs w:val="20"/>
                <w:color w:val="0000EE"/>
              </w:rPr>
              <w:t>SUPPLEMENTAL SCHEDULE</w:t>
            </w:r>
            <w:r>
              <w:rPr>
                <w:rFonts w:ascii="Times New Roman" w:cs="Times New Roman" w:eastAsia="Times New Roman" w:hAnsi="Times New Roman"/>
                <w:sz w:val="20"/>
                <w:szCs w:val="20"/>
                <w:color w:val="000000"/>
              </w:rPr>
              <w:t>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340" w:type="dxa"/>
            <w:vAlign w:val="bottom"/>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Form 5500, Schedule H, Part IV, Line 4a — Schedule of Delinquent Participant Contributions for the</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540" w:type="dxa"/>
            <w:vAlign w:val="bottom"/>
            <w:tcBorders>
              <w:top w:val="single" w:sz="8" w:color="0000EE"/>
              <w:bottom w:val="single" w:sz="8" w:color="0000EE"/>
            </w:tcBorders>
            <w:gridSpan w:val="7"/>
          </w:tcPr>
          <w:p>
            <w:pPr>
              <w:spacing w:after="0" w:line="209" w:lineRule="exact"/>
              <w:rPr>
                <w:sz w:val="20"/>
                <w:szCs w:val="20"/>
                <w:color w:val="auto"/>
              </w:rPr>
            </w:pPr>
            <w:r>
              <w:rPr>
                <w:rFonts w:ascii="Times New Roman" w:cs="Times New Roman" w:eastAsia="Times New Roman" w:hAnsi="Times New Roman"/>
                <w:sz w:val="20"/>
                <w:szCs w:val="20"/>
                <w:color w:val="0000EE"/>
                <w:w w:val="97"/>
              </w:rPr>
              <w:t>Year Ended December 31, 2025</w:t>
            </w:r>
          </w:p>
        </w:tc>
        <w:tc>
          <w:tcPr>
            <w:tcW w:w="5480" w:type="dxa"/>
            <w:vAlign w:val="bottom"/>
            <w:tcBorders>
              <w:top w:val="single" w:sz="8" w:color="0000EE"/>
            </w:tcBorders>
            <w:gridSpan w:val="6"/>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200" w:type="dxa"/>
            <w:vAlign w:val="bottom"/>
            <w:tcBorders>
              <w:bottom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0"/>
                <w:szCs w:val="20"/>
                <w:color w:val="0000EE"/>
                <w:w w:val="98"/>
              </w:rPr>
              <w:t>Form 5500, Schedule H, Part IV, Line 4i — Schedule of Assets (Held at End of Year) as of</w:t>
            </w:r>
          </w:p>
        </w:tc>
        <w:tc>
          <w:tcPr>
            <w:tcW w:w="1140" w:type="dxa"/>
            <w:vAlign w:val="bottom"/>
            <w:gridSpan w:val="3"/>
          </w:tcPr>
          <w:p>
            <w:pPr>
              <w:spacing w:after="0"/>
              <w:rPr>
                <w:sz w:val="19"/>
                <w:szCs w:val="19"/>
                <w:color w:val="auto"/>
              </w:rPr>
            </w:pPr>
          </w:p>
        </w:tc>
        <w:tc>
          <w:tcPr>
            <w:tcW w:w="6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0000FF"/>
              </w:rPr>
              <w:t>10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340" w:type="dxa"/>
            <w:vAlign w:val="bottom"/>
            <w:gridSpan w:val="14"/>
          </w:tcPr>
          <w:p>
            <w:pPr>
              <w:spacing w:after="0" w:line="209" w:lineRule="exact"/>
              <w:rPr>
                <w:sz w:val="20"/>
                <w:szCs w:val="20"/>
                <w:color w:val="auto"/>
              </w:rPr>
            </w:pPr>
            <w:r>
              <w:rPr>
                <w:rFonts w:ascii="Times New Roman" w:cs="Times New Roman" w:eastAsia="Times New Roman" w:hAnsi="Times New Roman"/>
                <w:sz w:val="20"/>
                <w:szCs w:val="20"/>
                <w:color w:val="0000EE"/>
              </w:rPr>
              <w:t>December 31, 2025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60" w:type="dxa"/>
            <w:vAlign w:val="bottom"/>
            <w:gridSpan w:val="15"/>
          </w:tcPr>
          <w:p>
            <w:pPr>
              <w:spacing w:after="0"/>
              <w:rPr>
                <w:sz w:val="20"/>
                <w:szCs w:val="20"/>
                <w:color w:val="auto"/>
              </w:rPr>
            </w:pPr>
            <w:r>
              <w:rPr>
                <w:rFonts w:ascii="Times New Roman" w:cs="Times New Roman" w:eastAsia="Times New Roman" w:hAnsi="Times New Roman"/>
                <w:sz w:val="20"/>
                <w:szCs w:val="20"/>
                <w:color w:val="0000EE"/>
              </w:rPr>
              <w:t>EXHIBIT INDEX:</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12</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12</w:t>
            </w:r>
          </w:p>
        </w:tc>
        <w:tc>
          <w:tcPr>
            <w:tcW w:w="0" w:type="dxa"/>
            <w:vAlign w:val="bottom"/>
          </w:tcPr>
          <w:p>
            <w:pPr>
              <w:spacing w:after="0" w:line="20" w:lineRule="exact"/>
              <w:rPr>
                <w:sz w:val="1"/>
                <w:szCs w:val="1"/>
                <w:color w:val="auto"/>
              </w:rPr>
            </w:pPr>
          </w:p>
        </w:tc>
      </w:tr>
      <w:tr>
        <w:trPr>
          <w:trHeight w:val="209"/>
        </w:trPr>
        <w:tc>
          <w:tcPr>
            <w:tcW w:w="84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EE"/>
              </w:rPr>
              <w:t>Exhibit 23.1 - Consent of Independent Registered Public Accounting Firm</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0"/>
                <w:szCs w:val="20"/>
                <w:color w:val="0000EE"/>
              </w:rPr>
              <w:t>SIGNATURES:</w:t>
            </w:r>
          </w:p>
        </w:tc>
        <w:tc>
          <w:tcPr>
            <w:tcW w:w="258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803275</wp:posOffset>
            </wp:positionV>
            <wp:extent cx="588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Participants and Plan Administrator of Merit Medical Systems, Inc. 401(k) Profit Sharing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Merit Medical Systems, Inc. 401(k) Profit Sharing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on Supplemental Schedules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supplemental Schedule of Assets (held at end of year) as of December 31, 2025 and Schedule of Delinquent Participant Contributions for the year ended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auditor of the Plan since 2003.</w:t>
      </w:r>
    </w:p>
    <w:p>
      <w:pPr>
        <w:sectPr>
          <w:pgSz w:w="11900" w:h="16838" w:orient="portrait"/>
          <w:cols w:equalWidth="0" w:num="1">
            <w:col w:w="9240"/>
          </w:cols>
          <w:pgMar w:left="1320" w:top="26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0"/>
        <w:spacing w:after="0" w:line="256" w:lineRule="auto"/>
        <w:rPr>
          <w:sz w:val="20"/>
          <w:szCs w:val="20"/>
          <w:color w:val="auto"/>
        </w:rPr>
      </w:pPr>
      <w:r>
        <w:rPr>
          <w:rFonts w:ascii="Times New Roman" w:cs="Times New Roman" w:eastAsia="Times New Roman" w:hAnsi="Times New Roman"/>
          <w:sz w:val="20"/>
          <w:szCs w:val="20"/>
          <w:b w:val="1"/>
          <w:bCs w:val="1"/>
          <w:color w:val="auto"/>
        </w:rPr>
        <w:t>MERIT MEDICAL SYSTEMS, INC. 401(k) PROFIT SHARING PLAN STATEMENTS OF NET ASSETS AVAILABLE FOR BENEFITS AS OF DECEMBER 31, 2025 AND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23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
        </w:trPr>
        <w:tc>
          <w:tcPr>
            <w:tcW w:w="5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190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223"/>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 at fair value</w:t>
            </w: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$ 247,523,763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$ 213,599,896</w:t>
            </w:r>
          </w:p>
        </w:tc>
        <w:tc>
          <w:tcPr>
            <w:tcW w:w="60" w:type="dxa"/>
            <w:vAlign w:val="bottom"/>
          </w:tcPr>
          <w:p>
            <w:pPr>
              <w:spacing w:after="0"/>
              <w:rPr>
                <w:sz w:val="19"/>
                <w:szCs w:val="19"/>
                <w:color w:val="auto"/>
              </w:rPr>
            </w:pPr>
          </w:p>
        </w:tc>
      </w:tr>
      <w:tr>
        <w:trPr>
          <w:trHeight w:val="229"/>
        </w:trPr>
        <w:tc>
          <w:tcPr>
            <w:tcW w:w="50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3,671,695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3,202,552</w:t>
            </w:r>
          </w:p>
        </w:tc>
        <w:tc>
          <w:tcPr>
            <w:tcW w:w="60" w:type="dxa"/>
            <w:vAlign w:val="bottom"/>
          </w:tcPr>
          <w:p>
            <w:pPr>
              <w:spacing w:after="0"/>
              <w:rPr>
                <w:sz w:val="19"/>
                <w:szCs w:val="19"/>
                <w:color w:val="auto"/>
              </w:rPr>
            </w:pPr>
          </w:p>
        </w:tc>
      </w:tr>
      <w:tr>
        <w:trPr>
          <w:trHeight w:val="229"/>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303,191</w:t>
            </w:r>
          </w:p>
        </w:tc>
        <w:tc>
          <w:tcPr>
            <w:tcW w:w="60" w:type="dxa"/>
            <w:vAlign w:val="bottom"/>
          </w:tcPr>
          <w:p>
            <w:pPr>
              <w:spacing w:after="0"/>
              <w:rPr>
                <w:sz w:val="19"/>
                <w:szCs w:val="19"/>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37,317</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receivables</w:t>
            </w: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4,094,569</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3,505,743</w:t>
            </w:r>
          </w:p>
        </w:tc>
        <w:tc>
          <w:tcPr>
            <w:tcW w:w="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251,618,332</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217,105,639</w:t>
            </w:r>
          </w:p>
        </w:tc>
        <w:tc>
          <w:tcPr>
            <w:tcW w:w="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Excess contributions payable</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271,051</w:t>
            </w:r>
          </w:p>
        </w:tc>
        <w:tc>
          <w:tcPr>
            <w:tcW w:w="60" w:type="dxa"/>
            <w:vAlign w:val="bottom"/>
          </w:tcPr>
          <w:p>
            <w:pPr>
              <w:spacing w:after="0"/>
              <w:rPr>
                <w:sz w:val="19"/>
                <w:szCs w:val="19"/>
                <w:color w:val="auto"/>
              </w:rPr>
            </w:pPr>
          </w:p>
        </w:tc>
      </w:tr>
      <w:tr>
        <w:trPr>
          <w:trHeight w:val="223"/>
        </w:trPr>
        <w:tc>
          <w:tcPr>
            <w:tcW w:w="50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271,051</w:t>
            </w:r>
          </w:p>
        </w:tc>
        <w:tc>
          <w:tcPr>
            <w:tcW w:w="60" w:type="dxa"/>
            <w:vAlign w:val="bottom"/>
          </w:tcPr>
          <w:p>
            <w:pPr>
              <w:spacing w:after="0"/>
              <w:rPr>
                <w:sz w:val="19"/>
                <w:szCs w:val="19"/>
                <w:color w:val="auto"/>
              </w:rPr>
            </w:pPr>
          </w:p>
        </w:tc>
      </w:tr>
      <w:tr>
        <w:trPr>
          <w:trHeight w:val="223"/>
        </w:trPr>
        <w:tc>
          <w:tcPr>
            <w:tcW w:w="50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80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$ 251,352,830</w:t>
            </w:r>
          </w:p>
        </w:tc>
        <w:tc>
          <w:tcPr>
            <w:tcW w:w="20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$ 216,834,588</w:t>
            </w:r>
          </w:p>
        </w:tc>
        <w:tc>
          <w:tcPr>
            <w:tcW w:w="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300"/>
          </w:cols>
          <w:pgMar w:left="1320" w:top="265" w:right="1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b w:val="1"/>
          <w:bCs w:val="1"/>
          <w:color w:val="auto"/>
        </w:rPr>
        <w:t>MERIT MEDICAL SYSTEMS, INC. 401(k) PROFIT SHARING PLAN STATEMENT OF CHANGES IN NET ASSETS AVAILABLE FOR BENEFITS FOR THE YEAR ENDED DECEMBER 31,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87184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Contributions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Participant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contributions</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87184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and dividends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87184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8718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87184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58718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Benefits paid to participants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8718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87184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End of year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0" w:hanging="7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5,320,207</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15,159,282</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4,638,619</w:t>
      </w:r>
    </w:p>
    <w:p>
      <w:pPr>
        <w:spacing w:after="0" w:line="3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25,118,108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9772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21,623,635</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1,802,962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977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23,426,597</w:t>
      </w:r>
    </w:p>
    <w:p>
      <w:pPr>
        <w:spacing w:after="0" w:line="2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288,796</w:t>
      </w:r>
    </w:p>
    <w:p>
      <w:pPr>
        <w:spacing w:after="0" w:line="2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48,833,501</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(14,110,621)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(204,638)</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(14,315,259)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9772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34,518,242</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216,834,588</w:t>
      </w:r>
    </w:p>
    <w:p>
      <w:pPr>
        <w:spacing w:after="0" w:line="36" w:lineRule="exact"/>
        <w:rPr>
          <w:sz w:val="20"/>
          <w:szCs w:val="20"/>
          <w:color w:val="auto"/>
        </w:rPr>
      </w:pPr>
    </w:p>
    <w:p>
      <w:pPr>
        <w:ind w:left="600" w:hanging="593"/>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251,352,830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9772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ectPr>
          <w:pgSz w:w="11900" w:h="16838" w:orient="portrait"/>
          <w:cols w:equalWidth="0" w:num="2">
            <w:col w:w="6980" w:space="720"/>
            <w:col w:w="1540"/>
          </w:cols>
          <w:pgMar w:left="1320" w:top="265"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140"/>
        <w:spacing w:after="0" w:line="253" w:lineRule="auto"/>
        <w:rPr>
          <w:sz w:val="20"/>
          <w:szCs w:val="20"/>
          <w:color w:val="auto"/>
        </w:rPr>
      </w:pPr>
      <w:r>
        <w:rPr>
          <w:rFonts w:ascii="Times New Roman" w:cs="Times New Roman" w:eastAsia="Times New Roman" w:hAnsi="Times New Roman"/>
          <w:sz w:val="20"/>
          <w:szCs w:val="20"/>
          <w:b w:val="1"/>
          <w:bCs w:val="1"/>
          <w:color w:val="auto"/>
        </w:rPr>
        <w:t>MERIT MEDICAL SYSTEMS, INC. 401(k) PROFIT SHARING PLAN NOTES TO FINANCIAL STATEMENTS</w:t>
      </w:r>
    </w:p>
    <w:p>
      <w:pPr>
        <w:ind w:right="1100"/>
        <w:spacing w:after="0" w:line="425" w:lineRule="auto"/>
        <w:rPr>
          <w:sz w:val="20"/>
          <w:szCs w:val="20"/>
          <w:color w:val="auto"/>
        </w:rPr>
      </w:pPr>
      <w:r>
        <w:rPr>
          <w:rFonts w:ascii="Times New Roman" w:cs="Times New Roman" w:eastAsia="Times New Roman" w:hAnsi="Times New Roman"/>
          <w:sz w:val="20"/>
          <w:szCs w:val="20"/>
          <w:b w:val="1"/>
          <w:bCs w:val="1"/>
          <w:color w:val="auto"/>
        </w:rPr>
        <w:t>AS OF DECEMBER 31, 2025 AND 2024 AND FOR THE YEAR ENDED DECEMBER 31, 2025 1. DESCRIPTION OF THE PLAN</w:t>
      </w:r>
    </w:p>
    <w:p>
      <w:pPr>
        <w:jc w:val="both"/>
        <w:spacing w:after="0" w:line="295" w:lineRule="auto"/>
        <w:rPr>
          <w:sz w:val="20"/>
          <w:szCs w:val="20"/>
          <w:color w:val="auto"/>
        </w:rPr>
      </w:pPr>
      <w:r>
        <w:rPr>
          <w:rFonts w:ascii="Times New Roman" w:cs="Times New Roman" w:eastAsia="Times New Roman" w:hAnsi="Times New Roman"/>
          <w:sz w:val="19"/>
          <w:szCs w:val="19"/>
          <w:color w:val="auto"/>
        </w:rPr>
        <w:t>The following description of the Merit Medical Systems, Inc. 401(k) Profit Sharing Plan (the “Plan”) is provided for general information purposes only. Reference should be made to the Plan document for more complete information.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is a defined contribution plan covering substantially all employees in the United States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completed 90 days of service for Merit Medical Systems, Inc. (the “Company”). The Board of Directors of the Company has appointed the 401(k) Plan Administration and Investment Committee to control and manage the operation and administration of the Plan. Fidelity Management Trust Company serves as the trustee of the Plan.</w:t>
      </w:r>
    </w:p>
    <w:p>
      <w:pPr>
        <w:spacing w:after="0" w:line="1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Plan is subject to the provisions of the Employee Retirement Income Security Act of 1974, as amended (“ERISA”).</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Contributions — </w:t>
      </w:r>
      <w:r>
        <w:rPr>
          <w:rFonts w:ascii="Times New Roman" w:cs="Times New Roman" w:eastAsia="Times New Roman" w:hAnsi="Times New Roman"/>
          <w:sz w:val="20"/>
          <w:szCs w:val="20"/>
          <w:color w:val="auto"/>
        </w:rPr>
        <w:t>Each year, participants may contribute up to 100% of their eligible compensation,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through pre-tax payroll deductions and may make Roth (after-tax) elective deferrals to the Plan, subject to certain limitations under the Internal Revenue Code ("IRC"). The Company may elect to make discretionary matching contributions to the plan. During the year ended December 31, 2025, the Company made matching contributions to the plan, equal to 60% of the first 5% of total compensation that a participant contributed to the Plan. The match is calculated and funded on a per pay period basis with a year-end "true up" for annual compensation, if necessary.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Individual accounts are maintained for each Plan participant. Each participant’s account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credited with the participant’s contributions, the Company’s matching contributions, and Plan earnings, and is charged with withdrawals and an allocation of Plan losses and expenses. Allocations are based on participant earnings or account balances, as defined. The benefit to which a participant is entitled is the benefit that can be provided from the participant’s vested account.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color w:val="auto"/>
        </w:rPr>
        <w:t>— Participants direct the investment of their contributions and Company matching contributions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various investment options offered by the Plan and may change investments and transfer amounts between funds daily. The Plan offers fund options with registered investment companies, common-collective trust funds, a stable value fund, shares of the Company's stock, and a participant-directed brokerage account feature. Participants may direct their investments through a trustee-sponsored brokerage account, which offers a variety of mutual funds and the option to invest in individual stocks.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Participants are vested immediately in their contributions, plus actual earnings thereon. Vesting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contribution portion of their accounts is based on years of continuous service. A participant vests 20% per year of credited service and is 100% vested after five years of credited service.</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Participants may borrow from their accounts up to a maximum of $50,000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50% of their vested account balance, whichever is less. The loans are secured by the balance in the participant’s account and bear interest at rates commensurate with local prevailing rates at the time funds are borrowed as determined by the Plan administrator. Principal and interest are paid on a ratable basis through payroll deductions. Loans outstanding to participants as of December 31, 2025 will mature at various dates through 2032 with interest rates ranging from 4.25% to 9.5%.</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On termination of service due to death, disability or retirement, a participant may elect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distributions equal to of the value of the participant’s vested interest in his or her account as a lump-sum amount or installment payments. For termination of service for other reasons, a participant may receive the value of the vested interest in his or her account as a lump-sum distribution.</w:t>
      </w:r>
    </w:p>
    <w:p>
      <w:pPr>
        <w:sectPr>
          <w:pgSz w:w="11900" w:h="16838" w:orient="portrait"/>
          <w:cols w:equalWidth="0" w:num="1">
            <w:col w:w="9240"/>
          </w:cols>
          <w:pgMar w:left="1320" w:top="265" w:right="1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Hardship distributions, subject to a $500 minimum, may also be allowed from the participant deferral contribution balance for purchasing a primary residence, financing higher education, paying for necessary medical care, or alleviating certain other financial hardships.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Forfeited Accounts </w:t>
      </w:r>
      <w:r>
        <w:rPr>
          <w:rFonts w:ascii="Times New Roman" w:cs="Times New Roman" w:eastAsia="Times New Roman" w:hAnsi="Times New Roman"/>
          <w:sz w:val="20"/>
          <w:szCs w:val="20"/>
          <w:color w:val="auto"/>
        </w:rPr>
        <w:t>— When certain terminations of participation in the Plan occur, the nonvested portion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account, as defined by the Plan, represents a forfeiture. As of December 31, 2025 and 2024, forfeited non-vested accounts totaled $65,142 and $74,094, respectively. Forfeitures of participants’ non-vested accounts are used to pay Plan expenses or to reduce future Company matching contributions. During 2025, forfeited nonvested accounts were used by the Plan Administrator to fund Company matching contributions of $281,278 and to fund administrative expenses of $126,684.</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Rollovers — </w:t>
      </w:r>
      <w:r>
        <w:rPr>
          <w:rFonts w:ascii="Times New Roman" w:cs="Times New Roman" w:eastAsia="Times New Roman" w:hAnsi="Times New Roman"/>
          <w:sz w:val="20"/>
          <w:szCs w:val="20"/>
          <w:color w:val="auto"/>
        </w:rPr>
        <w:t>Participants may elect to transfer part or all of an eligible rollover distribution received from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employer-sponsored retirement plan or individual retirement account into the Plan. The Plan accepts transfers of amounts attributable to both pre-tax and Roth contributions.</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The Plan is sponsored by the Company, and certain administrative expenses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are paid by the Company as provided in the Plan document.</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on the accrual basis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accounting principles generally accepted in the United States of America ("GAAP").</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GAAP requires Plan management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make estimates and assumptions that affect the reported amounts of net assets available for benefits and changes therein. Actual results could differ from those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Risk and Uncertainties </w:t>
      </w:r>
      <w:r>
        <w:rPr>
          <w:rFonts w:ascii="Times New Roman" w:cs="Times New Roman" w:eastAsia="Times New Roman" w:hAnsi="Times New Roman"/>
          <w:sz w:val="20"/>
          <w:szCs w:val="20"/>
          <w:color w:val="auto"/>
        </w:rPr>
        <w:t>— The Plan utilizes various investment instruments. Investment securities, in general,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exposed to various risks, such as interest rate risk, credit risk,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Included in investments at December 31, 2025 and 2024 are shares of the Company’s common stock with a fair value of $42,224,320 and $47,972,130, respectively, held by the Plan within participant accounts. This investment represents 17.1% and 22.5% of total investments at December 31, 2025 and 2024, respectively. A significant decline in the market value of the Company’s stock would significantly affect the net assets available for benefits.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Employee contributions and the related employer matching contributions are recognized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period in which employee contributions are withheld from compensation. Employee contributions and the related employer matching contributions withheld during the Plan year but not yet paid until after the Plan year ended are accrued and recorded as contributions receivable on the statements of net assets available for benefits.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Benefit payments to participants are recorded upon distribution. There were no amounts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allocated to accounts of former participants who elected to withdraw from the Plan but had not been paid at December 31, 2025 and 2024.</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Excess Contributions Payable </w:t>
      </w:r>
      <w:r>
        <w:rPr>
          <w:rFonts w:ascii="Times New Roman" w:cs="Times New Roman" w:eastAsia="Times New Roman" w:hAnsi="Times New Roman"/>
          <w:sz w:val="20"/>
          <w:szCs w:val="20"/>
          <w:color w:val="auto"/>
        </w:rPr>
        <w:t>— The Plan is required to return contributions received during the Plan year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excess of IRC limits. As of December 31, 2025 and 2024, the total excess contribution payable was $265,502 and $271,051, respectively.</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Valuation and Income Recognition </w:t>
      </w:r>
      <w:r>
        <w:rPr>
          <w:rFonts w:ascii="Times New Roman" w:cs="Times New Roman" w:eastAsia="Times New Roman" w:hAnsi="Times New Roman"/>
          <w:sz w:val="20"/>
          <w:szCs w:val="20"/>
          <w:color w:val="auto"/>
        </w:rPr>
        <w:t>— The Plan’s investments are stated at fair value. Fair value is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 that would be received to sell an asset or paid to transfer a liability in an orderly transaction between market participants at the measurement date.</w:t>
      </w:r>
    </w:p>
    <w:p>
      <w:pPr>
        <w:sectPr>
          <w:pgSz w:w="11900" w:h="16838" w:orient="portrait"/>
          <w:cols w:equalWidth="0" w:num="1">
            <w:col w:w="9240"/>
          </w:cols>
          <w:pgMar w:left="1320" w:top="265" w:right="1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Management fees and operating expenses charged to the Plan for investments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mutual funds, common-collective trust funds and the stable value fund are deducted from income earned on a daily basis and are not separately reflected. Consequently, management fees and operating expenses are reflected as a reduction of investment return for such investments. Certain indirect administrative expenses are paid by the Company and are excluded from these financial statements. Expenses paid by the Plan include legal, accounting, trustee, recordkeeping, and other administrative fees and expenses associated with maintaining the Plan and are shown on the Statement of Changes in Net Assets Available for Benefits.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has a revenue-sharing agreement whereby certain investment managers return a portion of the investment fees to the recordkeeper to offset the Plan’s administrative expenses. Future Plan expenses can be paid from any excess remaining revenue sharing amounts. For the year ended December 31, 2025, $12,350 was used to offset Plan expenses. The Plan held undistributed administrative revenues of $19,166 and $6,586, at December 31, 2025 and 2024, respectively. Effective January 1, 2025, Participants are allocated credits from the trustee based on daily investment balances in funds, as established by the trustee.</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Notes receivable from plan participants are measured at their unpaid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balance plus any accrued but unpaid interest. Delinquent participant loans are recorded as distributions based on the terms of the Plan document.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fair values of investments are classified based on the lowest level of any input that is significant to the fair value measurement. The Plan used the following methods to determine fair value for purposes of the accompanying financial statements:</w:t>
      </w:r>
    </w:p>
    <w:p>
      <w:pPr>
        <w:spacing w:after="0" w:line="60"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Level 1 — Quoted prices (unadjusted) in active markets for identical assets or liabilities that the Plan has the ability to access on the report date.</w:t>
      </w:r>
    </w:p>
    <w:p>
      <w:pPr>
        <w:spacing w:after="0" w:line="6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Level 2 — Inputs (such as financial matrices, models, valuation techniques), other than quoted market prices included in Level 1, that are observable for the asset or liability, either directly or indirectly. If the asset or liability has a specified (contractual) term, a Level 2 input must be observable for substantially the full term of the asset or liability.</w:t>
      </w:r>
    </w:p>
    <w:p>
      <w:pPr>
        <w:spacing w:after="0" w:line="7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Level 3 — Inputs (such as professional appraisals, quoted prices from inactive markets that require adjustment based on significant assumptions or data that is not current, data from independent sources) that are unobservable for the asset or liability.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Asset Valuation Techniques </w:t>
      </w:r>
      <w:r>
        <w:rPr>
          <w:rFonts w:ascii="Times New Roman" w:cs="Times New Roman" w:eastAsia="Times New Roman" w:hAnsi="Times New Roman"/>
          <w:sz w:val="20"/>
          <w:szCs w:val="20"/>
          <w:color w:val="auto"/>
        </w:rPr>
        <w:t>— The methods described may produce a fair value calculation that may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Valuation techniques maximize the use of relevant observable inputs and minimize the use of unobservable inputs.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Interest-Bearing Cash </w:t>
      </w:r>
      <w:r>
        <w:rPr>
          <w:rFonts w:ascii="Times New Roman" w:cs="Times New Roman" w:eastAsia="Times New Roman" w:hAnsi="Times New Roman"/>
          <w:sz w:val="20"/>
          <w:szCs w:val="20"/>
          <w:color w:val="auto"/>
        </w:rPr>
        <w:t>— Held primarily in short-term money market accounts, which are valued at cost plus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accrued interest.</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Valued at the daily closing price as reported by the fund. Mutual funds held by the Plan are open-ended mutual funds that are registered with the Securities and Exchange Commission. These funds are required to</w:t>
      </w:r>
    </w:p>
    <w:p>
      <w:pPr>
        <w:sectPr>
          <w:pgSz w:w="11900" w:h="16838" w:orient="portrait"/>
          <w:cols w:equalWidth="0" w:num="1">
            <w:col w:w="9240"/>
          </w:cols>
          <w:pgMar w:left="1320" w:top="265" w:right="1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publish their daily net asset value and to transact at that price. The mutual funds held by the Plan are deemed to be actively traded.</w:t>
      </w:r>
    </w:p>
    <w:p>
      <w:pPr>
        <w:spacing w:after="0" w:line="12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Common Stocks </w:t>
      </w:r>
      <w:r>
        <w:rPr>
          <w:rFonts w:ascii="Times New Roman" w:cs="Times New Roman" w:eastAsia="Times New Roman" w:hAnsi="Times New Roman"/>
          <w:sz w:val="20"/>
          <w:szCs w:val="20"/>
          <w:color w:val="auto"/>
        </w:rPr>
        <w:t>— Valued at the closing price reported on the active market on which the individual securities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Self-directed Brokerage Accounts </w:t>
      </w:r>
      <w:r>
        <w:rPr>
          <w:rFonts w:ascii="Times New Roman" w:cs="Times New Roman" w:eastAsia="Times New Roman" w:hAnsi="Times New Roman"/>
          <w:sz w:val="20"/>
          <w:szCs w:val="20"/>
          <w:color w:val="auto"/>
        </w:rPr>
        <w:t>— Underlying investments consist of common stocks and mutual funds.</w:t>
      </w:r>
    </w:p>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Common-collective Trust Funds </w:t>
      </w:r>
      <w:r>
        <w:rPr>
          <w:rFonts w:ascii="Times New Roman" w:cs="Times New Roman" w:eastAsia="Times New Roman" w:hAnsi="Times New Roman"/>
          <w:sz w:val="20"/>
          <w:szCs w:val="20"/>
          <w:color w:val="auto"/>
        </w:rPr>
        <w:t>— Valued at the net asset value of units of a bank collective trust. The net asset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as provided by the trustee is used as a practical expedient to estimate fair value. The net asset value is based on the fair value of the underlying investments held by the fund less its liabilities. This practical expedient is not used when it is determined to be probable that the fund will sell the investment for an amount different than the reported net asset value. Participant transactions (purchases and sales) may occur daily. Were the Plan to initiate a full redemption of the collective trust, the investment advisor reserves the right to temporarily delay withdrawal from the trust in order to confirm that securities liquidations will be carried out in an orderly business manner.</w:t>
      </w:r>
    </w:p>
    <w:p>
      <w:pPr>
        <w:spacing w:after="0" w:line="15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Stable Value Fund </w:t>
      </w:r>
      <w:r>
        <w:rPr>
          <w:rFonts w:ascii="Times New Roman" w:cs="Times New Roman" w:eastAsia="Times New Roman" w:hAnsi="Times New Roman"/>
          <w:sz w:val="20"/>
          <w:szCs w:val="20"/>
          <w:color w:val="auto"/>
        </w:rPr>
        <w:t>— The Morley Stable Value Fund is a collective trust fund offered by the Principal Global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Investors Trust Company whose objective is to provide preservation of capital, relatively stable returns consistent with its comparatively low risk profile and liquidity for benefit responsive payments. The fund is composed primarily of fully benefit-responsive investment contracts and is valued at the net asset value of units of the bank collective trust. The net asset value is used as a practical expedient to estimate fair value. This practical expedient would not be used if it is determined to be probable that the fund will sell the investment for an amount different from the reported net asset value. Participant transactions (purchases and sales) may occur daily. If the Plan initiates a full redemption of the collective trust, the issuer reserves the right to require 12 months’ notification in order to confirm that securities liquidations will be carried out in an orderly business manner.</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provides the amount and corresponding level of hierarchy for the Plan’s investments that were measured at fair value on a recurring basis as of 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9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cash</w:t>
            </w: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72,968,341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72,968,341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8,605,447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8,605,447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Merit Medical Systems, Inc. common stock</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42,224,320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42,224,320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123,800,951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123,800,951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121,165,003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Stable value fund</w:t>
            </w: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2,557,809</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 at fair value</w:t>
            </w: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247,523,763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the amount and corresponding level of hierarchy for the Plan’s investments that were measured at fair value on a recurring basis as of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cash</w:t>
            </w:r>
          </w:p>
        </w:tc>
        <w:tc>
          <w:tcPr>
            <w:tcW w:w="8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109,564,402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109,564,402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6,706,231</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Merit Medical Systems, Inc. common stock</w:t>
            </w: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47,972,130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47,972,130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164,245,727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164,245,727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46,868,757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Stable value fund</w:t>
            </w: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2,485,412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 at fair value</w:t>
            </w: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213,599,896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265" w:right="1319" w:bottom="1440" w:gutter="0" w:footer="0" w:header="0"/>
        </w:sectPr>
      </w:pP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265" w:right="1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RELATED PARTY AND PARTY-IN-INTEREST TRANSACTIONS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Exempt Transactions — </w:t>
      </w:r>
      <w:r>
        <w:rPr>
          <w:rFonts w:ascii="Times New Roman" w:cs="Times New Roman" w:eastAsia="Times New Roman" w:hAnsi="Times New Roman"/>
          <w:sz w:val="20"/>
          <w:szCs w:val="20"/>
          <w:color w:val="auto"/>
        </w:rPr>
        <w:t>The Plan allows for transactions with certain parties who may perform services or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fiduciary responsibilities to the Plan, including the Company. Certain plan investments are shares of various mutual funds or money market accounts that are owned and managed by Fidelity Management Trust Company, who has been designated as investment custodian to the Plan. Certain Plan investments are shares of the Company's common stock. The Plan also issues loans to participants, which are secured by the vested balances in the participants’ accounts. Therefore, these transactions qualify as exempt party-in-interest transactions.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December 31, 2025 and 2024, the Plan held within participant accounts 479,060 and 495,990 shares, respectively, of the Company’s common stock, with a fair value of $42,224,320 and $47,972,130, respectively, and with a cost basis of $23,386,636 and $23,456,293, respectively. During the year ended December 31, 2025 purchases of shares by the Plan totaled $1,547,254 and sales of shares by the Plan totaled $3,189,279.</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revenues arise when investment managers return a portion of the investment fees to Fidelity Management Trust Company to offset the administrative expenses. Any excess resulting from this revenue sharing remains in an unallocated account from which future Plan expenses can be paid. During 2025, $12,350 was used to offset Plan expenses paid from this unallocated account. The Plan held undistributed administrative revenues of $19,166 and $6,586 at December 31, 2025 and 2024, respectively.</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Nonexempt Transactions — </w:t>
      </w:r>
      <w:r>
        <w:rPr>
          <w:rFonts w:ascii="Times New Roman" w:cs="Times New Roman" w:eastAsia="Times New Roman" w:hAnsi="Times New Roman"/>
          <w:sz w:val="20"/>
          <w:szCs w:val="20"/>
          <w:color w:val="auto"/>
        </w:rPr>
        <w:t>During 2025, the Company remitted $814,106 in participant contributions to Fidelity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Trust Company later than required under Department of Labor Regulation 2510.3-102. To remediate late remittance, the Company is in the process of calculating lost earnings related to the late remittances of participant contributions to be deposited into participant accounts. Additionally, the Company is in the process of filing IRS Form 5330 and remitting the related excise taxes. There were no late contributions during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PLAN TERMINATION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Although it has not expressed any intention to do so, the Company has the right under the Plan to discontinue its contributions at any time and to terminate the Plan subject to the provisions set forth in ERISA. In the event that the Plan is terminated, participants would become 100% vested in their accounts.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FEDERAL INCOME TAX STATUS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Effective January 1, 2016, the Plan was amended and restated through the adoption of an IRS pre-approved volume submitter plan document package that is covered by a favorable IRS advisory letter, dated June 30, 2020, in which the IRS determined that the form of the volume submitter document package later adopted by the Company met the applicable tax-qualification requirements. The Plan administrator believes that the Plan is currently designed and operated in compliance with the applicable requirements of the IRC and the Plan and related trust continue to be tax-exempt.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SCHEDULES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MERIT MEDICAL SYSTEMS, INC. 401(k) PROFIT SHARING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EMPLOYER ID NO: 87-0447695 PLAN NO: 001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5500, SCHEDULE H, PART IV, LINE 4a — SCHEDULE OF DELINQUENT PARTICIPANT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CONTRIBUTIONS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20" w:type="dxa"/>
            <w:vAlign w:val="bottom"/>
            <w:gridSpan w:val="9"/>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Total that Constitute Nonexempt Prohibited Transactions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6"/>
        </w:trPr>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Check here if Late</w:t>
            </w:r>
          </w:p>
        </w:tc>
        <w:tc>
          <w:tcPr>
            <w:tcW w:w="14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Total Fully</w:t>
            </w:r>
          </w:p>
        </w:tc>
      </w:tr>
      <w:tr>
        <w:trPr>
          <w:trHeight w:val="203"/>
        </w:trPr>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Participant Loan</w:t>
            </w: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Pending</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Corrected Under</w:t>
            </w:r>
          </w:p>
        </w:tc>
      </w:t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Repayments are</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Transferred Late</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Contributions Not</w:t>
            </w: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Corrected Outside</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Correction in</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VFCP and PTE</w:t>
            </w:r>
          </w:p>
        </w:tc>
      </w:tr>
      <w:tr>
        <w:trPr>
          <w:trHeight w:val="229"/>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 Year</w:t>
            </w: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included:</w:t>
            </w:r>
          </w:p>
        </w:tc>
        <w:tc>
          <w:tcPr>
            <w:tcW w:w="14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 the Plan</w:t>
            </w:r>
          </w:p>
        </w:tc>
        <w:tc>
          <w:tcPr>
            <w:tcW w:w="2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Corrected</w:t>
            </w:r>
          </w:p>
        </w:tc>
        <w:tc>
          <w:tcPr>
            <w:tcW w:w="2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VFCP</w:t>
            </w:r>
          </w:p>
        </w:tc>
        <w:tc>
          <w:tcPr>
            <w:tcW w:w="1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VFCP</w:t>
            </w:r>
          </w:p>
        </w:tc>
        <w:tc>
          <w:tcPr>
            <w:tcW w:w="180" w:type="dxa"/>
            <w:vAlign w:val="bottom"/>
          </w:tcPr>
          <w:p>
            <w:pPr>
              <w:spacing w:after="0"/>
              <w:rPr>
                <w:sz w:val="19"/>
                <w:szCs w:val="19"/>
                <w:color w:val="auto"/>
              </w:rPr>
            </w:pPr>
          </w:p>
        </w:tc>
        <w:tc>
          <w:tcPr>
            <w:tcW w:w="104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2002-51</w:t>
            </w:r>
          </w:p>
        </w:tc>
      </w:tr>
      <w:tr>
        <w:trPr>
          <w:trHeight w:val="226"/>
        </w:trPr>
        <w:tc>
          <w:tcPr>
            <w:tcW w:w="94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814,106</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814,106</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0"/>
          <w:szCs w:val="20"/>
          <w:b w:val="1"/>
          <w:bCs w:val="1"/>
          <w:color w:val="auto"/>
        </w:rPr>
        <w:t>MERIT MEDICAL SYSTEMS, INC. 401(k) PROFIT SHARING PLAN</w:t>
      </w:r>
    </w:p>
    <w:p>
      <w:pPr>
        <w:spacing w:after="0" w:line="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0"/>
          <w:szCs w:val="20"/>
          <w:b w:val="1"/>
          <w:bCs w:val="1"/>
          <w:color w:val="auto"/>
        </w:rPr>
        <w:t>EMPLOYER ID NO: 87-0447695 PLAN NO: 001</w:t>
      </w:r>
    </w:p>
    <w:p>
      <w:pPr>
        <w:jc w:val="center"/>
        <w:ind w:right="940"/>
        <w:spacing w:after="0"/>
        <w:rPr>
          <w:sz w:val="20"/>
          <w:szCs w:val="20"/>
          <w:color w:val="auto"/>
        </w:rPr>
      </w:pPr>
      <w:r>
        <w:rPr>
          <w:rFonts w:ascii="Times New Roman" w:cs="Times New Roman" w:eastAsia="Times New Roman" w:hAnsi="Times New Roman"/>
          <w:sz w:val="20"/>
          <w:szCs w:val="20"/>
          <w:b w:val="1"/>
          <w:bCs w:val="1"/>
          <w:color w:val="auto"/>
        </w:rPr>
        <w:t>FORM 5500, SCHEDULE H, PART IV, LINE 4i — SCHEDULE OF ASSETS (HELD AT END OF YEAR)</w:t>
      </w:r>
    </w:p>
    <w:p>
      <w:pPr>
        <w:spacing w:after="0" w:line="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AS OF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Identity of Issue, Borrower,</w:t>
            </w:r>
          </w:p>
        </w:tc>
        <w:tc>
          <w:tcPr>
            <w:tcW w:w="452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452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CostCurrent Value</w:t>
            </w:r>
          </w:p>
        </w:tc>
      </w:tr>
      <w:tr>
        <w:trPr>
          <w:trHeight w:val="33"/>
        </w:trPr>
        <w:tc>
          <w:tcPr>
            <w:tcW w:w="8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Cash Reserves</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Bearing Cash Funds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29"/>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Cohen &amp; Steers Realty Shares</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1,328,845</w:t>
            </w:r>
          </w:p>
        </w:tc>
      </w:tr>
      <w:tr>
        <w:trPr>
          <w:trHeight w:val="229"/>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Dodge &amp; Cox Income Fund Class I</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4,859,779</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Emerging Markets Fund</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1,585,515</w:t>
            </w: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Emerging Markets Index</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1,258,139</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Government Money Market</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Inflation Protected Bond Index</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1,085,081</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International Index</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2,591,632</w:t>
            </w: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Mid Cap Index</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3,392,127</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Money Market</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4,618,631</w:t>
            </w: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Small Cap Index</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2,889,726</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Spartan 500 Index</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32,204,494</w:t>
            </w:r>
          </w:p>
        </w:tc>
      </w:tr>
      <w:tr>
        <w:trPr>
          <w:trHeight w:val="229"/>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Janus Triton N</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2,216,712</w:t>
            </w:r>
          </w:p>
        </w:tc>
      </w:tr>
      <w:tr>
        <w:trPr>
          <w:trHeight w:val="229"/>
        </w:trPr>
        <w:tc>
          <w:tcPr>
            <w:tcW w:w="8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Massachussets Financial Services Mid Cap Value Fund; Class R4Registered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2,766,290</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Oakmark Fund; Class 1</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6,274,567</w:t>
            </w:r>
          </w:p>
        </w:tc>
      </w:tr>
      <w:tr>
        <w:trPr>
          <w:trHeight w:val="229"/>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Mid Cap Growth Fund</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2,871,467</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Wasatch Small Cap Value Fund</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3,006,170</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Morley Stable Value Fund; Class 150</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Stable Value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2,557,809</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Schroder International Equity Trust; Class H1</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5,027,771</w:t>
            </w:r>
          </w:p>
        </w:tc>
      </w:tr>
      <w:tr>
        <w:trPr>
          <w:trHeight w:val="229"/>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Blue Chip Growth T2</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14,345,745</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2005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710,133</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2010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148,635</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2015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248,389</w:t>
            </w:r>
          </w:p>
        </w:tc>
      </w:tr>
      <w:tr>
        <w:trPr>
          <w:trHeight w:val="229"/>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2020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2,925,590</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2025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8,401,756</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2030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18,552,535</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2035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19,388,809</w:t>
            </w:r>
          </w:p>
        </w:tc>
      </w:tr>
      <w:tr>
        <w:trPr>
          <w:trHeight w:val="229"/>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2040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13,839,115</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2045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12,747,698</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2050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10,753,268</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2055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7,614,016</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Retirement 2060 Fund C</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4,967,411</w:t>
            </w:r>
          </w:p>
        </w:tc>
      </w:tr>
      <w:tr>
        <w:trPr>
          <w:trHeight w:val="229"/>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2065 Fund C</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1,494,132</w:t>
            </w:r>
          </w:p>
        </w:tc>
      </w:tr>
      <w:tr>
        <w:trPr>
          <w:trHeight w:val="230"/>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8,605,447</w:t>
            </w:r>
          </w:p>
        </w:tc>
      </w:tr>
      <w:tr>
        <w:trPr>
          <w:trHeight w:val="23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*Merit Medical Systems, Inc. Common Stock</w:t>
            </w:r>
          </w:p>
        </w:tc>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42,224,320</w:t>
            </w:r>
          </w:p>
        </w:tc>
      </w:tr>
      <w:tr>
        <w:trPr>
          <w:trHeight w:val="223"/>
        </w:trPr>
        <w:tc>
          <w:tcPr>
            <w:tcW w:w="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held for investment purposes</w:t>
            </w:r>
          </w:p>
        </w:tc>
        <w:tc>
          <w:tcPr>
            <w:tcW w:w="4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247,523,763</w:t>
            </w:r>
          </w:p>
        </w:tc>
      </w:tr>
      <w:tr>
        <w:trPr>
          <w:trHeight w:val="230"/>
        </w:trPr>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Interest rates of 4.25% to 9.5%, maturing through 2032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3,671,695</w:t>
            </w:r>
          </w:p>
        </w:tc>
      </w:tr>
    </w:tbl>
    <w:p>
      <w:pPr>
        <w:spacing w:after="0" w:line="30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10180"/>
          </w:cols>
          <w:pgMar w:left="1320" w:top="265"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251,195,458</w:t>
            </w: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360" w:hanging="326"/>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104" w:lineRule="exact"/>
        <w:rPr>
          <w:sz w:val="20"/>
          <w:szCs w:val="20"/>
          <w:color w:val="auto"/>
        </w:rPr>
      </w:pPr>
    </w:p>
    <w:p>
      <w:pPr>
        <w:ind w:left="360" w:hanging="326"/>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w:t>
      </w:r>
    </w:p>
    <w:p>
      <w:pPr>
        <w:spacing w:after="0" w:line="103" w:lineRule="exact"/>
        <w:rPr>
          <w:rFonts w:ascii="Times New Roman" w:cs="Times New Roman" w:eastAsia="Times New Roman" w:hAnsi="Times New Roman"/>
          <w:sz w:val="18"/>
          <w:szCs w:val="18"/>
          <w:color w:val="auto"/>
        </w:rPr>
      </w:pPr>
    </w:p>
    <w:p>
      <w:pPr>
        <w:ind w:left="360" w:hanging="326"/>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$103,637 in deemed loan distributions.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265" w:right="1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INDEX</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2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2"/>
        </w:trPr>
        <w:tc>
          <w:tcPr>
            <w:tcW w:w="13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2580" w:type="dxa"/>
            <w:vAlign w:val="bottom"/>
          </w:tcPr>
          <w:p>
            <w:pPr>
              <w:spacing w:after="0"/>
              <w:rPr>
                <w:sz w:val="18"/>
                <w:szCs w:val="18"/>
                <w:color w:val="auto"/>
              </w:rPr>
            </w:pPr>
          </w:p>
        </w:tc>
        <w:tc>
          <w:tcPr>
            <w:tcW w:w="21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66"/>
        </w:trPr>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23.1</w:t>
            </w:r>
          </w:p>
        </w:tc>
        <w:tc>
          <w:tcPr>
            <w:tcW w:w="660" w:type="dxa"/>
            <w:vAlign w:val="bottom"/>
          </w:tcPr>
          <w:p>
            <w:pPr>
              <w:spacing w:after="0"/>
              <w:rPr>
                <w:sz w:val="24"/>
                <w:szCs w:val="24"/>
                <w:color w:val="auto"/>
              </w:rPr>
            </w:pPr>
          </w:p>
        </w:tc>
        <w:tc>
          <w:tcPr>
            <w:tcW w:w="4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EE"/>
                <w:w w:val="98"/>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26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Merit Medical Systems, Inc. 401(k) Plan Administration and Investment Committee has duly caused this annual report to be signed on its behalf by the undersigned hereunto duly authorized.</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560" w:type="dxa"/>
            <w:vAlign w:val="bottom"/>
          </w:tcPr>
          <w:p>
            <w:pPr>
              <w:spacing w:after="0"/>
              <w:rPr>
                <w:sz w:val="22"/>
                <w:szCs w:val="22"/>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Merit Medical Systems, Inc.</w:t>
            </w:r>
          </w:p>
        </w:tc>
      </w:tr>
      <w:tr>
        <w:trPr>
          <w:trHeight w:val="258"/>
        </w:trPr>
        <w:tc>
          <w:tcPr>
            <w:tcW w:w="4560" w:type="dxa"/>
            <w:vAlign w:val="bottom"/>
          </w:tcPr>
          <w:p>
            <w:pPr>
              <w:spacing w:after="0"/>
              <w:rPr>
                <w:sz w:val="22"/>
                <w:szCs w:val="22"/>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401(k) Profit Sharing Plan</w:t>
            </w:r>
          </w:p>
        </w:tc>
      </w:tr>
      <w:tr>
        <w:trPr>
          <w:trHeight w:val="513"/>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Date: June 26, 2026</w:t>
            </w:r>
          </w:p>
        </w:tc>
        <w:tc>
          <w:tcPr>
            <w:tcW w:w="4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RAUL PARRA</w:t>
            </w:r>
          </w:p>
        </w:tc>
      </w:tr>
      <w:tr>
        <w:trPr>
          <w:trHeight w:val="21"/>
        </w:trPr>
        <w:tc>
          <w:tcPr>
            <w:tcW w:w="456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228"/>
        </w:trPr>
        <w:tc>
          <w:tcPr>
            <w:tcW w:w="4560" w:type="dxa"/>
            <w:vAlign w:val="bottom"/>
          </w:tcPr>
          <w:p>
            <w:pPr>
              <w:spacing w:after="0"/>
              <w:rPr>
                <w:sz w:val="19"/>
                <w:szCs w:val="19"/>
                <w:color w:val="auto"/>
              </w:rPr>
            </w:pPr>
          </w:p>
        </w:tc>
        <w:tc>
          <w:tcPr>
            <w:tcW w:w="45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Raul Parra</w:t>
            </w:r>
          </w:p>
        </w:tc>
      </w:tr>
      <w:tr>
        <w:trPr>
          <w:trHeight w:val="258"/>
        </w:trPr>
        <w:tc>
          <w:tcPr>
            <w:tcW w:w="456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88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657" w:right="1339" w:bottom="1440" w:gutter="0" w:footer="0" w:header="0"/>
        </w:sectPr>
      </w:pPr>
    </w:p>
    <w:bookmarkStart w:id="15" w:name="page16"/>
    <w:bookmarkEnd w:id="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333-206296, 333-129267 and 33-46964 on Form S-8 of our report dated June 26, 2026, relating to the financial statements and supplemental schedules of Merit Medical Systems, Inc. 401(k) Profit Sharing Plan appearing in this Annual Report on Form 11-K of Merit Medical Systems, Inc. 401(k) Profit Sharing Plan for the year ended December 31, 2025.</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2026-06-26T11:03:04Z</dcterms:created>
  <dcterms:modified xsi:type="dcterms:W3CDTF">2026-06-26T11:03:04Z</dcterms:modified>
</cp:coreProperties>
</file>