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Calibri" w:cs="Calibri" w:eastAsia="Calibri" w:hAnsi="Calibri"/>
          <w:sz w:val="17"/>
          <w:szCs w:val="17"/>
          <w:b w:val="1"/>
          <w:bCs w:val="1"/>
          <w:color w:val="auto"/>
        </w:rPr>
        <w:t>UNITED STATES SECURITIES AND EXCHANGE COMMISSION</w:t>
      </w:r>
    </w:p>
    <w:p>
      <w:pPr>
        <w:spacing w:after="0" w:line="4"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Washington, D.C. 20549</w:t>
      </w:r>
    </w:p>
    <w:p>
      <w:pPr>
        <w:spacing w:after="0" w:line="91" w:lineRule="exact"/>
        <w:rPr>
          <w:sz w:val="24"/>
          <w:szCs w:val="24"/>
          <w:color w:val="auto"/>
        </w:rPr>
      </w:pPr>
    </w:p>
    <w:p>
      <w:pPr>
        <w:jc w:val="center"/>
        <w:spacing w:after="0"/>
        <w:rPr>
          <w:sz w:val="20"/>
          <w:szCs w:val="20"/>
          <w:color w:val="auto"/>
        </w:rPr>
      </w:pPr>
      <w:r>
        <w:rPr>
          <w:rFonts w:ascii="Calibri" w:cs="Calibri" w:eastAsia="Calibri" w:hAnsi="Calibri"/>
          <w:sz w:val="25"/>
          <w:szCs w:val="25"/>
          <w:b w:val="1"/>
          <w:bCs w:val="1"/>
          <w:color w:val="auto"/>
        </w:rPr>
        <w:t>SCHEDULE 14A</w:t>
      </w:r>
    </w:p>
    <w:p>
      <w:pPr>
        <w:spacing w:after="0" w:line="100"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color w:val="auto"/>
        </w:rPr>
        <w:t>Proxy Statement Pursuant to Secton 14(a) of</w:t>
      </w:r>
    </w:p>
    <w:p>
      <w:pPr>
        <w:jc w:val="center"/>
        <w:ind w:right="-19"/>
        <w:spacing w:after="0" w:line="221" w:lineRule="auto"/>
        <w:rPr>
          <w:sz w:val="20"/>
          <w:szCs w:val="20"/>
          <w:color w:val="auto"/>
        </w:rPr>
      </w:pPr>
      <w:r>
        <w:rPr>
          <w:rFonts w:ascii="Calibri" w:cs="Calibri" w:eastAsia="Calibri" w:hAnsi="Calibri"/>
          <w:sz w:val="18"/>
          <w:szCs w:val="18"/>
          <w:color w:val="auto"/>
        </w:rPr>
        <w:t>the Securites Exchange Act of 1934 (Amendment No. XX)</w:t>
      </w:r>
    </w:p>
    <w:p>
      <w:pPr>
        <w:spacing w:after="0" w:line="64" w:lineRule="exact"/>
        <w:rPr>
          <w:sz w:val="24"/>
          <w:szCs w:val="24"/>
          <w:color w:val="auto"/>
        </w:rPr>
      </w:pPr>
    </w:p>
    <w:p>
      <w:pPr>
        <w:spacing w:after="0"/>
        <w:rPr>
          <w:sz w:val="20"/>
          <w:szCs w:val="20"/>
          <w:color w:val="auto"/>
        </w:rPr>
      </w:pPr>
      <w:r>
        <w:rPr>
          <w:rFonts w:ascii="Calibri" w:cs="Calibri" w:eastAsia="Calibri" w:hAnsi="Calibri"/>
          <w:sz w:val="18"/>
          <w:szCs w:val="18"/>
          <w:color w:val="auto"/>
        </w:rPr>
        <w:t>Filed by the Registrant [x]</w:t>
      </w:r>
    </w:p>
    <w:p>
      <w:pPr>
        <w:spacing w:after="0" w:line="104" w:lineRule="exact"/>
        <w:rPr>
          <w:sz w:val="24"/>
          <w:szCs w:val="24"/>
          <w:color w:val="auto"/>
        </w:rPr>
      </w:pPr>
    </w:p>
    <w:p>
      <w:pPr>
        <w:spacing w:after="0"/>
        <w:rPr>
          <w:sz w:val="20"/>
          <w:szCs w:val="20"/>
          <w:color w:val="auto"/>
        </w:rPr>
      </w:pPr>
      <w:r>
        <w:rPr>
          <w:rFonts w:ascii="Calibri" w:cs="Calibri" w:eastAsia="Calibri" w:hAnsi="Calibri"/>
          <w:sz w:val="18"/>
          <w:szCs w:val="18"/>
          <w:color w:val="auto"/>
        </w:rPr>
        <w:t>Filed by a Party other than the Registrant [ ]</w:t>
      </w:r>
    </w:p>
    <w:p>
      <w:pPr>
        <w:spacing w:after="0" w:line="104" w:lineRule="exact"/>
        <w:rPr>
          <w:sz w:val="24"/>
          <w:szCs w:val="24"/>
          <w:color w:val="auto"/>
        </w:rPr>
      </w:pPr>
    </w:p>
    <w:p>
      <w:pPr>
        <w:spacing w:after="0"/>
        <w:rPr>
          <w:sz w:val="20"/>
          <w:szCs w:val="20"/>
          <w:color w:val="auto"/>
        </w:rPr>
      </w:pPr>
      <w:r>
        <w:rPr>
          <w:rFonts w:ascii="Calibri" w:cs="Calibri" w:eastAsia="Calibri" w:hAnsi="Calibri"/>
          <w:sz w:val="18"/>
          <w:szCs w:val="18"/>
          <w:color w:val="auto"/>
        </w:rPr>
        <w:t>Check the appropriate box:</w:t>
      </w:r>
    </w:p>
    <w:p>
      <w:pPr>
        <w:sectPr>
          <w:pgSz w:w="11900" w:h="16838" w:orient="portrait"/>
          <w:cols w:equalWidth="0" w:num="1">
            <w:col w:w="9120"/>
          </w:cols>
          <w:pgMar w:left="1380" w:top="652" w:right="1399" w:bottom="1440" w:gutter="0" w:footer="0" w:header="0"/>
        </w:sectPr>
      </w:pPr>
    </w:p>
    <w:p>
      <w:pPr>
        <w:spacing w:after="0" w:line="104" w:lineRule="exact"/>
        <w:rPr>
          <w:sz w:val="24"/>
          <w:szCs w:val="24"/>
          <w:color w:val="auto"/>
        </w:rPr>
      </w:pPr>
    </w:p>
    <w:p>
      <w:pPr>
        <w:spacing w:after="0"/>
        <w:rPr>
          <w:sz w:val="20"/>
          <w:szCs w:val="20"/>
          <w:color w:val="auto"/>
        </w:rPr>
      </w:pPr>
      <w:r>
        <w:rPr>
          <w:rFonts w:ascii="Calibri" w:cs="Calibri" w:eastAsia="Calibri" w:hAnsi="Calibri"/>
          <w:sz w:val="18"/>
          <w:szCs w:val="18"/>
          <w:color w:val="auto"/>
        </w:rPr>
        <w:t>[ ]</w:t>
      </w:r>
    </w:p>
    <w:p>
      <w:pPr>
        <w:spacing w:after="0" w:line="235" w:lineRule="auto"/>
        <w:rPr>
          <w:sz w:val="20"/>
          <w:szCs w:val="20"/>
          <w:color w:val="auto"/>
        </w:rPr>
      </w:pPr>
      <w:r>
        <w:rPr>
          <w:rFonts w:ascii="Calibri" w:cs="Calibri" w:eastAsia="Calibri" w:hAnsi="Calibri"/>
          <w:sz w:val="18"/>
          <w:szCs w:val="18"/>
          <w:color w:val="auto"/>
        </w:rPr>
        <w:t>[ ]</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Calibri" w:cs="Calibri" w:eastAsia="Calibri" w:hAnsi="Calibri"/>
          <w:sz w:val="18"/>
          <w:szCs w:val="18"/>
          <w:color w:val="auto"/>
        </w:rPr>
        <w:t>Preliminary Proxy Statement</w:t>
      </w:r>
    </w:p>
    <w:p>
      <w:pPr>
        <w:spacing w:after="0" w:line="1" w:lineRule="exact"/>
        <w:rPr>
          <w:sz w:val="24"/>
          <w:szCs w:val="24"/>
          <w:color w:val="auto"/>
        </w:rPr>
      </w:pPr>
    </w:p>
    <w:p>
      <w:pPr>
        <w:spacing w:after="0"/>
        <w:rPr>
          <w:sz w:val="20"/>
          <w:szCs w:val="20"/>
          <w:color w:val="auto"/>
        </w:rPr>
      </w:pPr>
      <w:r>
        <w:rPr>
          <w:rFonts w:ascii="Calibri" w:cs="Calibri" w:eastAsia="Calibri" w:hAnsi="Calibri"/>
          <w:sz w:val="17"/>
          <w:szCs w:val="17"/>
          <w:color w:val="auto"/>
        </w:rPr>
        <w:t>Confdental, for Use of the Commission Only (as permited by Rule 14a-6(e)(2))</w:t>
      </w:r>
    </w:p>
    <w:p>
      <w:pPr>
        <w:spacing w:after="0" w:line="8" w:lineRule="exact"/>
        <w:rPr>
          <w:sz w:val="24"/>
          <w:szCs w:val="24"/>
          <w:color w:val="auto"/>
        </w:rPr>
      </w:pPr>
    </w:p>
    <w:p>
      <w:pPr>
        <w:sectPr>
          <w:pgSz w:w="11900" w:h="16838" w:orient="portrait"/>
          <w:cols w:equalWidth="0" w:num="2">
            <w:col w:w="200" w:space="720"/>
            <w:col w:w="8200"/>
          </w:cols>
          <w:pgMar w:left="1380" w:top="652" w:right="1399" w:bottom="1440" w:gutter="0" w:footer="0" w:header="0"/>
          <w:type w:val="continuous"/>
        </w:sectPr>
      </w:pPr>
    </w:p>
    <w:p>
      <w:pPr>
        <w:ind w:left="920" w:hanging="912"/>
        <w:spacing w:after="0"/>
        <w:tabs>
          <w:tab w:leader="none" w:pos="920" w:val="left"/>
        </w:tabs>
        <w:numPr>
          <w:ilvl w:val="0"/>
          <w:numId w:val="1"/>
        </w:numPr>
        <w:rPr>
          <w:rFonts w:ascii="Calibri" w:cs="Calibri" w:eastAsia="Calibri" w:hAnsi="Calibri"/>
          <w:sz w:val="17"/>
          <w:szCs w:val="17"/>
          <w:color w:val="auto"/>
        </w:rPr>
      </w:pPr>
      <w:r>
        <w:rPr>
          <w:rFonts w:ascii="Calibri" w:cs="Calibri" w:eastAsia="Calibri" w:hAnsi="Calibri"/>
          <w:sz w:val="17"/>
          <w:szCs w:val="17"/>
          <w:color w:val="auto"/>
        </w:rPr>
        <w:t>Defnitve Proxy Statement</w:t>
      </w:r>
    </w:p>
    <w:p>
      <w:pPr>
        <w:sectPr>
          <w:pgSz w:w="11900" w:h="16838" w:orient="portrait"/>
          <w:cols w:equalWidth="0" w:num="1">
            <w:col w:w="9120"/>
          </w:cols>
          <w:pgMar w:left="1380" w:top="652" w:right="1399"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Calibri" w:cs="Calibri" w:eastAsia="Calibri" w:hAnsi="Calibri"/>
          <w:sz w:val="18"/>
          <w:szCs w:val="18"/>
          <w:color w:val="auto"/>
        </w:rPr>
        <w:t>[ ]</w:t>
      </w:r>
    </w:p>
    <w:p>
      <w:pPr>
        <w:spacing w:after="0" w:line="235" w:lineRule="auto"/>
        <w:rPr>
          <w:sz w:val="20"/>
          <w:szCs w:val="20"/>
          <w:color w:val="auto"/>
        </w:rPr>
      </w:pPr>
      <w:r>
        <w:rPr>
          <w:rFonts w:ascii="Calibri" w:cs="Calibri" w:eastAsia="Calibri" w:hAnsi="Calibri"/>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8"/>
          <w:szCs w:val="18"/>
          <w:color w:val="auto"/>
        </w:rPr>
        <w:t>Defnitve Additonal Materials</w:t>
      </w:r>
    </w:p>
    <w:p>
      <w:pPr>
        <w:spacing w:after="0" w:line="1" w:lineRule="exact"/>
        <w:rPr>
          <w:sz w:val="24"/>
          <w:szCs w:val="24"/>
          <w:color w:val="auto"/>
        </w:rPr>
      </w:pPr>
    </w:p>
    <w:p>
      <w:pPr>
        <w:spacing w:after="0"/>
        <w:rPr>
          <w:sz w:val="20"/>
          <w:szCs w:val="20"/>
          <w:color w:val="auto"/>
        </w:rPr>
      </w:pPr>
      <w:r>
        <w:rPr>
          <w:rFonts w:ascii="Calibri" w:cs="Calibri" w:eastAsia="Calibri" w:hAnsi="Calibri"/>
          <w:sz w:val="17"/>
          <w:szCs w:val="17"/>
          <w:color w:val="auto"/>
        </w:rPr>
        <w:t>Solicitng Material under §240.14a-12</w:t>
      </w:r>
    </w:p>
    <w:p>
      <w:pPr>
        <w:spacing w:after="0" w:line="98" w:lineRule="exact"/>
        <w:rPr>
          <w:sz w:val="24"/>
          <w:szCs w:val="24"/>
          <w:color w:val="auto"/>
        </w:rPr>
      </w:pPr>
    </w:p>
    <w:p>
      <w:pPr>
        <w:sectPr>
          <w:pgSz w:w="11900" w:h="16838" w:orient="portrait"/>
          <w:cols w:equalWidth="0" w:num="2">
            <w:col w:w="200" w:space="720"/>
            <w:col w:w="8200"/>
          </w:cols>
          <w:pgMar w:left="1380" w:top="652" w:right="1399" w:bottom="1440" w:gutter="0" w:footer="0" w:header="0"/>
          <w:type w:val="continuous"/>
        </w:sectPr>
      </w:pPr>
    </w:p>
    <w:p>
      <w:pPr>
        <w:jc w:val="center"/>
        <w:spacing w:after="0"/>
        <w:rPr>
          <w:sz w:val="20"/>
          <w:szCs w:val="20"/>
          <w:color w:val="auto"/>
        </w:rPr>
      </w:pPr>
      <w:r>
        <w:rPr>
          <w:rFonts w:ascii="Calibri" w:cs="Calibri" w:eastAsia="Calibri" w:hAnsi="Calibri"/>
          <w:sz w:val="32"/>
          <w:szCs w:val="32"/>
          <w:b w:val="1"/>
          <w:bCs w:val="1"/>
          <w:color w:val="auto"/>
        </w:rPr>
        <w:t>Merit Medical Systems, Inc.</w:t>
      </w:r>
    </w:p>
    <w:p>
      <w:pPr>
        <w:spacing w:after="0" w:line="28"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57861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86120" cy="8255"/>
                    </a:xfrm>
                    <a:prstGeom prst="rect">
                      <a:avLst/>
                    </a:prstGeom>
                    <a:noFill/>
                  </pic:spPr>
                </pic:pic>
              </a:graphicData>
            </a:graphic>
          </wp:anchor>
        </w:drawing>
      </w:r>
    </w:p>
    <w:p>
      <w:pPr>
        <w:spacing w:after="0" w:line="206" w:lineRule="exact"/>
        <w:rPr>
          <w:sz w:val="24"/>
          <w:szCs w:val="24"/>
          <w:color w:val="auto"/>
        </w:rPr>
      </w:pPr>
    </w:p>
    <w:p>
      <w:pPr>
        <w:ind w:left="2000"/>
        <w:spacing w:after="0"/>
        <w:rPr>
          <w:sz w:val="20"/>
          <w:szCs w:val="20"/>
          <w:color w:val="auto"/>
        </w:rPr>
      </w:pPr>
      <w:r>
        <w:rPr>
          <w:rFonts w:ascii="Calibri" w:cs="Calibri" w:eastAsia="Calibri" w:hAnsi="Calibri"/>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57861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6120" cy="8255"/>
                    </a:xfrm>
                    <a:prstGeom prst="rect">
                      <a:avLst/>
                    </a:prstGeom>
                    <a:noFill/>
                  </pic:spPr>
                </pic:pic>
              </a:graphicData>
            </a:graphic>
          </wp:anchor>
        </w:drawing>
      </w:r>
    </w:p>
    <w:p>
      <w:pPr>
        <w:spacing w:after="0" w:line="84" w:lineRule="exact"/>
        <w:rPr>
          <w:sz w:val="24"/>
          <w:szCs w:val="24"/>
          <w:color w:val="auto"/>
        </w:rPr>
      </w:pPr>
    </w:p>
    <w:p>
      <w:pPr>
        <w:spacing w:after="0"/>
        <w:rPr>
          <w:sz w:val="20"/>
          <w:szCs w:val="20"/>
          <w:color w:val="auto"/>
        </w:rPr>
      </w:pPr>
      <w:r>
        <w:rPr>
          <w:rFonts w:ascii="Calibri" w:cs="Calibri" w:eastAsia="Calibri" w:hAnsi="Calibri"/>
          <w:sz w:val="18"/>
          <w:szCs w:val="18"/>
          <w:color w:val="auto"/>
        </w:rPr>
        <w:t>Payment of Filing Fee (Check the appropriate box):</w:t>
      </w:r>
    </w:p>
    <w:p>
      <w:pPr>
        <w:ind w:left="920" w:hanging="912"/>
        <w:spacing w:after="0" w:line="235" w:lineRule="auto"/>
        <w:tabs>
          <w:tab w:leader="none" w:pos="92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No fee required.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00" w:type="dxa"/>
            <w:vAlign w:val="bottom"/>
          </w:tcPr>
          <w:p>
            <w:pPr>
              <w:jc w:val="right"/>
              <w:spacing w:after="0"/>
              <w:rPr>
                <w:sz w:val="20"/>
                <w:szCs w:val="20"/>
                <w:color w:val="auto"/>
              </w:rPr>
            </w:pPr>
            <w:r>
              <w:rPr>
                <w:rFonts w:ascii="Calibri" w:cs="Calibri" w:eastAsia="Calibri" w:hAnsi="Calibri"/>
                <w:sz w:val="18"/>
                <w:szCs w:val="18"/>
                <w:color w:val="auto"/>
                <w:w w:val="71"/>
              </w:rPr>
              <w:t>[</w:t>
            </w:r>
          </w:p>
        </w:tc>
        <w:tc>
          <w:tcPr>
            <w:tcW w:w="460" w:type="dxa"/>
            <w:vAlign w:val="bottom"/>
          </w:tcPr>
          <w:p>
            <w:pPr>
              <w:jc w:val="right"/>
              <w:ind w:right="270"/>
              <w:spacing w:after="0"/>
              <w:rPr>
                <w:sz w:val="20"/>
                <w:szCs w:val="20"/>
                <w:color w:val="auto"/>
              </w:rPr>
            </w:pPr>
            <w:r>
              <w:rPr>
                <w:rFonts w:ascii="Calibri" w:cs="Calibri" w:eastAsia="Calibri" w:hAnsi="Calibri"/>
                <w:sz w:val="18"/>
                <w:szCs w:val="18"/>
                <w:color w:val="auto"/>
              </w:rPr>
              <w:t>]</w:t>
            </w:r>
          </w:p>
        </w:tc>
        <w:tc>
          <w:tcPr>
            <w:tcW w:w="8560" w:type="dxa"/>
            <w:vAlign w:val="bottom"/>
          </w:tcPr>
          <w:p>
            <w:pPr>
              <w:ind w:left="360"/>
              <w:spacing w:after="0"/>
              <w:rPr>
                <w:sz w:val="20"/>
                <w:szCs w:val="20"/>
                <w:color w:val="auto"/>
              </w:rPr>
            </w:pPr>
            <w:r>
              <w:rPr>
                <w:rFonts w:ascii="Calibri" w:cs="Calibri" w:eastAsia="Calibri" w:hAnsi="Calibri"/>
                <w:sz w:val="18"/>
                <w:szCs w:val="18"/>
                <w:color w:val="auto"/>
              </w:rPr>
              <w:t>Fee paid previously with preliminary materials</w:t>
            </w:r>
          </w:p>
        </w:tc>
      </w:tr>
      <w:tr>
        <w:trPr>
          <w:trHeight w:val="324"/>
        </w:trPr>
        <w:tc>
          <w:tcPr>
            <w:tcW w:w="100" w:type="dxa"/>
            <w:vAlign w:val="bottom"/>
          </w:tcPr>
          <w:p>
            <w:pPr>
              <w:jc w:val="right"/>
              <w:spacing w:after="0"/>
              <w:rPr>
                <w:sz w:val="20"/>
                <w:szCs w:val="20"/>
                <w:color w:val="auto"/>
              </w:rPr>
            </w:pPr>
            <w:r>
              <w:rPr>
                <w:rFonts w:ascii="Calibri" w:cs="Calibri" w:eastAsia="Calibri" w:hAnsi="Calibri"/>
                <w:sz w:val="18"/>
                <w:szCs w:val="18"/>
                <w:color w:val="auto"/>
                <w:w w:val="71"/>
              </w:rPr>
              <w:t>[</w:t>
            </w:r>
          </w:p>
        </w:tc>
        <w:tc>
          <w:tcPr>
            <w:tcW w:w="460" w:type="dxa"/>
            <w:vAlign w:val="bottom"/>
          </w:tcPr>
          <w:p>
            <w:pPr>
              <w:jc w:val="right"/>
              <w:ind w:right="270"/>
              <w:spacing w:after="0"/>
              <w:rPr>
                <w:sz w:val="20"/>
                <w:szCs w:val="20"/>
                <w:color w:val="auto"/>
              </w:rPr>
            </w:pPr>
            <w:r>
              <w:rPr>
                <w:rFonts w:ascii="Calibri" w:cs="Calibri" w:eastAsia="Calibri" w:hAnsi="Calibri"/>
                <w:sz w:val="18"/>
                <w:szCs w:val="18"/>
                <w:color w:val="auto"/>
              </w:rPr>
              <w:t>]</w:t>
            </w:r>
          </w:p>
        </w:tc>
        <w:tc>
          <w:tcPr>
            <w:tcW w:w="8560" w:type="dxa"/>
            <w:vAlign w:val="bottom"/>
          </w:tcPr>
          <w:p>
            <w:pPr>
              <w:ind w:left="360"/>
              <w:spacing w:after="0"/>
              <w:rPr>
                <w:sz w:val="20"/>
                <w:szCs w:val="20"/>
                <w:color w:val="auto"/>
              </w:rPr>
            </w:pPr>
            <w:r>
              <w:rPr>
                <w:rFonts w:ascii="Calibri" w:cs="Calibri" w:eastAsia="Calibri" w:hAnsi="Calibri"/>
                <w:sz w:val="18"/>
                <w:szCs w:val="18"/>
                <w:color w:val="auto"/>
              </w:rPr>
              <w:t>Fee computed on table in exhibit required by Item 25(b) per Exchange Act Rules 14a6(i)(1) and 0-11</w:t>
            </w:r>
          </w:p>
        </w:tc>
      </w:tr>
      <w:tr>
        <w:trPr>
          <w:trHeight w:val="759"/>
        </w:trPr>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652" w:right="1399" w:bottom="1440" w:gutter="0" w:footer="0" w:header="0"/>
          <w:type w:val="continuous"/>
        </w:sectPr>
      </w:pPr>
    </w:p>
    <w:bookmarkStart w:id="1" w:name="page2"/>
    <w:bookmarkEnd w:id="1"/>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632460</wp:posOffset>
            </wp:positionV>
            <wp:extent cx="5572125" cy="2031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212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80"/>
        <w:spacing w:after="0"/>
        <w:rPr>
          <w:sz w:val="20"/>
          <w:szCs w:val="20"/>
          <w:color w:val="auto"/>
        </w:rPr>
      </w:pPr>
      <w:r>
        <w:rPr>
          <w:rFonts w:ascii="Calibri" w:cs="Calibri" w:eastAsia="Calibri" w:hAnsi="Calibri"/>
          <w:sz w:val="65"/>
          <w:szCs w:val="65"/>
          <w:b w:val="1"/>
          <w:bCs w:val="1"/>
          <w:color w:val="AF0000"/>
        </w:rPr>
        <w:t>Notce and</w:t>
      </w:r>
    </w:p>
    <w:p>
      <w:pPr>
        <w:spacing w:after="0" w:line="192" w:lineRule="exact"/>
        <w:rPr>
          <w:sz w:val="20"/>
          <w:szCs w:val="20"/>
          <w:color w:val="auto"/>
        </w:rPr>
      </w:pPr>
    </w:p>
    <w:p>
      <w:pPr>
        <w:jc w:val="center"/>
        <w:ind w:right="-380"/>
        <w:spacing w:after="0"/>
        <w:rPr>
          <w:sz w:val="20"/>
          <w:szCs w:val="20"/>
          <w:color w:val="auto"/>
        </w:rPr>
      </w:pPr>
      <w:r>
        <w:rPr>
          <w:rFonts w:ascii="Calibri" w:cs="Calibri" w:eastAsia="Calibri" w:hAnsi="Calibri"/>
          <w:sz w:val="65"/>
          <w:szCs w:val="65"/>
          <w:b w:val="1"/>
          <w:bCs w:val="1"/>
          <w:color w:val="AF0000"/>
        </w:rPr>
        <w:t>Proxy Statement</w:t>
      </w:r>
    </w:p>
    <w:p>
      <w:pPr>
        <w:spacing w:after="0" w:line="219" w:lineRule="exact"/>
        <w:rPr>
          <w:sz w:val="20"/>
          <w:szCs w:val="20"/>
          <w:color w:val="auto"/>
        </w:rPr>
      </w:pPr>
    </w:p>
    <w:p>
      <w:pPr>
        <w:jc w:val="right"/>
        <w:ind w:right="1059"/>
        <w:spacing w:after="0"/>
        <w:rPr>
          <w:sz w:val="20"/>
          <w:szCs w:val="20"/>
          <w:color w:val="auto"/>
        </w:rPr>
      </w:pPr>
      <w:r>
        <w:rPr>
          <w:rFonts w:ascii="Calibri" w:cs="Calibri" w:eastAsia="Calibri" w:hAnsi="Calibri"/>
          <w:sz w:val="40"/>
          <w:szCs w:val="40"/>
          <w:b w:val="1"/>
          <w:bCs w:val="1"/>
          <w:color w:val="AF0000"/>
        </w:rPr>
        <w:t>2024 Annual Meetng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2980690</wp:posOffset>
            </wp:positionV>
            <wp:extent cx="545211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168910</wp:posOffset>
            </wp:positionV>
            <wp:extent cx="5546090" cy="1689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46090" cy="16891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 w:name="page3"/>
    <w:bookmarkEnd w:id="2"/>
    <w:p>
      <w:pPr>
        <w:ind w:left="200"/>
        <w:spacing w:after="0"/>
        <w:rPr>
          <w:sz w:val="20"/>
          <w:szCs w:val="20"/>
          <w:color w:val="auto"/>
        </w:rPr>
      </w:pPr>
      <w:r>
        <w:rPr>
          <w:rFonts w:ascii="Calibri" w:cs="Calibri" w:eastAsia="Calibri" w:hAnsi="Calibri"/>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2528570"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8570" cy="45402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Calibri" w:cs="Calibri" w:eastAsia="Calibri" w:hAnsi="Calibri"/>
          <w:sz w:val="32"/>
          <w:szCs w:val="32"/>
          <w:b w:val="1"/>
          <w:bCs w:val="1"/>
          <w:color w:val="FFFFFF"/>
        </w:rPr>
        <w:t>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-221615</wp:posOffset>
            </wp:positionV>
            <wp:extent cx="5452110" cy="248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48285"/>
                    </a:xfrm>
                    <a:prstGeom prst="rect">
                      <a:avLst/>
                    </a:prstGeom>
                    <a:noFill/>
                  </pic:spPr>
                </pic:pic>
              </a:graphicData>
            </a:graphic>
          </wp:anchor>
        </w:drawing>
      </w:r>
    </w:p>
    <w:p>
      <w:pPr>
        <w:spacing w:after="0" w:line="207" w:lineRule="exact"/>
        <w:rPr>
          <w:sz w:val="20"/>
          <w:szCs w:val="20"/>
          <w:color w:val="auto"/>
        </w:rPr>
      </w:pPr>
    </w:p>
    <w:p>
      <w:pPr>
        <w:ind w:left="220"/>
        <w:spacing w:after="0"/>
        <w:rPr>
          <w:sz w:val="20"/>
          <w:szCs w:val="20"/>
          <w:color w:val="auto"/>
        </w:rPr>
      </w:pPr>
      <w:r>
        <w:rPr>
          <w:rFonts w:ascii="Calibri" w:cs="Calibri" w:eastAsia="Calibri" w:hAnsi="Calibri"/>
          <w:sz w:val="17"/>
          <w:szCs w:val="17"/>
          <w:color w:val="auto"/>
        </w:rPr>
        <w:t>April 2, 2024</w:t>
      </w:r>
    </w:p>
    <w:p>
      <w:pPr>
        <w:spacing w:after="0" w:line="201" w:lineRule="exact"/>
        <w:rPr>
          <w:sz w:val="20"/>
          <w:szCs w:val="20"/>
          <w:color w:val="auto"/>
        </w:rPr>
      </w:pPr>
    </w:p>
    <w:p>
      <w:pPr>
        <w:ind w:left="220"/>
        <w:spacing w:after="0" w:line="224" w:lineRule="auto"/>
        <w:rPr>
          <w:sz w:val="20"/>
          <w:szCs w:val="20"/>
          <w:color w:val="auto"/>
        </w:rPr>
      </w:pPr>
      <w:r>
        <w:rPr>
          <w:rFonts w:ascii="Calibri" w:cs="Calibri" w:eastAsia="Calibri" w:hAnsi="Calibri"/>
          <w:sz w:val="17"/>
          <w:szCs w:val="17"/>
          <w:color w:val="auto"/>
        </w:rPr>
        <w:t xml:space="preserve">It is my pleasure to invite you to partcipate in the 2024 Annual Meetng of Shareholders (including any adjournment of the meetng, </w:t>
      </w:r>
      <w:r>
        <w:rPr>
          <w:rFonts w:ascii="Calibri" w:cs="Calibri" w:eastAsia="Calibri" w:hAnsi="Calibri"/>
          <w:sz w:val="17"/>
          <w:szCs w:val="17"/>
          <w:u w:val="single" w:color="auto"/>
          <w:color w:val="AF0000"/>
        </w:rPr>
        <w:t>the Annual</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F0000"/>
        </w:rPr>
        <w:t>Meetng</w:t>
      </w:r>
      <w:r>
        <w:rPr>
          <w:rFonts w:ascii="Calibri" w:cs="Calibri" w:eastAsia="Calibri" w:hAnsi="Calibri"/>
          <w:sz w:val="17"/>
          <w:szCs w:val="17"/>
          <w:color w:val="000000"/>
        </w:rPr>
        <w:t>) of Merit Medical Systems, Inc. (</w:t>
      </w:r>
      <w:r>
        <w:rPr>
          <w:rFonts w:ascii="Calibri" w:cs="Calibri" w:eastAsia="Calibri" w:hAnsi="Calibri"/>
          <w:sz w:val="17"/>
          <w:szCs w:val="17"/>
          <w:u w:val="single" w:color="auto"/>
          <w:color w:val="AF0000"/>
        </w:rPr>
        <w:t>Merit</w:t>
      </w:r>
      <w:r>
        <w:rPr>
          <w:rFonts w:ascii="Calibri" w:cs="Calibri" w:eastAsia="Calibri" w:hAnsi="Calibri"/>
          <w:sz w:val="17"/>
          <w:szCs w:val="17"/>
          <w:color w:val="AF0000"/>
        </w:rPr>
        <w:t xml:space="preserve"> </w:t>
      </w:r>
      <w:r>
        <w:rPr>
          <w:rFonts w:ascii="Calibri" w:cs="Calibri" w:eastAsia="Calibri" w:hAnsi="Calibri"/>
          <w:sz w:val="17"/>
          <w:szCs w:val="17"/>
          <w:color w:val="000000"/>
        </w:rPr>
        <w:t>or the</w:t>
      </w:r>
      <w:r>
        <w:rPr>
          <w:rFonts w:ascii="Calibri" w:cs="Calibri" w:eastAsia="Calibri" w:hAnsi="Calibri"/>
          <w:sz w:val="17"/>
          <w:szCs w:val="17"/>
          <w:color w:val="AF0000"/>
        </w:rPr>
        <w:t xml:space="preserve"> </w:t>
      </w:r>
      <w:r>
        <w:rPr>
          <w:rFonts w:ascii="Calibri" w:cs="Calibri" w:eastAsia="Calibri" w:hAnsi="Calibri"/>
          <w:sz w:val="17"/>
          <w:szCs w:val="17"/>
          <w:u w:val="single" w:color="auto"/>
          <w:color w:val="AF0000"/>
        </w:rPr>
        <w:t>Company</w:t>
      </w:r>
      <w:r>
        <w:rPr>
          <w:rFonts w:ascii="Calibri" w:cs="Calibri" w:eastAsia="Calibri" w:hAnsi="Calibri"/>
          <w:sz w:val="17"/>
          <w:szCs w:val="17"/>
          <w:color w:val="000000"/>
        </w:rPr>
        <w:t>), which will</w:t>
      </w:r>
      <w:r>
        <w:rPr>
          <w:rFonts w:ascii="Calibri" w:cs="Calibri" w:eastAsia="Calibri" w:hAnsi="Calibri"/>
          <w:sz w:val="17"/>
          <w:szCs w:val="17"/>
          <w:color w:val="AF0000"/>
        </w:rPr>
        <w:t xml:space="preserve"> </w:t>
      </w:r>
      <w:r>
        <w:rPr>
          <w:rFonts w:ascii="Calibri" w:cs="Calibri" w:eastAsia="Calibri" w:hAnsi="Calibri"/>
          <w:sz w:val="17"/>
          <w:szCs w:val="17"/>
          <w:color w:val="000000"/>
        </w:rPr>
        <w:t xml:space="preserve">be held on </w:t>
      </w:r>
      <w:r>
        <w:rPr>
          <w:rFonts w:ascii="Calibri" w:cs="Calibri" w:eastAsia="Calibri" w:hAnsi="Calibri"/>
          <w:sz w:val="17"/>
          <w:szCs w:val="17"/>
          <w:b w:val="1"/>
          <w:bCs w:val="1"/>
          <w:color w:val="000000"/>
        </w:rPr>
        <w:t>May 15, 2024, at 2:00 p.m. (Mountain Time)</w:t>
      </w:r>
      <w:r>
        <w:rPr>
          <w:rFonts w:ascii="Calibri" w:cs="Calibri" w:eastAsia="Calibri" w:hAnsi="Calibri"/>
          <w:sz w:val="17"/>
          <w:szCs w:val="17"/>
          <w:color w:val="000000"/>
        </w:rPr>
        <w:t xml:space="preserve">. The Annual Meetng will be held virtually, via live webcast, at </w:t>
      </w:r>
      <w:r>
        <w:rPr>
          <w:rFonts w:ascii="Calibri" w:cs="Calibri" w:eastAsia="Calibri" w:hAnsi="Calibri"/>
          <w:sz w:val="17"/>
          <w:szCs w:val="17"/>
          <w:b w:val="1"/>
          <w:bCs w:val="1"/>
          <w:color w:val="AF0000"/>
        </w:rPr>
        <w:t>www.virtualshareholdermeetng.com/MMSI2024</w:t>
      </w:r>
      <w:r>
        <w:rPr>
          <w:rFonts w:ascii="Calibri" w:cs="Calibri" w:eastAsia="Calibri" w:hAnsi="Calibri"/>
          <w:sz w:val="17"/>
          <w:szCs w:val="17"/>
          <w:color w:val="000000"/>
        </w:rPr>
        <w:t>. Shareholders will be able</w:t>
      </w:r>
      <w:r>
        <w:rPr>
          <w:rFonts w:ascii="Calibri" w:cs="Calibri" w:eastAsia="Calibri" w:hAnsi="Calibri"/>
          <w:sz w:val="17"/>
          <w:szCs w:val="17"/>
          <w:b w:val="1"/>
          <w:bCs w:val="1"/>
          <w:color w:val="AF0000"/>
        </w:rPr>
        <w:t xml:space="preserve"> </w:t>
      </w:r>
      <w:r>
        <w:rPr>
          <w:rFonts w:ascii="Calibri" w:cs="Calibri" w:eastAsia="Calibri" w:hAnsi="Calibri"/>
          <w:sz w:val="17"/>
          <w:szCs w:val="17"/>
          <w:color w:val="000000"/>
        </w:rPr>
        <w:t xml:space="preserve">to atend the Annual Meetng, and submit questons and vote their shares during the Annual Meetng, from any locaton that has internet connectvity. There will be no physical in-person meetng; however, we hope you will atend the meetng virtually. For further informaton about how to atend the Annual Meetng via live webcast, and how to submit questons and vote your shares during the live webcast, please refer to the accompanying Proxy Statement or the Notce Regarding the Availability of Proxy Materials which was mailed to you (the </w:t>
      </w:r>
      <w:r>
        <w:rPr>
          <w:rFonts w:ascii="Calibri" w:cs="Calibri" w:eastAsia="Calibri" w:hAnsi="Calibri"/>
          <w:sz w:val="17"/>
          <w:szCs w:val="17"/>
          <w:u w:val="single" w:color="auto"/>
          <w:color w:val="AF0000"/>
        </w:rPr>
        <w:t>Notce</w:t>
      </w:r>
      <w:r>
        <w:rPr>
          <w:rFonts w:ascii="Calibri" w:cs="Calibri" w:eastAsia="Calibri" w:hAnsi="Calibri"/>
          <w:sz w:val="17"/>
          <w:szCs w:val="17"/>
          <w:color w:val="000000"/>
        </w:rPr>
        <w:t>).</w:t>
      </w:r>
    </w:p>
    <w:p>
      <w:pPr>
        <w:spacing w:after="0" w:line="204" w:lineRule="exact"/>
        <w:rPr>
          <w:sz w:val="20"/>
          <w:szCs w:val="20"/>
          <w:color w:val="auto"/>
        </w:rPr>
      </w:pPr>
    </w:p>
    <w:p>
      <w:pPr>
        <w:ind w:left="220" w:right="100"/>
        <w:spacing w:after="0"/>
        <w:rPr>
          <w:sz w:val="20"/>
          <w:szCs w:val="20"/>
          <w:color w:val="auto"/>
        </w:rPr>
      </w:pPr>
      <w:r>
        <w:rPr>
          <w:rFonts w:ascii="Calibri" w:cs="Calibri" w:eastAsia="Calibri" w:hAnsi="Calibri"/>
          <w:sz w:val="17"/>
          <w:szCs w:val="17"/>
          <w:color w:val="auto"/>
        </w:rPr>
        <w:t>We completed an impressive year of operatng and fnancial performance in 2023. Importantly, we completed the fnal year of our Foundatons for Growth Program, delivering or exceeding each of the fnancial targets we outlined for the three-year period ended December 31, 2023. We are proud of the team’s strong executon and relentless focus on this strategic endeavor.</w:t>
      </w:r>
    </w:p>
    <w:p>
      <w:pPr>
        <w:spacing w:after="0" w:line="326" w:lineRule="exact"/>
        <w:rPr>
          <w:sz w:val="20"/>
          <w:szCs w:val="20"/>
          <w:color w:val="auto"/>
        </w:rPr>
      </w:pPr>
    </w:p>
    <w:p>
      <w:pPr>
        <w:ind w:left="220" w:right="240"/>
        <w:spacing w:after="0" w:line="224" w:lineRule="auto"/>
        <w:rPr>
          <w:sz w:val="20"/>
          <w:szCs w:val="20"/>
          <w:color w:val="auto"/>
        </w:rPr>
      </w:pPr>
      <w:r>
        <w:rPr>
          <w:rFonts w:ascii="Calibri" w:cs="Calibri" w:eastAsia="Calibri" w:hAnsi="Calibri"/>
          <w:sz w:val="17"/>
          <w:szCs w:val="17"/>
          <w:color w:val="auto"/>
        </w:rPr>
        <w:t xml:space="preserve">We hope you will partcipate in the Annual Meetng. The Company is providing access to the proxy materials for the Annual Meetng via the internet. Accordingly, you can access the proxy materials and vote prior to the Annual Meetng by visitng </w:t>
      </w:r>
      <w:r>
        <w:rPr>
          <w:rFonts w:ascii="Calibri" w:cs="Calibri" w:eastAsia="Calibri" w:hAnsi="Calibri"/>
          <w:sz w:val="17"/>
          <w:szCs w:val="17"/>
          <w:b w:val="1"/>
          <w:bCs w:val="1"/>
          <w:color w:val="AF0000"/>
        </w:rPr>
        <w:t>www.proxyvote.com</w:t>
      </w:r>
      <w:r>
        <w:rPr>
          <w:rFonts w:ascii="Calibri" w:cs="Calibri" w:eastAsia="Calibri" w:hAnsi="Calibri"/>
          <w:sz w:val="17"/>
          <w:szCs w:val="17"/>
          <w:color w:val="auto"/>
        </w:rPr>
        <w:t>. Instructons for accessing the proxy materials and votng are described in the Proxy Statement and in the Notce. Please review the proxy materials prior to votng. Your vote is important to all of us at Merit. I look forward to your virtual atendance at the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147955</wp:posOffset>
            </wp:positionV>
            <wp:extent cx="1697355"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Calibri" w:cs="Calibri" w:eastAsia="Calibri" w:hAnsi="Calibri"/>
          <w:sz w:val="18"/>
          <w:szCs w:val="18"/>
          <w:b w:val="1"/>
          <w:bCs w:val="1"/>
          <w:color w:val="AF0000"/>
        </w:rPr>
        <w:t>FRED P. LAMPROPOULOS</w:t>
      </w:r>
    </w:p>
    <w:p>
      <w:pPr>
        <w:ind w:left="220" w:right="2060"/>
        <w:spacing w:after="0" w:line="234" w:lineRule="auto"/>
        <w:rPr>
          <w:sz w:val="20"/>
          <w:szCs w:val="20"/>
          <w:color w:val="auto"/>
        </w:rPr>
      </w:pPr>
      <w:r>
        <w:rPr>
          <w:rFonts w:ascii="Calibri" w:cs="Calibri" w:eastAsia="Calibri" w:hAnsi="Calibri"/>
          <w:sz w:val="20"/>
          <w:szCs w:val="20"/>
          <w:color w:val="auto"/>
        </w:rPr>
        <w:t>Chair of the Board of Directors, President, and 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989965</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39"/>
        <w:spacing w:after="0" w:line="270" w:lineRule="auto"/>
        <w:rPr>
          <w:sz w:val="20"/>
          <w:szCs w:val="20"/>
          <w:color w:val="auto"/>
        </w:rPr>
      </w:pPr>
      <w:r>
        <w:rPr>
          <w:rFonts w:ascii="Calibri" w:cs="Calibri" w:eastAsia="Calibri" w:hAnsi="Calibri"/>
          <w:sz w:val="25"/>
          <w:szCs w:val="25"/>
          <w:color w:val="AF0000"/>
        </w:rPr>
        <w:t>“Importantly, we completed the fnal year of our Foundatons for Growth Program, delivering or exceeding each of the fnancial targets we outlined for the three-year period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-4407535</wp:posOffset>
            </wp:positionV>
            <wp:extent cx="1619885" cy="2160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9885" cy="2160270"/>
                    </a:xfrm>
                    <a:prstGeom prst="rect">
                      <a:avLst/>
                    </a:prstGeom>
                    <a:noFill/>
                  </pic:spPr>
                </pic:pic>
              </a:graphicData>
            </a:graphic>
          </wp:anchor>
        </w:drawing>
      </w:r>
    </w:p>
    <w:p>
      <w:pPr>
        <w:sectPr>
          <w:pgSz w:w="11900" w:h="16838" w:orient="portrait"/>
          <w:cols w:equalWidth="0" w:num="2">
            <w:col w:w="5700" w:space="300"/>
            <w:col w:w="3019"/>
          </w:cols>
          <w:pgMar w:left="1440" w:top="509" w:right="1440" w:bottom="1440" w:gutter="0" w:footer="0" w:header="0"/>
          <w:type w:val="continuous"/>
        </w:sectPr>
      </w:pPr>
    </w:p>
    <w:bookmarkStart w:id="3" w:name="page4"/>
    <w:bookmarkEnd w:id="3"/>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Calibri" w:cs="Calibri" w:eastAsia="Calibri" w:hAnsi="Calibri"/>
          <w:sz w:val="32"/>
          <w:szCs w:val="32"/>
          <w:b w:val="1"/>
          <w:bCs w:val="1"/>
          <w:color w:val="FFFFFF"/>
        </w:rPr>
        <w:t>GUIDE TO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-221615</wp:posOffset>
            </wp:positionV>
            <wp:extent cx="545211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40030"/>
                    </a:xfrm>
                    <a:prstGeom prst="rect">
                      <a:avLst/>
                    </a:prstGeom>
                    <a:noFill/>
                  </pic:spPr>
                </pic:pic>
              </a:graphicData>
            </a:graphic>
          </wp:anchor>
        </w:drawing>
      </w:r>
    </w:p>
    <w:p>
      <w:pPr>
        <w:spacing w:after="0" w:line="210" w:lineRule="exact"/>
        <w:rPr>
          <w:sz w:val="20"/>
          <w:szCs w:val="20"/>
          <w:color w:val="auto"/>
        </w:rPr>
      </w:pPr>
    </w:p>
    <w:p>
      <w:pPr>
        <w:ind w:left="880" w:hanging="669"/>
        <w:spacing w:after="0"/>
        <w:tabs>
          <w:tab w:leader="none" w:pos="880" w:val="left"/>
        </w:tabs>
        <w:numPr>
          <w:ilvl w:val="0"/>
          <w:numId w:val="3"/>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F0000"/>
        </w:rPr>
        <w:t>Notce of 2024 Annual Meetng of Shareholders</w:t>
      </w:r>
    </w:p>
    <w:p>
      <w:pPr>
        <w:spacing w:after="0" w:line="37" w:lineRule="exact"/>
        <w:rPr>
          <w:sz w:val="20"/>
          <w:szCs w:val="20"/>
          <w:color w:val="auto"/>
        </w:rPr>
      </w:pPr>
    </w:p>
    <w:p>
      <w:pPr>
        <w:ind w:left="880" w:hanging="669"/>
        <w:spacing w:after="0"/>
        <w:tabs>
          <w:tab w:leader="none" w:pos="880" w:val="left"/>
        </w:tabs>
        <w:numPr>
          <w:ilvl w:val="0"/>
          <w:numId w:val="4"/>
        </w:numPr>
        <w:rPr>
          <w:rFonts w:ascii="Calibri" w:cs="Calibri" w:eastAsia="Calibri" w:hAnsi="Calibri"/>
          <w:sz w:val="18"/>
          <w:szCs w:val="18"/>
          <w:color w:val="auto"/>
        </w:rPr>
      </w:pPr>
      <w:r>
        <w:rPr>
          <w:rFonts w:ascii="Calibri" w:cs="Calibri" w:eastAsia="Calibri" w:hAnsi="Calibri"/>
          <w:sz w:val="18"/>
          <w:szCs w:val="18"/>
          <w:b w:val="1"/>
          <w:bCs w:val="1"/>
          <w:u w:val="single" w:color="auto"/>
          <w:color w:val="0000EE"/>
        </w:rPr>
        <w:t>Proxy Statement Summary</w:t>
      </w:r>
    </w:p>
    <w:p>
      <w:pPr>
        <w:spacing w:after="0" w:line="37" w:lineRule="exact"/>
        <w:rPr>
          <w:sz w:val="20"/>
          <w:szCs w:val="20"/>
          <w:color w:val="auto"/>
        </w:rPr>
      </w:pPr>
    </w:p>
    <w:p>
      <w:pPr>
        <w:ind w:left="880" w:hanging="669"/>
        <w:spacing w:after="0"/>
        <w:tabs>
          <w:tab w:leader="none" w:pos="880" w:val="left"/>
        </w:tabs>
        <w:numPr>
          <w:ilvl w:val="0"/>
          <w:numId w:val="5"/>
        </w:numPr>
        <w:rPr>
          <w:rFonts w:ascii="Calibri" w:cs="Calibri" w:eastAsia="Calibri" w:hAnsi="Calibri"/>
          <w:sz w:val="18"/>
          <w:szCs w:val="18"/>
          <w:color w:val="auto"/>
        </w:rPr>
      </w:pPr>
      <w:r>
        <w:rPr>
          <w:rFonts w:ascii="Calibri" w:cs="Calibri" w:eastAsia="Calibri" w:hAnsi="Calibri"/>
          <w:sz w:val="18"/>
          <w:szCs w:val="18"/>
          <w:b w:val="1"/>
          <w:bCs w:val="1"/>
          <w:u w:val="single" w:color="auto"/>
          <w:color w:val="0000EE"/>
        </w:rPr>
        <w:t>Corporate Governance and Related Maters</w:t>
      </w:r>
    </w:p>
    <w:p>
      <w:pPr>
        <w:spacing w:after="0" w:line="36" w:lineRule="exact"/>
        <w:rPr>
          <w:rFonts w:ascii="Calibri" w:cs="Calibri" w:eastAsia="Calibri" w:hAnsi="Calibri"/>
          <w:sz w:val="18"/>
          <w:szCs w:val="18"/>
          <w:color w:val="auto"/>
        </w:rPr>
      </w:pPr>
    </w:p>
    <w:p>
      <w:pPr>
        <w:ind w:left="1140" w:hanging="929"/>
        <w:spacing w:after="0"/>
        <w:tabs>
          <w:tab w:leader="none" w:pos="1140" w:val="left"/>
        </w:tabs>
        <w:numPr>
          <w:ilvl w:val="0"/>
          <w:numId w:val="5"/>
        </w:numPr>
        <w:rPr>
          <w:rFonts w:ascii="Calibri" w:cs="Calibri" w:eastAsia="Calibri" w:hAnsi="Calibri"/>
          <w:sz w:val="18"/>
          <w:szCs w:val="18"/>
          <w:color w:val="auto"/>
        </w:rPr>
      </w:pPr>
      <w:r>
        <w:rPr>
          <w:rFonts w:ascii="Calibri" w:cs="Calibri" w:eastAsia="Calibri" w:hAnsi="Calibri"/>
          <w:sz w:val="18"/>
          <w:szCs w:val="18"/>
          <w:b w:val="1"/>
          <w:bCs w:val="1"/>
          <w:color w:val="AF0000"/>
        </w:rPr>
        <w:t xml:space="preserve">Proposal 1 </w:t>
      </w:r>
      <w:r>
        <w:rPr>
          <w:rFonts w:ascii="Calibri" w:cs="Calibri" w:eastAsia="Calibri" w:hAnsi="Calibri"/>
          <w:sz w:val="18"/>
          <w:szCs w:val="18"/>
          <w:color w:val="0000EE"/>
        </w:rPr>
        <w:t>–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-19050</wp:posOffset>
            </wp:positionV>
            <wp:extent cx="150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6220" cy="8890"/>
                    </a:xfrm>
                    <a:prstGeom prst="rect">
                      <a:avLst/>
                    </a:prstGeom>
                    <a:noFill/>
                  </pic:spPr>
                </pic:pic>
              </a:graphicData>
            </a:graphic>
          </wp:anchor>
        </w:drawing>
      </w:r>
    </w:p>
    <w:p>
      <w:pPr>
        <w:spacing w:after="0" w:line="17" w:lineRule="exact"/>
        <w:rPr>
          <w:sz w:val="20"/>
          <w:szCs w:val="20"/>
          <w:color w:val="auto"/>
        </w:rPr>
      </w:pPr>
    </w:p>
    <w:p>
      <w:pPr>
        <w:ind w:left="1160" w:hanging="949"/>
        <w:spacing w:after="0"/>
        <w:tabs>
          <w:tab w:leader="none" w:pos="1160" w:val="left"/>
        </w:tabs>
        <w:numPr>
          <w:ilvl w:val="0"/>
          <w:numId w:val="6"/>
        </w:numPr>
        <w:rPr>
          <w:rFonts w:ascii="Calibri" w:cs="Calibri" w:eastAsia="Calibri" w:hAnsi="Calibri"/>
          <w:sz w:val="18"/>
          <w:szCs w:val="18"/>
          <w:color w:val="auto"/>
        </w:rPr>
      </w:pPr>
      <w:r>
        <w:rPr>
          <w:rFonts w:ascii="Calibri" w:cs="Calibri" w:eastAsia="Calibri" w:hAnsi="Calibri"/>
          <w:sz w:val="18"/>
          <w:szCs w:val="18"/>
          <w:u w:val="single" w:color="auto"/>
          <w:color w:val="0000EE"/>
        </w:rPr>
        <w:t>Directors Whose Terms of Ofce Contnue</w:t>
      </w:r>
    </w:p>
    <w:p>
      <w:pPr>
        <w:spacing w:after="0" w:line="37" w:lineRule="exact"/>
        <w:rPr>
          <w:sz w:val="20"/>
          <w:szCs w:val="20"/>
          <w:color w:val="auto"/>
        </w:rPr>
      </w:pPr>
    </w:p>
    <w:p>
      <w:pPr>
        <w:ind w:left="1160" w:hanging="949"/>
        <w:spacing w:after="0"/>
        <w:tabs>
          <w:tab w:leader="none" w:pos="1160" w:val="left"/>
        </w:tabs>
        <w:numPr>
          <w:ilvl w:val="0"/>
          <w:numId w:val="7"/>
        </w:numPr>
        <w:rPr>
          <w:rFonts w:ascii="Calibri" w:cs="Calibri" w:eastAsia="Calibri" w:hAnsi="Calibri"/>
          <w:sz w:val="18"/>
          <w:szCs w:val="18"/>
          <w:color w:val="auto"/>
        </w:rPr>
      </w:pPr>
      <w:r>
        <w:rPr>
          <w:rFonts w:ascii="Calibri" w:cs="Calibri" w:eastAsia="Calibri" w:hAnsi="Calibri"/>
          <w:sz w:val="18"/>
          <w:szCs w:val="18"/>
          <w:u w:val="single" w:color="auto"/>
          <w:color w:val="0000EE"/>
        </w:rPr>
        <w:t>Director Whose Term of Ofce Does Not Contnue</w:t>
      </w:r>
    </w:p>
    <w:p>
      <w:pPr>
        <w:spacing w:after="0" w:line="36" w:lineRule="exact"/>
        <w:rPr>
          <w:rFonts w:ascii="Calibri" w:cs="Calibri" w:eastAsia="Calibri" w:hAnsi="Calibri"/>
          <w:sz w:val="18"/>
          <w:szCs w:val="18"/>
          <w:color w:val="auto"/>
        </w:rPr>
      </w:pPr>
    </w:p>
    <w:p>
      <w:pPr>
        <w:ind w:left="1160" w:hanging="949"/>
        <w:spacing w:after="0"/>
        <w:tabs>
          <w:tab w:leader="none" w:pos="1160" w:val="left"/>
        </w:tabs>
        <w:numPr>
          <w:ilvl w:val="0"/>
          <w:numId w:val="7"/>
        </w:numPr>
        <w:rPr>
          <w:rFonts w:ascii="Calibri" w:cs="Calibri" w:eastAsia="Calibri" w:hAnsi="Calibri"/>
          <w:sz w:val="18"/>
          <w:szCs w:val="18"/>
          <w:color w:val="auto"/>
        </w:rPr>
      </w:pPr>
      <w:r>
        <w:rPr>
          <w:rFonts w:ascii="Calibri" w:cs="Calibri" w:eastAsia="Calibri" w:hAnsi="Calibri"/>
          <w:sz w:val="18"/>
          <w:szCs w:val="18"/>
          <w:u w:val="single" w:color="auto"/>
          <w:color w:val="0000EE"/>
        </w:rPr>
        <w:t>Our Board of Directors</w:t>
      </w:r>
    </w:p>
    <w:p>
      <w:pPr>
        <w:spacing w:after="0" w:line="37" w:lineRule="exact"/>
        <w:rPr>
          <w:sz w:val="20"/>
          <w:szCs w:val="20"/>
          <w:color w:val="auto"/>
        </w:rPr>
      </w:pPr>
    </w:p>
    <w:p>
      <w:pPr>
        <w:ind w:left="1160" w:hanging="949"/>
        <w:spacing w:after="0"/>
        <w:tabs>
          <w:tab w:leader="none" w:pos="1160" w:val="left"/>
        </w:tabs>
        <w:numPr>
          <w:ilvl w:val="0"/>
          <w:numId w:val="8"/>
        </w:numPr>
        <w:rPr>
          <w:rFonts w:ascii="Calibri" w:cs="Calibri" w:eastAsia="Calibri" w:hAnsi="Calibri"/>
          <w:sz w:val="18"/>
          <w:szCs w:val="18"/>
          <w:color w:val="auto"/>
        </w:rPr>
      </w:pPr>
      <w:r>
        <w:rPr>
          <w:rFonts w:ascii="Calibri" w:cs="Calibri" w:eastAsia="Calibri" w:hAnsi="Calibri"/>
          <w:sz w:val="18"/>
          <w:szCs w:val="18"/>
          <w:u w:val="single" w:color="auto"/>
          <w:color w:val="0000EE"/>
        </w:rPr>
        <w:t>Sustainability</w:t>
      </w:r>
    </w:p>
    <w:p>
      <w:pPr>
        <w:spacing w:after="0" w:line="37" w:lineRule="exact"/>
        <w:rPr>
          <w:sz w:val="20"/>
          <w:szCs w:val="20"/>
          <w:color w:val="auto"/>
        </w:rPr>
      </w:pPr>
    </w:p>
    <w:p>
      <w:pPr>
        <w:ind w:left="1160" w:hanging="949"/>
        <w:spacing w:after="0"/>
        <w:tabs>
          <w:tab w:leader="none" w:pos="1160" w:val="left"/>
        </w:tabs>
        <w:numPr>
          <w:ilvl w:val="0"/>
          <w:numId w:val="9"/>
        </w:numPr>
        <w:rPr>
          <w:rFonts w:ascii="Calibri" w:cs="Calibri" w:eastAsia="Calibri" w:hAnsi="Calibri"/>
          <w:sz w:val="18"/>
          <w:szCs w:val="18"/>
          <w:color w:val="auto"/>
        </w:rPr>
      </w:pPr>
      <w:r>
        <w:rPr>
          <w:rFonts w:ascii="Calibri" w:cs="Calibri" w:eastAsia="Calibri" w:hAnsi="Calibri"/>
          <w:sz w:val="18"/>
          <w:szCs w:val="18"/>
          <w:u w:val="single" w:color="auto"/>
          <w:color w:val="0000EE"/>
        </w:rPr>
        <w:t>Director Compensaton</w:t>
      </w:r>
    </w:p>
    <w:p>
      <w:pPr>
        <w:spacing w:after="0" w:line="36" w:lineRule="exact"/>
        <w:rPr>
          <w:rFonts w:ascii="Calibri" w:cs="Calibri" w:eastAsia="Calibri" w:hAnsi="Calibri"/>
          <w:sz w:val="18"/>
          <w:szCs w:val="18"/>
          <w:color w:val="auto"/>
        </w:rPr>
      </w:pPr>
    </w:p>
    <w:p>
      <w:pPr>
        <w:ind w:left="1160" w:hanging="949"/>
        <w:spacing w:after="0"/>
        <w:tabs>
          <w:tab w:leader="none" w:pos="1160" w:val="left"/>
        </w:tabs>
        <w:numPr>
          <w:ilvl w:val="0"/>
          <w:numId w:val="9"/>
        </w:numPr>
        <w:rPr>
          <w:rFonts w:ascii="Calibri" w:cs="Calibri" w:eastAsia="Calibri" w:hAnsi="Calibri"/>
          <w:sz w:val="18"/>
          <w:szCs w:val="18"/>
          <w:color w:val="auto"/>
        </w:rPr>
      </w:pPr>
      <w:r>
        <w:rPr>
          <w:rFonts w:ascii="Calibri" w:cs="Calibri" w:eastAsia="Calibri" w:hAnsi="Calibri"/>
          <w:sz w:val="18"/>
          <w:szCs w:val="18"/>
          <w:u w:val="single" w:color="auto"/>
          <w:color w:val="0000EE"/>
        </w:rPr>
        <w:t>Related Person Maters</w:t>
      </w:r>
    </w:p>
    <w:p>
      <w:pPr>
        <w:spacing w:after="0" w:line="37" w:lineRule="exact"/>
        <w:rPr>
          <w:sz w:val="20"/>
          <w:szCs w:val="20"/>
          <w:color w:val="auto"/>
        </w:rPr>
      </w:pPr>
    </w:p>
    <w:p>
      <w:pPr>
        <w:ind w:left="880" w:hanging="669"/>
        <w:spacing w:after="0"/>
        <w:tabs>
          <w:tab w:leader="none" w:pos="880" w:val="left"/>
        </w:tabs>
        <w:numPr>
          <w:ilvl w:val="0"/>
          <w:numId w:val="10"/>
        </w:numPr>
        <w:rPr>
          <w:rFonts w:ascii="Calibri" w:cs="Calibri" w:eastAsia="Calibri" w:hAnsi="Calibri"/>
          <w:sz w:val="18"/>
          <w:szCs w:val="18"/>
          <w:color w:val="auto"/>
        </w:rPr>
      </w:pPr>
      <w:r>
        <w:rPr>
          <w:rFonts w:ascii="Calibri" w:cs="Calibri" w:eastAsia="Calibri" w:hAnsi="Calibri"/>
          <w:sz w:val="18"/>
          <w:szCs w:val="18"/>
          <w:b w:val="1"/>
          <w:bCs w:val="1"/>
          <w:u w:val="single" w:color="auto"/>
          <w:color w:val="0000EE"/>
        </w:rPr>
        <w:t>Executve Compensaton and Related Maters</w:t>
      </w:r>
    </w:p>
    <w:p>
      <w:pPr>
        <w:spacing w:after="0" w:line="37" w:lineRule="exact"/>
        <w:rPr>
          <w:sz w:val="20"/>
          <w:szCs w:val="20"/>
          <w:color w:val="auto"/>
        </w:rPr>
      </w:pPr>
    </w:p>
    <w:p>
      <w:pPr>
        <w:ind w:left="1140" w:hanging="929"/>
        <w:spacing w:after="0"/>
        <w:tabs>
          <w:tab w:leader="none" w:pos="1140" w:val="left"/>
        </w:tabs>
        <w:numPr>
          <w:ilvl w:val="0"/>
          <w:numId w:val="11"/>
        </w:numPr>
        <w:rPr>
          <w:rFonts w:ascii="Calibri" w:cs="Calibri" w:eastAsia="Calibri" w:hAnsi="Calibri"/>
          <w:sz w:val="18"/>
          <w:szCs w:val="18"/>
          <w:color w:val="auto"/>
        </w:rPr>
      </w:pPr>
      <w:r>
        <w:rPr>
          <w:rFonts w:ascii="Calibri" w:cs="Calibri" w:eastAsia="Calibri" w:hAnsi="Calibri"/>
          <w:sz w:val="18"/>
          <w:szCs w:val="18"/>
          <w:u w:val="single" w:color="auto"/>
          <w:color w:val="0000EE"/>
        </w:rPr>
        <w:t>Executve Summary</w:t>
      </w:r>
    </w:p>
    <w:p>
      <w:pPr>
        <w:spacing w:after="0" w:line="37" w:lineRule="exact"/>
        <w:rPr>
          <w:sz w:val="20"/>
          <w:szCs w:val="20"/>
          <w:color w:val="auto"/>
        </w:rPr>
      </w:pPr>
    </w:p>
    <w:p>
      <w:pPr>
        <w:ind w:left="1140" w:hanging="929"/>
        <w:spacing w:after="0"/>
        <w:tabs>
          <w:tab w:leader="none" w:pos="1140" w:val="left"/>
        </w:tabs>
        <w:numPr>
          <w:ilvl w:val="0"/>
          <w:numId w:val="12"/>
        </w:numPr>
        <w:rPr>
          <w:rFonts w:ascii="Calibri" w:cs="Calibri" w:eastAsia="Calibri" w:hAnsi="Calibri"/>
          <w:sz w:val="18"/>
          <w:szCs w:val="18"/>
          <w:color w:val="auto"/>
        </w:rPr>
      </w:pPr>
      <w:r>
        <w:rPr>
          <w:rFonts w:ascii="Calibri" w:cs="Calibri" w:eastAsia="Calibri" w:hAnsi="Calibri"/>
          <w:sz w:val="18"/>
          <w:szCs w:val="18"/>
          <w:u w:val="single" w:color="auto"/>
          <w:color w:val="0000EE"/>
        </w:rPr>
        <w:t>Compensaton Discussion and Analysis</w:t>
      </w:r>
    </w:p>
    <w:p>
      <w:pPr>
        <w:spacing w:after="0" w:line="37" w:lineRule="exact"/>
        <w:rPr>
          <w:sz w:val="20"/>
          <w:szCs w:val="20"/>
          <w:color w:val="auto"/>
        </w:rPr>
      </w:pPr>
    </w:p>
    <w:p>
      <w:pPr>
        <w:ind w:left="1160" w:hanging="949"/>
        <w:spacing w:after="0"/>
        <w:tabs>
          <w:tab w:leader="none" w:pos="1160" w:val="left"/>
        </w:tabs>
        <w:numPr>
          <w:ilvl w:val="0"/>
          <w:numId w:val="13"/>
        </w:numPr>
        <w:rPr>
          <w:rFonts w:ascii="Calibri" w:cs="Calibri" w:eastAsia="Calibri" w:hAnsi="Calibri"/>
          <w:sz w:val="18"/>
          <w:szCs w:val="18"/>
          <w:color w:val="auto"/>
        </w:rPr>
      </w:pPr>
      <w:r>
        <w:rPr>
          <w:rFonts w:ascii="Calibri" w:cs="Calibri" w:eastAsia="Calibri" w:hAnsi="Calibri"/>
          <w:sz w:val="18"/>
          <w:szCs w:val="18"/>
          <w:b w:val="1"/>
          <w:bCs w:val="1"/>
          <w:color w:val="AF0000"/>
        </w:rPr>
        <w:t xml:space="preserve">Proposal 2 </w:t>
      </w:r>
      <w:r>
        <w:rPr>
          <w:rFonts w:ascii="Calibri" w:cs="Calibri" w:eastAsia="Calibri" w:hAnsi="Calibri"/>
          <w:sz w:val="18"/>
          <w:szCs w:val="18"/>
          <w:color w:val="0000EE"/>
        </w:rPr>
        <w:t>– Advisory Vote on Executve Compensaton</w:t>
      </w:r>
    </w:p>
    <w:p>
      <w:pPr>
        <w:spacing w:after="0" w:line="36" w:lineRule="exact"/>
        <w:rPr>
          <w:rFonts w:ascii="Calibri" w:cs="Calibri" w:eastAsia="Calibri" w:hAnsi="Calibri"/>
          <w:sz w:val="18"/>
          <w:szCs w:val="18"/>
          <w:color w:val="auto"/>
        </w:rPr>
      </w:pPr>
    </w:p>
    <w:p>
      <w:pPr>
        <w:ind w:left="880" w:hanging="669"/>
        <w:spacing w:after="0"/>
        <w:tabs>
          <w:tab w:leader="none" w:pos="880" w:val="left"/>
        </w:tabs>
        <w:numPr>
          <w:ilvl w:val="0"/>
          <w:numId w:val="13"/>
        </w:numPr>
        <w:rPr>
          <w:rFonts w:ascii="Calibri" w:cs="Calibri" w:eastAsia="Calibri" w:hAnsi="Calibri"/>
          <w:sz w:val="18"/>
          <w:szCs w:val="18"/>
          <w:color w:val="auto"/>
        </w:rPr>
      </w:pPr>
      <w:r>
        <w:rPr>
          <w:rFonts w:ascii="Calibri" w:cs="Calibri" w:eastAsia="Calibri" w:hAnsi="Calibri"/>
          <w:sz w:val="18"/>
          <w:szCs w:val="18"/>
          <w:b w:val="1"/>
          <w:bCs w:val="1"/>
          <w:u w:val="single" w:color="auto"/>
          <w:color w:val="0000EE"/>
        </w:rPr>
        <w:t>Executve Compensaton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-181610</wp:posOffset>
            </wp:positionV>
            <wp:extent cx="24917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1740" cy="8890"/>
                    </a:xfrm>
                    <a:prstGeom prst="rect">
                      <a:avLst/>
                    </a:prstGeom>
                    <a:noFill/>
                  </pic:spPr>
                </pic:pic>
              </a:graphicData>
            </a:graphic>
          </wp:anchor>
        </w:drawing>
      </w:r>
    </w:p>
    <w:p>
      <w:pPr>
        <w:spacing w:after="0" w:line="17" w:lineRule="exact"/>
        <w:rPr>
          <w:sz w:val="20"/>
          <w:szCs w:val="20"/>
          <w:color w:val="auto"/>
        </w:rPr>
      </w:pPr>
    </w:p>
    <w:p>
      <w:pPr>
        <w:ind w:left="1140" w:hanging="929"/>
        <w:spacing w:after="0"/>
        <w:tabs>
          <w:tab w:leader="none" w:pos="1140" w:val="left"/>
        </w:tabs>
        <w:numPr>
          <w:ilvl w:val="0"/>
          <w:numId w:val="14"/>
        </w:numPr>
        <w:rPr>
          <w:rFonts w:ascii="Calibri" w:cs="Calibri" w:eastAsia="Calibri" w:hAnsi="Calibri"/>
          <w:sz w:val="18"/>
          <w:szCs w:val="18"/>
          <w:color w:val="auto"/>
        </w:rPr>
      </w:pPr>
      <w:r>
        <w:rPr>
          <w:rFonts w:ascii="Calibri" w:cs="Calibri" w:eastAsia="Calibri" w:hAnsi="Calibri"/>
          <w:sz w:val="18"/>
          <w:szCs w:val="18"/>
          <w:u w:val="single" w:color="auto"/>
          <w:color w:val="0000EE"/>
        </w:rPr>
        <w:t>Summary Compensaton Table</w:t>
      </w:r>
    </w:p>
    <w:p>
      <w:pPr>
        <w:spacing w:after="0" w:line="36" w:lineRule="exact"/>
        <w:rPr>
          <w:rFonts w:ascii="Calibri" w:cs="Calibri" w:eastAsia="Calibri" w:hAnsi="Calibri"/>
          <w:sz w:val="18"/>
          <w:szCs w:val="18"/>
          <w:color w:val="auto"/>
        </w:rPr>
      </w:pPr>
    </w:p>
    <w:p>
      <w:pPr>
        <w:ind w:left="1140" w:hanging="929"/>
        <w:spacing w:after="0"/>
        <w:tabs>
          <w:tab w:leader="none" w:pos="1140" w:val="left"/>
        </w:tabs>
        <w:numPr>
          <w:ilvl w:val="0"/>
          <w:numId w:val="14"/>
        </w:numPr>
        <w:rPr>
          <w:rFonts w:ascii="Calibri" w:cs="Calibri" w:eastAsia="Calibri" w:hAnsi="Calibri"/>
          <w:sz w:val="18"/>
          <w:szCs w:val="18"/>
          <w:color w:val="auto"/>
        </w:rPr>
      </w:pPr>
      <w:r>
        <w:rPr>
          <w:rFonts w:ascii="Calibri" w:cs="Calibri" w:eastAsia="Calibri" w:hAnsi="Calibri"/>
          <w:sz w:val="18"/>
          <w:szCs w:val="18"/>
          <w:u w:val="single" w:color="auto"/>
          <w:color w:val="0000EE"/>
        </w:rPr>
        <w:t>Grants of Plan-Based Awards</w:t>
      </w:r>
    </w:p>
    <w:p>
      <w:pPr>
        <w:spacing w:after="0" w:line="37" w:lineRule="exact"/>
        <w:rPr>
          <w:sz w:val="20"/>
          <w:szCs w:val="20"/>
          <w:color w:val="auto"/>
        </w:rPr>
      </w:pPr>
    </w:p>
    <w:p>
      <w:pPr>
        <w:ind w:left="1140" w:hanging="929"/>
        <w:spacing w:after="0"/>
        <w:tabs>
          <w:tab w:leader="none" w:pos="1140" w:val="left"/>
        </w:tabs>
        <w:numPr>
          <w:ilvl w:val="0"/>
          <w:numId w:val="15"/>
        </w:numPr>
        <w:rPr>
          <w:rFonts w:ascii="Calibri" w:cs="Calibri" w:eastAsia="Calibri" w:hAnsi="Calibri"/>
          <w:sz w:val="18"/>
          <w:szCs w:val="18"/>
          <w:color w:val="auto"/>
        </w:rPr>
      </w:pPr>
      <w:r>
        <w:rPr>
          <w:rFonts w:ascii="Calibri" w:cs="Calibri" w:eastAsia="Calibri" w:hAnsi="Calibri"/>
          <w:sz w:val="18"/>
          <w:szCs w:val="18"/>
          <w:u w:val="single" w:color="auto"/>
          <w:color w:val="0000EE"/>
        </w:rPr>
        <w:t>Outstanding Equity Awards at Year End</w:t>
      </w:r>
    </w:p>
    <w:p>
      <w:pPr>
        <w:spacing w:after="0" w:line="36" w:lineRule="exact"/>
        <w:rPr>
          <w:rFonts w:ascii="Calibri" w:cs="Calibri" w:eastAsia="Calibri" w:hAnsi="Calibri"/>
          <w:sz w:val="18"/>
          <w:szCs w:val="18"/>
          <w:color w:val="auto"/>
        </w:rPr>
      </w:pPr>
    </w:p>
    <w:p>
      <w:pPr>
        <w:ind w:left="1140" w:hanging="929"/>
        <w:spacing w:after="0"/>
        <w:tabs>
          <w:tab w:leader="none" w:pos="1140" w:val="left"/>
        </w:tabs>
        <w:numPr>
          <w:ilvl w:val="0"/>
          <w:numId w:val="15"/>
        </w:numPr>
        <w:rPr>
          <w:rFonts w:ascii="Calibri" w:cs="Calibri" w:eastAsia="Calibri" w:hAnsi="Calibri"/>
          <w:sz w:val="18"/>
          <w:szCs w:val="18"/>
          <w:color w:val="auto"/>
        </w:rPr>
      </w:pPr>
      <w:r>
        <w:rPr>
          <w:rFonts w:ascii="Calibri" w:cs="Calibri" w:eastAsia="Calibri" w:hAnsi="Calibri"/>
          <w:sz w:val="18"/>
          <w:szCs w:val="18"/>
          <w:u w:val="single" w:color="auto"/>
          <w:color w:val="0000EE"/>
        </w:rPr>
        <w:t>Opton Exercises and Stock Awards Vested</w:t>
      </w:r>
    </w:p>
    <w:p>
      <w:pPr>
        <w:spacing w:after="0" w:line="37" w:lineRule="exact"/>
        <w:rPr>
          <w:sz w:val="20"/>
          <w:szCs w:val="20"/>
          <w:color w:val="auto"/>
        </w:rPr>
      </w:pPr>
    </w:p>
    <w:p>
      <w:pPr>
        <w:ind w:left="1140" w:hanging="929"/>
        <w:spacing w:after="0"/>
        <w:tabs>
          <w:tab w:leader="none" w:pos="1140" w:val="left"/>
        </w:tabs>
        <w:numPr>
          <w:ilvl w:val="0"/>
          <w:numId w:val="16"/>
        </w:numPr>
        <w:rPr>
          <w:rFonts w:ascii="Calibri" w:cs="Calibri" w:eastAsia="Calibri" w:hAnsi="Calibri"/>
          <w:sz w:val="18"/>
          <w:szCs w:val="18"/>
          <w:color w:val="auto"/>
        </w:rPr>
      </w:pPr>
      <w:r>
        <w:rPr>
          <w:rFonts w:ascii="Calibri" w:cs="Calibri" w:eastAsia="Calibri" w:hAnsi="Calibri"/>
          <w:sz w:val="18"/>
          <w:szCs w:val="18"/>
          <w:u w:val="single" w:color="auto"/>
          <w:color w:val="0000EE"/>
        </w:rPr>
        <w:t>Non-Qualifed Deferred Compensaton</w:t>
      </w:r>
    </w:p>
    <w:p>
      <w:pPr>
        <w:spacing w:after="0" w:line="41" w:lineRule="exact"/>
        <w:rPr>
          <w:rFonts w:ascii="Calibri" w:cs="Calibri" w:eastAsia="Calibri" w:hAnsi="Calibri"/>
          <w:sz w:val="18"/>
          <w:szCs w:val="18"/>
          <w:color w:val="auto"/>
        </w:rPr>
      </w:pPr>
    </w:p>
    <w:p>
      <w:pPr>
        <w:ind w:left="1140" w:hanging="929"/>
        <w:spacing w:after="0"/>
        <w:tabs>
          <w:tab w:leader="none" w:pos="1140" w:val="left"/>
        </w:tabs>
        <w:numPr>
          <w:ilvl w:val="0"/>
          <w:numId w:val="16"/>
        </w:numPr>
        <w:rPr>
          <w:rFonts w:ascii="Calibri" w:cs="Calibri" w:eastAsia="Calibri" w:hAnsi="Calibri"/>
          <w:sz w:val="17"/>
          <w:szCs w:val="17"/>
          <w:color w:val="auto"/>
        </w:rPr>
      </w:pPr>
      <w:r>
        <w:rPr>
          <w:rFonts w:ascii="Calibri" w:cs="Calibri" w:eastAsia="Calibri" w:hAnsi="Calibri"/>
          <w:sz w:val="17"/>
          <w:szCs w:val="17"/>
          <w:u w:val="single" w:color="auto"/>
          <w:color w:val="0000EE"/>
        </w:rPr>
        <w:t>Potental Payments Upon Terminaton or Change in Control</w:t>
      </w:r>
    </w:p>
    <w:p>
      <w:pPr>
        <w:spacing w:after="0" w:line="44" w:lineRule="exact"/>
        <w:rPr>
          <w:sz w:val="20"/>
          <w:szCs w:val="20"/>
          <w:color w:val="auto"/>
        </w:rPr>
      </w:pPr>
    </w:p>
    <w:p>
      <w:pPr>
        <w:ind w:left="1140" w:hanging="929"/>
        <w:spacing w:after="0"/>
        <w:tabs>
          <w:tab w:leader="none" w:pos="1140" w:val="left"/>
        </w:tabs>
        <w:numPr>
          <w:ilvl w:val="0"/>
          <w:numId w:val="17"/>
        </w:numPr>
        <w:rPr>
          <w:rFonts w:ascii="Calibri" w:cs="Calibri" w:eastAsia="Calibri" w:hAnsi="Calibri"/>
          <w:sz w:val="18"/>
          <w:szCs w:val="18"/>
          <w:color w:val="auto"/>
        </w:rPr>
      </w:pPr>
      <w:r>
        <w:rPr>
          <w:rFonts w:ascii="Calibri" w:cs="Calibri" w:eastAsia="Calibri" w:hAnsi="Calibri"/>
          <w:sz w:val="18"/>
          <w:szCs w:val="18"/>
          <w:u w:val="single" w:color="auto"/>
          <w:color w:val="0000EE"/>
        </w:rPr>
        <w:t>CEO Pay Rato</w:t>
      </w:r>
    </w:p>
    <w:p>
      <w:pPr>
        <w:spacing w:after="0" w:line="41" w:lineRule="exact"/>
        <w:rPr>
          <w:rFonts w:ascii="Calibri" w:cs="Calibri" w:eastAsia="Calibri" w:hAnsi="Calibri"/>
          <w:sz w:val="18"/>
          <w:szCs w:val="18"/>
          <w:color w:val="auto"/>
        </w:rPr>
      </w:pPr>
    </w:p>
    <w:p>
      <w:pPr>
        <w:ind w:left="1160" w:right="60" w:hanging="949"/>
        <w:spacing w:after="0" w:line="254" w:lineRule="auto"/>
        <w:tabs>
          <w:tab w:leader="none" w:pos="1160" w:val="left"/>
        </w:tabs>
        <w:numPr>
          <w:ilvl w:val="0"/>
          <w:numId w:val="17"/>
        </w:numPr>
        <w:rPr>
          <w:rFonts w:ascii="Calibri" w:cs="Calibri" w:eastAsia="Calibri" w:hAnsi="Calibri"/>
          <w:sz w:val="17"/>
          <w:szCs w:val="17"/>
          <w:color w:val="auto"/>
        </w:rPr>
      </w:pPr>
      <w:r>
        <w:rPr>
          <w:rFonts w:ascii="Calibri" w:cs="Calibri" w:eastAsia="Calibri" w:hAnsi="Calibri"/>
          <w:sz w:val="17"/>
          <w:szCs w:val="17"/>
          <w:b w:val="1"/>
          <w:bCs w:val="1"/>
          <w:color w:val="AF0000"/>
        </w:rPr>
        <w:t xml:space="preserve">Proposal 3 </w:t>
      </w:r>
      <w:r>
        <w:rPr>
          <w:rFonts w:ascii="Calibri" w:cs="Calibri" w:eastAsia="Calibri" w:hAnsi="Calibri"/>
          <w:sz w:val="17"/>
          <w:szCs w:val="17"/>
          <w:color w:val="0000EE"/>
        </w:rPr>
        <w:t>– Approval of an amendment to increase the</w:t>
      </w:r>
      <w:r>
        <w:rPr>
          <w:rFonts w:ascii="Calibri" w:cs="Calibri" w:eastAsia="Calibri" w:hAnsi="Calibri"/>
          <w:sz w:val="17"/>
          <w:szCs w:val="17"/>
          <w:b w:val="1"/>
          <w:bCs w:val="1"/>
          <w:color w:val="AF0000"/>
        </w:rPr>
        <w:t xml:space="preserve"> </w:t>
      </w:r>
      <w:r>
        <w:rPr>
          <w:rFonts w:ascii="Calibri" w:cs="Calibri" w:eastAsia="Calibri" w:hAnsi="Calibri"/>
          <w:sz w:val="17"/>
          <w:szCs w:val="17"/>
          <w:u w:val="single" w:color="auto"/>
          <w:color w:val="0000EE"/>
        </w:rPr>
        <w:t>number of shares authorized for issuance under the Merit Medical Systems, Inc. 2018 Long-Term Incentve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-300355</wp:posOffset>
            </wp:positionV>
            <wp:extent cx="25285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880" w:hanging="669"/>
        <w:spacing w:after="0"/>
        <w:tabs>
          <w:tab w:leader="none" w:pos="880" w:val="left"/>
        </w:tabs>
        <w:numPr>
          <w:ilvl w:val="0"/>
          <w:numId w:val="18"/>
        </w:numPr>
        <w:rPr>
          <w:rFonts w:ascii="Calibri" w:cs="Calibri" w:eastAsia="Calibri" w:hAnsi="Calibri"/>
          <w:sz w:val="18"/>
          <w:szCs w:val="18"/>
          <w:color w:val="auto"/>
        </w:rPr>
      </w:pPr>
      <w:r>
        <w:rPr>
          <w:rFonts w:ascii="Calibri" w:cs="Calibri" w:eastAsia="Calibri" w:hAnsi="Calibri"/>
          <w:sz w:val="18"/>
          <w:szCs w:val="18"/>
          <w:b w:val="1"/>
          <w:bCs w:val="1"/>
          <w:u w:val="single" w:color="auto"/>
          <w:color w:val="0000EE"/>
        </w:rPr>
        <w:t>Audit Maters</w:t>
      </w:r>
    </w:p>
    <w:p>
      <w:pPr>
        <w:spacing w:after="0" w:line="37" w:lineRule="exact"/>
        <w:rPr>
          <w:sz w:val="20"/>
          <w:szCs w:val="20"/>
          <w:color w:val="auto"/>
        </w:rPr>
      </w:pPr>
    </w:p>
    <w:p>
      <w:pPr>
        <w:ind w:left="1160" w:hanging="949"/>
        <w:spacing w:after="0"/>
        <w:tabs>
          <w:tab w:leader="none" w:pos="1160" w:val="left"/>
        </w:tabs>
        <w:numPr>
          <w:ilvl w:val="0"/>
          <w:numId w:val="19"/>
        </w:numPr>
        <w:rPr>
          <w:rFonts w:ascii="Calibri" w:cs="Calibri" w:eastAsia="Calibri" w:hAnsi="Calibri"/>
          <w:sz w:val="18"/>
          <w:szCs w:val="18"/>
          <w:color w:val="auto"/>
        </w:rPr>
      </w:pPr>
      <w:r>
        <w:rPr>
          <w:rFonts w:ascii="Calibri" w:cs="Calibri" w:eastAsia="Calibri" w:hAnsi="Calibri"/>
          <w:sz w:val="18"/>
          <w:szCs w:val="18"/>
          <w:u w:val="single" w:color="auto"/>
          <w:color w:val="0000EE"/>
        </w:rPr>
        <w:t>Audit Commitee Report</w:t>
      </w:r>
    </w:p>
    <w:p>
      <w:pPr>
        <w:spacing w:after="0" w:line="41" w:lineRule="exact"/>
        <w:rPr>
          <w:rFonts w:ascii="Calibri" w:cs="Calibri" w:eastAsia="Calibri" w:hAnsi="Calibri"/>
          <w:sz w:val="18"/>
          <w:szCs w:val="18"/>
          <w:color w:val="auto"/>
        </w:rPr>
      </w:pPr>
    </w:p>
    <w:p>
      <w:pPr>
        <w:ind w:left="1160" w:right="120" w:hanging="949"/>
        <w:spacing w:after="0" w:line="235" w:lineRule="auto"/>
        <w:tabs>
          <w:tab w:leader="none" w:pos="1160" w:val="left"/>
        </w:tabs>
        <w:numPr>
          <w:ilvl w:val="0"/>
          <w:numId w:val="19"/>
        </w:numPr>
        <w:rPr>
          <w:rFonts w:ascii="Calibri" w:cs="Calibri" w:eastAsia="Calibri" w:hAnsi="Calibri"/>
          <w:sz w:val="18"/>
          <w:szCs w:val="18"/>
          <w:color w:val="auto"/>
        </w:rPr>
      </w:pPr>
      <w:r>
        <w:rPr>
          <w:rFonts w:ascii="Calibri" w:cs="Calibri" w:eastAsia="Calibri" w:hAnsi="Calibri"/>
          <w:sz w:val="18"/>
          <w:szCs w:val="18"/>
          <w:b w:val="1"/>
          <w:bCs w:val="1"/>
          <w:color w:val="AF0000"/>
        </w:rPr>
        <w:t xml:space="preserve">Proposal 4 </w:t>
      </w:r>
      <w:r>
        <w:rPr>
          <w:rFonts w:ascii="Calibri" w:cs="Calibri" w:eastAsia="Calibri" w:hAnsi="Calibri"/>
          <w:sz w:val="18"/>
          <w:szCs w:val="18"/>
          <w:color w:val="0000EE"/>
        </w:rPr>
        <w:t>– Ratfcaton of Appointment of Independent</w:t>
      </w:r>
      <w:r>
        <w:rPr>
          <w:rFonts w:ascii="Calibri" w:cs="Calibri" w:eastAsia="Calibri" w:hAnsi="Calibri"/>
          <w:sz w:val="18"/>
          <w:szCs w:val="18"/>
          <w:b w:val="1"/>
          <w:bCs w:val="1"/>
          <w:color w:val="AF0000"/>
        </w:rPr>
        <w:t xml:space="preserve"> </w:t>
      </w:r>
      <w:r>
        <w:rPr>
          <w:rFonts w:ascii="Calibri" w:cs="Calibri" w:eastAsia="Calibri" w:hAnsi="Calibri"/>
          <w:sz w:val="18"/>
          <w:szCs w:val="18"/>
          <w:u w:val="single" w:color="auto"/>
          <w:color w:val="0000EE"/>
        </w:rPr>
        <w:t>Registered Public Accountng Firm</w:t>
      </w:r>
    </w:p>
    <w:p>
      <w:pPr>
        <w:spacing w:after="0" w:line="23" w:lineRule="exact"/>
        <w:rPr>
          <w:rFonts w:ascii="Calibri" w:cs="Calibri" w:eastAsia="Calibri" w:hAnsi="Calibri"/>
          <w:sz w:val="18"/>
          <w:szCs w:val="18"/>
          <w:color w:val="auto"/>
        </w:rPr>
      </w:pPr>
    </w:p>
    <w:p>
      <w:pPr>
        <w:ind w:left="880" w:hanging="669"/>
        <w:spacing w:after="0"/>
        <w:tabs>
          <w:tab w:leader="none" w:pos="880" w:val="left"/>
        </w:tabs>
        <w:numPr>
          <w:ilvl w:val="0"/>
          <w:numId w:val="19"/>
        </w:numPr>
        <w:rPr>
          <w:rFonts w:ascii="Calibri" w:cs="Calibri" w:eastAsia="Calibri" w:hAnsi="Calibri"/>
          <w:sz w:val="18"/>
          <w:szCs w:val="18"/>
          <w:color w:val="auto"/>
        </w:rPr>
      </w:pPr>
      <w:r>
        <w:rPr>
          <w:rFonts w:ascii="Calibri" w:cs="Calibri" w:eastAsia="Calibri" w:hAnsi="Calibri"/>
          <w:sz w:val="18"/>
          <w:szCs w:val="18"/>
          <w:b w:val="1"/>
          <w:bCs w:val="1"/>
          <w:u w:val="single" w:color="auto"/>
          <w:color w:val="0000EE"/>
        </w:rPr>
        <w:t>Stock Ownership and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-310515</wp:posOffset>
            </wp:positionV>
            <wp:extent cx="2571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7" w:lineRule="exact"/>
        <w:rPr>
          <w:sz w:val="20"/>
          <w:szCs w:val="20"/>
          <w:color w:val="auto"/>
        </w:rPr>
      </w:pPr>
    </w:p>
    <w:p>
      <w:pPr>
        <w:ind w:left="1140" w:hanging="929"/>
        <w:spacing w:after="0"/>
        <w:tabs>
          <w:tab w:leader="none" w:pos="1140" w:val="left"/>
        </w:tabs>
        <w:numPr>
          <w:ilvl w:val="0"/>
          <w:numId w:val="20"/>
        </w:numPr>
        <w:rPr>
          <w:rFonts w:ascii="Calibri" w:cs="Calibri" w:eastAsia="Calibri" w:hAnsi="Calibri"/>
          <w:sz w:val="18"/>
          <w:szCs w:val="18"/>
          <w:color w:val="auto"/>
        </w:rPr>
      </w:pPr>
      <w:r>
        <w:rPr>
          <w:rFonts w:ascii="Calibri" w:cs="Calibri" w:eastAsia="Calibri" w:hAnsi="Calibri"/>
          <w:sz w:val="18"/>
          <w:szCs w:val="18"/>
          <w:u w:val="single" w:color="auto"/>
          <w:color w:val="0000EE"/>
        </w:rPr>
        <w:t>Principal Holders of Votng Securites</w:t>
      </w:r>
    </w:p>
    <w:p>
      <w:pPr>
        <w:spacing w:after="0" w:line="36" w:lineRule="exact"/>
        <w:rPr>
          <w:rFonts w:ascii="Calibri" w:cs="Calibri" w:eastAsia="Calibri" w:hAnsi="Calibri"/>
          <w:sz w:val="18"/>
          <w:szCs w:val="18"/>
          <w:color w:val="auto"/>
        </w:rPr>
      </w:pPr>
    </w:p>
    <w:p>
      <w:pPr>
        <w:ind w:left="880" w:hanging="669"/>
        <w:spacing w:after="0"/>
        <w:tabs>
          <w:tab w:leader="none" w:pos="880" w:val="left"/>
        </w:tabs>
        <w:numPr>
          <w:ilvl w:val="0"/>
          <w:numId w:val="21"/>
        </w:numPr>
        <w:rPr>
          <w:rFonts w:ascii="Calibri" w:cs="Calibri" w:eastAsia="Calibri" w:hAnsi="Calibri"/>
          <w:sz w:val="18"/>
          <w:szCs w:val="18"/>
          <w:color w:val="auto"/>
        </w:rPr>
      </w:pPr>
      <w:r>
        <w:rPr>
          <w:rFonts w:ascii="Calibri" w:cs="Calibri" w:eastAsia="Calibri" w:hAnsi="Calibri"/>
          <w:sz w:val="18"/>
          <w:szCs w:val="18"/>
          <w:b w:val="1"/>
          <w:bCs w:val="1"/>
          <w:u w:val="single" w:color="auto"/>
          <w:color w:val="0000EE"/>
        </w:rPr>
        <w:t>Other Proxy Informaton</w:t>
      </w:r>
    </w:p>
    <w:p>
      <w:pPr>
        <w:spacing w:after="0" w:line="37" w:lineRule="exact"/>
        <w:rPr>
          <w:sz w:val="20"/>
          <w:szCs w:val="20"/>
          <w:color w:val="auto"/>
        </w:rPr>
      </w:pPr>
    </w:p>
    <w:p>
      <w:pPr>
        <w:ind w:left="1160" w:hanging="949"/>
        <w:spacing w:after="0"/>
        <w:tabs>
          <w:tab w:leader="none" w:pos="1160" w:val="left"/>
        </w:tabs>
        <w:numPr>
          <w:ilvl w:val="0"/>
          <w:numId w:val="22"/>
        </w:numPr>
        <w:rPr>
          <w:rFonts w:ascii="Calibri" w:cs="Calibri" w:eastAsia="Calibri" w:hAnsi="Calibri"/>
          <w:sz w:val="18"/>
          <w:szCs w:val="18"/>
          <w:color w:val="auto"/>
        </w:rPr>
      </w:pPr>
      <w:r>
        <w:rPr>
          <w:rFonts w:ascii="Calibri" w:cs="Calibri" w:eastAsia="Calibri" w:hAnsi="Calibri"/>
          <w:sz w:val="18"/>
          <w:szCs w:val="18"/>
          <w:u w:val="single" w:color="auto"/>
          <w:color w:val="0000EE"/>
        </w:rPr>
        <w:t>Informaton About the Annual Meetng and Votng</w:t>
      </w:r>
    </w:p>
    <w:p>
      <w:pPr>
        <w:spacing w:after="0" w:line="37" w:lineRule="exact"/>
        <w:rPr>
          <w:sz w:val="20"/>
          <w:szCs w:val="20"/>
          <w:color w:val="auto"/>
        </w:rPr>
      </w:pPr>
    </w:p>
    <w:p>
      <w:pPr>
        <w:ind w:left="1160" w:hanging="949"/>
        <w:spacing w:after="0"/>
        <w:tabs>
          <w:tab w:leader="none" w:pos="1160" w:val="left"/>
        </w:tabs>
        <w:numPr>
          <w:ilvl w:val="0"/>
          <w:numId w:val="23"/>
        </w:numPr>
        <w:rPr>
          <w:rFonts w:ascii="Calibri" w:cs="Calibri" w:eastAsia="Calibri" w:hAnsi="Calibri"/>
          <w:sz w:val="18"/>
          <w:szCs w:val="18"/>
          <w:color w:val="auto"/>
        </w:rPr>
      </w:pPr>
      <w:r>
        <w:rPr>
          <w:rFonts w:ascii="Calibri" w:cs="Calibri" w:eastAsia="Calibri" w:hAnsi="Calibri"/>
          <w:sz w:val="18"/>
          <w:szCs w:val="18"/>
          <w:u w:val="single" w:color="auto"/>
          <w:color w:val="0000EE"/>
        </w:rPr>
        <w:t>Other Maters</w:t>
      </w:r>
    </w:p>
    <w:p>
      <w:pPr>
        <w:spacing w:after="0" w:line="37" w:lineRule="exact"/>
        <w:rPr>
          <w:sz w:val="20"/>
          <w:szCs w:val="20"/>
          <w:color w:val="auto"/>
        </w:rPr>
      </w:pPr>
    </w:p>
    <w:p>
      <w:pPr>
        <w:ind w:left="1160" w:hanging="949"/>
        <w:spacing w:after="0"/>
        <w:tabs>
          <w:tab w:leader="none" w:pos="1160" w:val="left"/>
        </w:tabs>
        <w:numPr>
          <w:ilvl w:val="0"/>
          <w:numId w:val="24"/>
        </w:numPr>
        <w:rPr>
          <w:rFonts w:ascii="Calibri" w:cs="Calibri" w:eastAsia="Calibri" w:hAnsi="Calibri"/>
          <w:sz w:val="18"/>
          <w:szCs w:val="18"/>
          <w:color w:val="auto"/>
        </w:rPr>
      </w:pPr>
      <w:r>
        <w:rPr>
          <w:rFonts w:ascii="Calibri" w:cs="Calibri" w:eastAsia="Calibri" w:hAnsi="Calibri"/>
          <w:sz w:val="18"/>
          <w:szCs w:val="18"/>
          <w:u w:val="single" w:color="auto"/>
          <w:color w:val="0000EE"/>
        </w:rPr>
        <w:t>Shareholder Proposals for Annual Meetng 2025</w:t>
      </w:r>
    </w:p>
    <w:p>
      <w:pPr>
        <w:spacing w:after="0" w:line="36" w:lineRule="exact"/>
        <w:rPr>
          <w:rFonts w:ascii="Calibri" w:cs="Calibri" w:eastAsia="Calibri" w:hAnsi="Calibri"/>
          <w:sz w:val="18"/>
          <w:szCs w:val="18"/>
          <w:color w:val="auto"/>
        </w:rPr>
      </w:pPr>
    </w:p>
    <w:p>
      <w:pPr>
        <w:ind w:left="1160" w:hanging="949"/>
        <w:spacing w:after="0"/>
        <w:tabs>
          <w:tab w:leader="none" w:pos="1160" w:val="left"/>
        </w:tabs>
        <w:numPr>
          <w:ilvl w:val="0"/>
          <w:numId w:val="24"/>
        </w:numPr>
        <w:rPr>
          <w:rFonts w:ascii="Calibri" w:cs="Calibri" w:eastAsia="Calibri" w:hAnsi="Calibri"/>
          <w:sz w:val="18"/>
          <w:szCs w:val="18"/>
          <w:color w:val="auto"/>
        </w:rPr>
      </w:pPr>
      <w:r>
        <w:rPr>
          <w:rFonts w:ascii="Calibri" w:cs="Calibri" w:eastAsia="Calibri" w:hAnsi="Calibri"/>
          <w:sz w:val="18"/>
          <w:szCs w:val="18"/>
          <w:u w:val="single" w:color="auto"/>
          <w:color w:val="0000EE"/>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5452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alibri" w:cs="Calibri" w:eastAsia="Calibri" w:hAnsi="Calibri"/>
          <w:sz w:val="16"/>
          <w:szCs w:val="16"/>
          <w:color w:val="AF0000"/>
        </w:rPr>
        <w:t>Purpose of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-196215</wp:posOffset>
            </wp:positionV>
            <wp:extent cx="1928495" cy="5786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8495" cy="5786120"/>
                    </a:xfrm>
                    <a:prstGeom prst="rect">
                      <a:avLst/>
                    </a:prstGeom>
                    <a:noFill/>
                  </pic:spPr>
                </pic:pic>
              </a:graphicData>
            </a:graphic>
          </wp:anchor>
        </w:drawing>
      </w:r>
    </w:p>
    <w:p>
      <w:pPr>
        <w:spacing w:after="0" w:line="111" w:lineRule="exact"/>
        <w:rPr>
          <w:sz w:val="20"/>
          <w:szCs w:val="20"/>
          <w:color w:val="auto"/>
        </w:rPr>
      </w:pPr>
    </w:p>
    <w:p>
      <w:pPr>
        <w:ind w:right="279"/>
        <w:spacing w:after="0" w:line="235" w:lineRule="auto"/>
        <w:rPr>
          <w:sz w:val="20"/>
          <w:szCs w:val="20"/>
          <w:color w:val="auto"/>
        </w:rPr>
      </w:pPr>
      <w:r>
        <w:rPr>
          <w:rFonts w:ascii="Calibri" w:cs="Calibri" w:eastAsia="Calibri" w:hAnsi="Calibri"/>
          <w:sz w:val="16"/>
          <w:szCs w:val="16"/>
          <w:color w:val="AF0000"/>
        </w:rPr>
        <w:t>On behalf of our Board of Directors, we are making these materials available to you in connecton with our solicitaton of proxies for our Annual Meetng. You are receiving this communicaton because you hold shares of Merit’s stock.</w:t>
      </w:r>
    </w:p>
    <w:p>
      <w:pPr>
        <w:spacing w:after="0" w:line="133" w:lineRule="exact"/>
        <w:rPr>
          <w:sz w:val="20"/>
          <w:szCs w:val="20"/>
          <w:color w:val="auto"/>
        </w:rPr>
      </w:pPr>
    </w:p>
    <w:p>
      <w:pPr>
        <w:spacing w:after="0"/>
        <w:rPr>
          <w:sz w:val="20"/>
          <w:szCs w:val="20"/>
          <w:color w:val="auto"/>
        </w:rPr>
      </w:pPr>
      <w:r>
        <w:rPr>
          <w:rFonts w:ascii="Calibri" w:cs="Calibri" w:eastAsia="Calibri" w:hAnsi="Calibri"/>
          <w:sz w:val="16"/>
          <w:szCs w:val="16"/>
          <w:color w:val="AF0000"/>
        </w:rPr>
        <w:t>What we need from you:</w:t>
      </w:r>
    </w:p>
    <w:p>
      <w:pPr>
        <w:spacing w:after="0" w:line="131" w:lineRule="exact"/>
        <w:rPr>
          <w:sz w:val="20"/>
          <w:szCs w:val="20"/>
          <w:color w:val="auto"/>
        </w:rPr>
      </w:pPr>
    </w:p>
    <w:p>
      <w:pPr>
        <w:ind w:right="319"/>
        <w:spacing w:after="0" w:line="235" w:lineRule="auto"/>
        <w:rPr>
          <w:sz w:val="20"/>
          <w:szCs w:val="20"/>
          <w:color w:val="auto"/>
        </w:rPr>
      </w:pPr>
      <w:r>
        <w:rPr>
          <w:rFonts w:ascii="Calibri" w:cs="Calibri" w:eastAsia="Calibri" w:hAnsi="Calibri"/>
          <w:sz w:val="16"/>
          <w:szCs w:val="16"/>
          <w:color w:val="AF0000"/>
        </w:rPr>
        <w:t>Please read these materials and submit your vote and proxy by telephone, Internet or, if you received your materials by mail, by completng and returning your proxy card. We ask that you vote in advance as soon as practcable.</w:t>
      </w:r>
    </w:p>
    <w:p>
      <w:pPr>
        <w:spacing w:after="0" w:line="133" w:lineRule="exact"/>
        <w:rPr>
          <w:sz w:val="20"/>
          <w:szCs w:val="20"/>
          <w:color w:val="auto"/>
        </w:rPr>
      </w:pPr>
    </w:p>
    <w:p>
      <w:pPr>
        <w:spacing w:after="0"/>
        <w:rPr>
          <w:sz w:val="20"/>
          <w:szCs w:val="20"/>
          <w:color w:val="auto"/>
        </w:rPr>
      </w:pPr>
      <w:r>
        <w:rPr>
          <w:rFonts w:ascii="Calibri" w:cs="Calibri" w:eastAsia="Calibri" w:hAnsi="Calibri"/>
          <w:sz w:val="16"/>
          <w:szCs w:val="16"/>
          <w:color w:val="AF0000"/>
        </w:rPr>
        <w:t>More informaton:</w:t>
      </w:r>
    </w:p>
    <w:p>
      <w:pPr>
        <w:spacing w:after="0" w:line="131" w:lineRule="exact"/>
        <w:rPr>
          <w:sz w:val="20"/>
          <w:szCs w:val="20"/>
          <w:color w:val="auto"/>
        </w:rPr>
      </w:pPr>
    </w:p>
    <w:p>
      <w:pPr>
        <w:ind w:right="259"/>
        <w:spacing w:after="0" w:line="237" w:lineRule="auto"/>
        <w:rPr>
          <w:sz w:val="20"/>
          <w:szCs w:val="20"/>
          <w:color w:val="auto"/>
        </w:rPr>
      </w:pPr>
      <w:r>
        <w:rPr>
          <w:rFonts w:ascii="Calibri" w:cs="Calibri" w:eastAsia="Calibri" w:hAnsi="Calibri"/>
          <w:sz w:val="16"/>
          <w:szCs w:val="16"/>
          <w:color w:val="AF0000"/>
        </w:rPr>
        <w:t>The Notce, this Proxy Statement and the accompanying form of proxy are frst being mailed or made available to our shareholders on or about April 5, 2024.</w:t>
      </w:r>
    </w:p>
    <w:p>
      <w:pPr>
        <w:spacing w:after="0" w:line="119" w:lineRule="exact"/>
        <w:rPr>
          <w:sz w:val="20"/>
          <w:szCs w:val="20"/>
          <w:color w:val="auto"/>
        </w:rPr>
      </w:pPr>
    </w:p>
    <w:p>
      <w:pPr>
        <w:ind w:right="259"/>
        <w:spacing w:after="0" w:line="237" w:lineRule="auto"/>
        <w:rPr>
          <w:sz w:val="20"/>
          <w:szCs w:val="20"/>
          <w:color w:val="auto"/>
        </w:rPr>
      </w:pPr>
      <w:r>
        <w:rPr>
          <w:rFonts w:ascii="Calibri" w:cs="Calibri" w:eastAsia="Calibri" w:hAnsi="Calibri"/>
          <w:sz w:val="16"/>
          <w:szCs w:val="16"/>
          <w:color w:val="AF0000"/>
        </w:rPr>
        <w:t>This Proxy Statement and the Company’s Annual Report on Form 10-K for the year ended December 31, 2023 (</w:t>
      </w:r>
      <w:r>
        <w:rPr>
          <w:rFonts w:ascii="Calibri" w:cs="Calibri" w:eastAsia="Calibri" w:hAnsi="Calibri"/>
          <w:sz w:val="16"/>
          <w:szCs w:val="16"/>
          <w:u w:val="single" w:color="auto"/>
          <w:color w:val="AF0000"/>
        </w:rPr>
        <w:t>Annual Report</w:t>
      </w:r>
      <w:r>
        <w:rPr>
          <w:rFonts w:ascii="Calibri" w:cs="Calibri" w:eastAsia="Calibri" w:hAnsi="Calibri"/>
          <w:sz w:val="16"/>
          <w:szCs w:val="16"/>
          <w:color w:val="AF0000"/>
        </w:rPr>
        <w:t xml:space="preserve">) are available online at: </w:t>
      </w:r>
      <w:r>
        <w:rPr>
          <w:rFonts w:ascii="Calibri" w:cs="Calibri" w:eastAsia="Calibri" w:hAnsi="Calibri"/>
          <w:sz w:val="16"/>
          <w:szCs w:val="16"/>
          <w:b w:val="1"/>
          <w:bCs w:val="1"/>
          <w:color w:val="AF0000"/>
        </w:rPr>
        <w:t>www.proxyvote.com.</w:t>
      </w:r>
    </w:p>
    <w:p>
      <w:pPr>
        <w:spacing w:after="0" w:line="133" w:lineRule="exact"/>
        <w:rPr>
          <w:sz w:val="20"/>
          <w:szCs w:val="20"/>
          <w:color w:val="auto"/>
        </w:rPr>
      </w:pPr>
    </w:p>
    <w:p>
      <w:pPr>
        <w:ind w:right="259"/>
        <w:spacing w:after="0" w:line="235" w:lineRule="auto"/>
        <w:rPr>
          <w:sz w:val="20"/>
          <w:szCs w:val="20"/>
          <w:color w:val="auto"/>
        </w:rPr>
      </w:pPr>
      <w:r>
        <w:rPr>
          <w:rFonts w:ascii="Calibri" w:cs="Calibri" w:eastAsia="Calibri" w:hAnsi="Calibri"/>
          <w:sz w:val="16"/>
          <w:szCs w:val="16"/>
          <w:color w:val="AF0000"/>
        </w:rPr>
        <w:t>You may also request a paper copy of the Annual Report, including the related fnancial statements and schedules, free of charge, by writng to the Corporate Secretary at the address below (principal executve ofces of the company):</w:t>
      </w:r>
    </w:p>
    <w:p>
      <w:pPr>
        <w:spacing w:after="0" w:line="13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F0000"/>
        </w:rPr>
        <w:t>Merit Medical Systems, Inc.</w:t>
      </w:r>
    </w:p>
    <w:p>
      <w:pPr>
        <w:spacing w:after="0" w:line="232" w:lineRule="auto"/>
        <w:rPr>
          <w:sz w:val="20"/>
          <w:szCs w:val="20"/>
          <w:color w:val="auto"/>
        </w:rPr>
      </w:pPr>
      <w:r>
        <w:rPr>
          <w:rFonts w:ascii="Calibri" w:cs="Calibri" w:eastAsia="Calibri" w:hAnsi="Calibri"/>
          <w:sz w:val="16"/>
          <w:szCs w:val="16"/>
          <w:b w:val="1"/>
          <w:bCs w:val="1"/>
          <w:color w:val="AF0000"/>
        </w:rPr>
        <w:t>Atn: Corporate Secretary</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F0000"/>
        </w:rPr>
        <w:t>1600 West Merit Parkway</w:t>
      </w:r>
    </w:p>
    <w:p>
      <w:pPr>
        <w:spacing w:after="0" w:line="232" w:lineRule="auto"/>
        <w:rPr>
          <w:sz w:val="20"/>
          <w:szCs w:val="20"/>
          <w:color w:val="auto"/>
        </w:rPr>
      </w:pPr>
      <w:r>
        <w:rPr>
          <w:rFonts w:ascii="Calibri" w:cs="Calibri" w:eastAsia="Calibri" w:hAnsi="Calibri"/>
          <w:sz w:val="16"/>
          <w:szCs w:val="16"/>
          <w:b w:val="1"/>
          <w:bCs w:val="1"/>
          <w:color w:val="AF0000"/>
        </w:rPr>
        <w:t>South Jordan, UT 84095</w:t>
      </w:r>
    </w:p>
    <w:p>
      <w:pPr>
        <w:sectPr>
          <w:pgSz w:w="11900" w:h="16838" w:orient="portrait"/>
          <w:cols w:equalWidth="0" w:num="2">
            <w:col w:w="5340" w:space="440"/>
            <w:col w:w="3239"/>
          </w:cols>
          <w:pgMar w:left="1440" w:top="504" w:right="1440" w:bottom="1440" w:gutter="0" w:footer="0" w:header="0"/>
        </w:sectPr>
      </w:pPr>
    </w:p>
    <w:bookmarkStart w:id="4" w:name="page5"/>
    <w:bookmarkEnd w:id="4"/>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Calibri" w:cs="Calibri" w:eastAsia="Calibri" w:hAnsi="Calibri"/>
          <w:sz w:val="32"/>
          <w:szCs w:val="32"/>
          <w:b w:val="1"/>
          <w:bCs w:val="1"/>
          <w:color w:val="FFFFFF"/>
        </w:rPr>
        <w:t>NOTICE OF 2024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-221615</wp:posOffset>
            </wp:positionV>
            <wp:extent cx="545211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4003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154940</wp:posOffset>
            </wp:positionV>
            <wp:extent cx="2520315"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03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60"/>
        <w:spacing w:after="0"/>
        <w:tabs>
          <w:tab w:leader="none" w:pos="4120" w:val="left"/>
          <w:tab w:leader="none" w:pos="6700" w:val="left"/>
        </w:tabs>
        <w:rPr>
          <w:sz w:val="20"/>
          <w:szCs w:val="20"/>
          <w:color w:val="auto"/>
        </w:rPr>
      </w:pPr>
      <w:r>
        <w:rPr>
          <w:rFonts w:ascii="Calibri" w:cs="Calibri" w:eastAsia="Calibri" w:hAnsi="Calibri"/>
          <w:sz w:val="25"/>
          <w:szCs w:val="25"/>
          <w:b w:val="1"/>
          <w:bCs w:val="1"/>
          <w:color w:val="AF0000"/>
        </w:rPr>
        <w:t>Date and Time</w:t>
      </w:r>
      <w:r>
        <w:rPr>
          <w:sz w:val="20"/>
          <w:szCs w:val="20"/>
          <w:color w:val="auto"/>
        </w:rPr>
        <w:tab/>
      </w:r>
      <w:r>
        <w:rPr>
          <w:rFonts w:ascii="Calibri" w:cs="Calibri" w:eastAsia="Calibri" w:hAnsi="Calibri"/>
          <w:sz w:val="25"/>
          <w:szCs w:val="25"/>
          <w:b w:val="1"/>
          <w:bCs w:val="1"/>
          <w:color w:val="AF0000"/>
        </w:rPr>
        <w:t>Access</w:t>
      </w:r>
      <w:r>
        <w:rPr>
          <w:sz w:val="20"/>
          <w:szCs w:val="20"/>
          <w:color w:val="auto"/>
        </w:rPr>
        <w:tab/>
      </w:r>
      <w:r>
        <w:rPr>
          <w:rFonts w:ascii="Calibri" w:cs="Calibri" w:eastAsia="Calibri" w:hAnsi="Calibri"/>
          <w:sz w:val="25"/>
          <w:szCs w:val="25"/>
          <w:b w:val="1"/>
          <w:bCs w:val="1"/>
          <w:color w:val="AF0000"/>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89535</wp:posOffset>
            </wp:positionV>
            <wp:extent cx="462915" cy="617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2915" cy="61722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106680</wp:posOffset>
            </wp:positionV>
            <wp:extent cx="574040" cy="582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0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200" w:type="dxa"/>
        <w:tblCellMar>
          <w:top w:w="0" w:type="dxa"/>
          <w:left w:w="0" w:type="dxa"/>
          <w:bottom w:w="0" w:type="dxa"/>
          <w:right w:w="0" w:type="dxa"/>
        </w:tblCellMar>
      </w:tblPr>
      <w:tr>
        <w:trPr>
          <w:trHeight w:val="30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tcPr>
          <w:p>
            <w:pPr>
              <w:jc w:val="center"/>
              <w:ind w:right="287"/>
              <w:spacing w:after="0"/>
              <w:rPr>
                <w:sz w:val="20"/>
                <w:szCs w:val="20"/>
                <w:color w:val="auto"/>
              </w:rPr>
            </w:pPr>
            <w:r>
              <w:rPr>
                <w:rFonts w:ascii="Calibri" w:cs="Calibri" w:eastAsia="Calibri" w:hAnsi="Calibri"/>
                <w:sz w:val="25"/>
                <w:szCs w:val="25"/>
                <w:b w:val="1"/>
                <w:bCs w:val="1"/>
                <w:color w:val="auto"/>
              </w:rPr>
              <w:t>May 15, 2024</w:t>
            </w:r>
          </w:p>
        </w:tc>
        <w:tc>
          <w:tcPr>
            <w:tcW w:w="3120" w:type="dxa"/>
            <w:vAlign w:val="bottom"/>
          </w:tcPr>
          <w:p>
            <w:pPr>
              <w:jc w:val="center"/>
              <w:ind w:right="18"/>
              <w:spacing w:after="0"/>
              <w:rPr>
                <w:sz w:val="20"/>
                <w:szCs w:val="20"/>
                <w:color w:val="auto"/>
              </w:rPr>
            </w:pPr>
            <w:r>
              <w:rPr>
                <w:rFonts w:ascii="Calibri" w:cs="Calibri" w:eastAsia="Calibri" w:hAnsi="Calibri"/>
                <w:sz w:val="25"/>
                <w:szCs w:val="25"/>
                <w:b w:val="1"/>
                <w:bCs w:val="1"/>
                <w:color w:val="auto"/>
              </w:rPr>
              <w:t>Webcast</w:t>
            </w:r>
          </w:p>
        </w:tc>
        <w:tc>
          <w:tcPr>
            <w:tcW w:w="2680" w:type="dxa"/>
            <w:vAlign w:val="bottom"/>
            <w:gridSpan w:val="2"/>
          </w:tcPr>
          <w:p>
            <w:pPr>
              <w:jc w:val="center"/>
              <w:ind w:right="110"/>
              <w:spacing w:after="0"/>
              <w:rPr>
                <w:sz w:val="20"/>
                <w:szCs w:val="20"/>
                <w:color w:val="auto"/>
              </w:rPr>
            </w:pPr>
            <w:r>
              <w:rPr>
                <w:rFonts w:ascii="Calibri" w:cs="Calibri" w:eastAsia="Calibri" w:hAnsi="Calibri"/>
                <w:sz w:val="25"/>
                <w:szCs w:val="25"/>
                <w:b w:val="1"/>
                <w:bCs w:val="1"/>
                <w:color w:val="auto"/>
              </w:rPr>
              <w:t>March 18, 2024</w:t>
            </w:r>
          </w:p>
        </w:tc>
      </w:tr>
      <w:tr>
        <w:trPr>
          <w:trHeight w:val="226"/>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60" w:type="dxa"/>
            <w:vAlign w:val="bottom"/>
          </w:tcPr>
          <w:p>
            <w:pPr>
              <w:jc w:val="center"/>
              <w:ind w:right="267"/>
              <w:spacing w:after="0"/>
              <w:rPr>
                <w:sz w:val="20"/>
                <w:szCs w:val="20"/>
                <w:color w:val="auto"/>
              </w:rPr>
            </w:pPr>
            <w:r>
              <w:rPr>
                <w:rFonts w:ascii="Calibri" w:cs="Calibri" w:eastAsia="Calibri" w:hAnsi="Calibri"/>
                <w:sz w:val="18"/>
                <w:szCs w:val="18"/>
                <w:color w:val="auto"/>
                <w:w w:val="98"/>
              </w:rPr>
              <w:t>2:00 p.m.</w:t>
            </w:r>
          </w:p>
        </w:tc>
        <w:tc>
          <w:tcPr>
            <w:tcW w:w="3120" w:type="dxa"/>
            <w:vAlign w:val="bottom"/>
          </w:tcPr>
          <w:p>
            <w:pPr>
              <w:jc w:val="center"/>
              <w:ind w:right="18"/>
              <w:spacing w:after="0"/>
              <w:rPr>
                <w:sz w:val="20"/>
                <w:szCs w:val="20"/>
                <w:color w:val="auto"/>
              </w:rPr>
            </w:pPr>
            <w:r>
              <w:rPr>
                <w:rFonts w:ascii="Calibri" w:cs="Calibri" w:eastAsia="Calibri" w:hAnsi="Calibri"/>
                <w:sz w:val="18"/>
                <w:szCs w:val="18"/>
                <w:color w:val="auto"/>
                <w:w w:val="97"/>
              </w:rPr>
              <w:t>www.virtualshareholdermeetng.com</w:t>
            </w:r>
          </w:p>
        </w:tc>
        <w:tc>
          <w:tcPr>
            <w:tcW w:w="2680" w:type="dxa"/>
            <w:vAlign w:val="bottom"/>
            <w:gridSpan w:val="2"/>
          </w:tcPr>
          <w:p>
            <w:pPr>
              <w:jc w:val="center"/>
              <w:ind w:right="110"/>
              <w:spacing w:after="0"/>
              <w:rPr>
                <w:sz w:val="20"/>
                <w:szCs w:val="20"/>
                <w:color w:val="auto"/>
              </w:rPr>
            </w:pPr>
            <w:r>
              <w:rPr>
                <w:rFonts w:ascii="Calibri" w:cs="Calibri" w:eastAsia="Calibri" w:hAnsi="Calibri"/>
                <w:sz w:val="18"/>
                <w:szCs w:val="18"/>
                <w:color w:val="auto"/>
                <w:w w:val="97"/>
              </w:rPr>
              <w:t>Only shareholders of record on the</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Pr>
          <w:p>
            <w:pPr>
              <w:jc w:val="center"/>
              <w:ind w:right="287"/>
              <w:spacing w:after="0" w:line="215" w:lineRule="exact"/>
              <w:rPr>
                <w:sz w:val="20"/>
                <w:szCs w:val="20"/>
                <w:color w:val="auto"/>
              </w:rPr>
            </w:pPr>
            <w:r>
              <w:rPr>
                <w:rFonts w:ascii="Calibri" w:cs="Calibri" w:eastAsia="Calibri" w:hAnsi="Calibri"/>
                <w:sz w:val="18"/>
                <w:szCs w:val="18"/>
                <w:color w:val="auto"/>
                <w:w w:val="97"/>
              </w:rPr>
              <w:t>Mountain Time</w:t>
            </w:r>
          </w:p>
        </w:tc>
        <w:tc>
          <w:tcPr>
            <w:tcW w:w="3120" w:type="dxa"/>
            <w:vAlign w:val="bottom"/>
          </w:tcPr>
          <w:p>
            <w:pPr>
              <w:jc w:val="center"/>
              <w:ind w:right="18"/>
              <w:spacing w:after="0" w:line="215" w:lineRule="exact"/>
              <w:rPr>
                <w:sz w:val="20"/>
                <w:szCs w:val="20"/>
                <w:color w:val="auto"/>
              </w:rPr>
            </w:pPr>
            <w:r>
              <w:rPr>
                <w:rFonts w:ascii="Calibri" w:cs="Calibri" w:eastAsia="Calibri" w:hAnsi="Calibri"/>
                <w:sz w:val="18"/>
                <w:szCs w:val="18"/>
                <w:color w:val="auto"/>
                <w:w w:val="96"/>
              </w:rPr>
              <w:t>/MMSI2024</w:t>
            </w:r>
          </w:p>
        </w:tc>
        <w:tc>
          <w:tcPr>
            <w:tcW w:w="2680" w:type="dxa"/>
            <w:vAlign w:val="bottom"/>
            <w:gridSpan w:val="2"/>
          </w:tcPr>
          <w:p>
            <w:pPr>
              <w:jc w:val="center"/>
              <w:ind w:right="90"/>
              <w:spacing w:after="0" w:line="215" w:lineRule="exact"/>
              <w:rPr>
                <w:sz w:val="20"/>
                <w:szCs w:val="20"/>
                <w:color w:val="auto"/>
              </w:rPr>
            </w:pPr>
            <w:r>
              <w:rPr>
                <w:rFonts w:ascii="Calibri" w:cs="Calibri" w:eastAsia="Calibri" w:hAnsi="Calibri"/>
                <w:sz w:val="18"/>
                <w:szCs w:val="18"/>
                <w:color w:val="auto"/>
                <w:w w:val="97"/>
              </w:rPr>
              <w:t>Record Date may vote</w:t>
            </w:r>
          </w:p>
        </w:tc>
      </w:tr>
      <w:tr>
        <w:trPr>
          <w:trHeight w:val="463"/>
        </w:trPr>
        <w:tc>
          <w:tcPr>
            <w:tcW w:w="2800" w:type="dxa"/>
            <w:vAlign w:val="bottom"/>
            <w:gridSpan w:val="3"/>
          </w:tcPr>
          <w:p>
            <w:pPr>
              <w:spacing w:after="0"/>
              <w:rPr>
                <w:sz w:val="20"/>
                <w:szCs w:val="20"/>
                <w:color w:val="auto"/>
              </w:rPr>
            </w:pPr>
            <w:r>
              <w:rPr>
                <w:rFonts w:ascii="Calibri" w:cs="Calibri" w:eastAsia="Calibri" w:hAnsi="Calibri"/>
                <w:sz w:val="25"/>
                <w:szCs w:val="25"/>
                <w:b w:val="1"/>
                <w:bCs w:val="1"/>
                <w:color w:val="AF0000"/>
              </w:rPr>
              <w:t>Items of Business</w:t>
            </w:r>
          </w:p>
        </w:tc>
        <w:tc>
          <w:tcPr>
            <w:tcW w:w="3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420" w:type="dxa"/>
            <w:vAlign w:val="bottom"/>
            <w:tcBorders>
              <w:bottom w:val="single" w:sz="8" w:color="AF0000"/>
            </w:tcBorders>
          </w:tcPr>
          <w:p>
            <w:pPr>
              <w:spacing w:after="0"/>
              <w:rPr>
                <w:sz w:val="14"/>
                <w:szCs w:val="14"/>
                <w:color w:val="auto"/>
              </w:rPr>
            </w:pPr>
          </w:p>
        </w:tc>
        <w:tc>
          <w:tcPr>
            <w:tcW w:w="2360" w:type="dxa"/>
            <w:vAlign w:val="bottom"/>
            <w:tcBorders>
              <w:bottom w:val="single" w:sz="8" w:color="AF0000"/>
            </w:tcBorders>
          </w:tcPr>
          <w:p>
            <w:pPr>
              <w:spacing w:after="0"/>
              <w:rPr>
                <w:sz w:val="14"/>
                <w:szCs w:val="14"/>
                <w:color w:val="auto"/>
              </w:rPr>
            </w:pPr>
          </w:p>
        </w:tc>
        <w:tc>
          <w:tcPr>
            <w:tcW w:w="3120" w:type="dxa"/>
            <w:vAlign w:val="bottom"/>
            <w:tcBorders>
              <w:bottom w:val="single" w:sz="8" w:color="AF0000"/>
            </w:tcBorders>
          </w:tcPr>
          <w:p>
            <w:pPr>
              <w:spacing w:after="0"/>
              <w:rPr>
                <w:sz w:val="14"/>
                <w:szCs w:val="14"/>
                <w:color w:val="auto"/>
              </w:rPr>
            </w:pPr>
          </w:p>
        </w:tc>
        <w:tc>
          <w:tcPr>
            <w:tcW w:w="1620" w:type="dxa"/>
            <w:vAlign w:val="bottom"/>
            <w:tcBorders>
              <w:bottom w:val="single" w:sz="8" w:color="AF0000"/>
            </w:tcBorders>
          </w:tcPr>
          <w:p>
            <w:pPr>
              <w:spacing w:after="0"/>
              <w:rPr>
                <w:sz w:val="14"/>
                <w:szCs w:val="14"/>
                <w:color w:val="auto"/>
              </w:rPr>
            </w:pPr>
          </w:p>
        </w:tc>
        <w:tc>
          <w:tcPr>
            <w:tcW w:w="1060" w:type="dxa"/>
            <w:vAlign w:val="bottom"/>
            <w:tcBorders>
              <w:bottom w:val="single" w:sz="8" w:color="AF0000"/>
            </w:tcBorders>
          </w:tcPr>
          <w:p>
            <w:pPr>
              <w:spacing w:after="0"/>
              <w:rPr>
                <w:sz w:val="14"/>
                <w:szCs w:val="14"/>
                <w:color w:val="auto"/>
              </w:rPr>
            </w:pPr>
          </w:p>
        </w:tc>
      </w:tr>
      <w:tr>
        <w:trPr>
          <w:trHeight w:val="21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620" w:type="dxa"/>
            <w:vAlign w:val="bottom"/>
          </w:tcPr>
          <w:p>
            <w:pPr>
              <w:jc w:val="center"/>
              <w:ind w:left="66"/>
              <w:spacing w:after="0"/>
              <w:rPr>
                <w:sz w:val="20"/>
                <w:szCs w:val="20"/>
                <w:color w:val="auto"/>
              </w:rPr>
            </w:pPr>
            <w:r>
              <w:rPr>
                <w:rFonts w:ascii="Calibri" w:cs="Calibri" w:eastAsia="Calibri" w:hAnsi="Calibri"/>
                <w:sz w:val="18"/>
                <w:szCs w:val="18"/>
                <w:b w:val="1"/>
                <w:bCs w:val="1"/>
                <w:color w:val="auto"/>
                <w:w w:val="95"/>
              </w:rPr>
              <w:t>Board’s</w:t>
            </w:r>
          </w:p>
        </w:tc>
        <w:tc>
          <w:tcPr>
            <w:tcW w:w="106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More</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Pr>
          <w:p>
            <w:pPr>
              <w:ind w:left="140"/>
              <w:spacing w:after="0" w:line="216" w:lineRule="exact"/>
              <w:rPr>
                <w:sz w:val="20"/>
                <w:szCs w:val="20"/>
                <w:color w:val="auto"/>
              </w:rPr>
            </w:pPr>
            <w:r>
              <w:rPr>
                <w:rFonts w:ascii="Calibri" w:cs="Calibri" w:eastAsia="Calibri" w:hAnsi="Calibri"/>
                <w:sz w:val="18"/>
                <w:szCs w:val="18"/>
                <w:b w:val="1"/>
                <w:bCs w:val="1"/>
                <w:color w:val="auto"/>
              </w:rPr>
              <w:t>Proposals</w:t>
            </w:r>
          </w:p>
        </w:tc>
        <w:tc>
          <w:tcPr>
            <w:tcW w:w="3120" w:type="dxa"/>
            <w:vAlign w:val="bottom"/>
          </w:tcPr>
          <w:p>
            <w:pPr>
              <w:spacing w:after="0"/>
              <w:rPr>
                <w:sz w:val="18"/>
                <w:szCs w:val="18"/>
                <w:color w:val="auto"/>
              </w:rPr>
            </w:pPr>
          </w:p>
        </w:tc>
        <w:tc>
          <w:tcPr>
            <w:tcW w:w="1620" w:type="dxa"/>
            <w:vAlign w:val="bottom"/>
          </w:tcPr>
          <w:p>
            <w:pPr>
              <w:jc w:val="center"/>
              <w:ind w:left="46"/>
              <w:spacing w:after="0" w:line="216" w:lineRule="exact"/>
              <w:rPr>
                <w:sz w:val="20"/>
                <w:szCs w:val="20"/>
                <w:color w:val="auto"/>
              </w:rPr>
            </w:pPr>
            <w:r>
              <w:rPr>
                <w:rFonts w:ascii="Calibri" w:cs="Calibri" w:eastAsia="Calibri" w:hAnsi="Calibri"/>
                <w:sz w:val="18"/>
                <w:szCs w:val="18"/>
                <w:b w:val="1"/>
                <w:bCs w:val="1"/>
                <w:color w:val="auto"/>
                <w:w w:val="99"/>
              </w:rPr>
              <w:t>Recommendaton</w:t>
            </w:r>
          </w:p>
        </w:tc>
        <w:tc>
          <w:tcPr>
            <w:tcW w:w="10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Informaton</w:t>
            </w:r>
          </w:p>
        </w:tc>
      </w:tr>
      <w:tr>
        <w:trPr>
          <w:trHeight w:val="71"/>
        </w:trPr>
        <w:tc>
          <w:tcPr>
            <w:tcW w:w="440" w:type="dxa"/>
            <w:vAlign w:val="bottom"/>
            <w:gridSpan w:val="2"/>
          </w:tcPr>
          <w:p>
            <w:pPr>
              <w:spacing w:after="0"/>
              <w:rPr>
                <w:sz w:val="6"/>
                <w:szCs w:val="6"/>
                <w:color w:val="auto"/>
              </w:rPr>
            </w:pPr>
          </w:p>
        </w:tc>
        <w:tc>
          <w:tcPr>
            <w:tcW w:w="5480" w:type="dxa"/>
            <w:vAlign w:val="bottom"/>
            <w:gridSpan w:val="2"/>
          </w:tcPr>
          <w:p>
            <w:pPr>
              <w:spacing w:after="0"/>
              <w:rPr>
                <w:sz w:val="6"/>
                <w:szCs w:val="6"/>
                <w:color w:val="auto"/>
              </w:rPr>
            </w:pPr>
          </w:p>
        </w:tc>
        <w:tc>
          <w:tcPr>
            <w:tcW w:w="162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07"/>
        </w:trPr>
        <w:tc>
          <w:tcPr>
            <w:tcW w:w="20" w:type="dxa"/>
            <w:vAlign w:val="bottom"/>
          </w:tcPr>
          <w:p>
            <w:pPr>
              <w:spacing w:after="0"/>
              <w:rPr>
                <w:sz w:val="18"/>
                <w:szCs w:val="18"/>
                <w:color w:val="auto"/>
              </w:rPr>
            </w:pPr>
          </w:p>
        </w:tc>
        <w:tc>
          <w:tcPr>
            <w:tcW w:w="420" w:type="dxa"/>
            <w:vAlign w:val="bottom"/>
            <w:tcBorders>
              <w:top w:val="single" w:sz="8" w:color="AF0000"/>
            </w:tcBorders>
          </w:tcPr>
          <w:p>
            <w:pPr>
              <w:jc w:val="right"/>
              <w:ind w:right="50"/>
              <w:spacing w:after="0" w:line="207" w:lineRule="exact"/>
              <w:rPr>
                <w:sz w:val="20"/>
                <w:szCs w:val="20"/>
                <w:color w:val="auto"/>
              </w:rPr>
            </w:pPr>
            <w:r>
              <w:rPr>
                <w:rFonts w:ascii="Calibri" w:cs="Calibri" w:eastAsia="Calibri" w:hAnsi="Calibri"/>
                <w:sz w:val="18"/>
                <w:szCs w:val="18"/>
                <w:b w:val="1"/>
                <w:bCs w:val="1"/>
                <w:color w:val="AF0000"/>
              </w:rPr>
              <w:t>1</w:t>
            </w:r>
          </w:p>
        </w:tc>
        <w:tc>
          <w:tcPr>
            <w:tcW w:w="5480" w:type="dxa"/>
            <w:vAlign w:val="bottom"/>
            <w:tcBorders>
              <w:top w:val="single" w:sz="8" w:color="AF0000"/>
            </w:tcBorders>
            <w:gridSpan w:val="2"/>
          </w:tcPr>
          <w:p>
            <w:pPr>
              <w:ind w:left="140"/>
              <w:spacing w:after="0" w:line="207" w:lineRule="exact"/>
              <w:rPr>
                <w:sz w:val="20"/>
                <w:szCs w:val="20"/>
                <w:color w:val="auto"/>
              </w:rPr>
            </w:pPr>
            <w:r>
              <w:rPr>
                <w:rFonts w:ascii="Calibri" w:cs="Calibri" w:eastAsia="Calibri" w:hAnsi="Calibri"/>
                <w:sz w:val="18"/>
                <w:szCs w:val="18"/>
                <w:color w:val="auto"/>
              </w:rPr>
              <w:t>Elect three directors, each to serve untl 2027</w:t>
            </w:r>
          </w:p>
        </w:tc>
        <w:tc>
          <w:tcPr>
            <w:tcW w:w="1620" w:type="dxa"/>
            <w:vAlign w:val="bottom"/>
            <w:tcBorders>
              <w:top w:val="single" w:sz="8" w:color="AF0000"/>
            </w:tcBorders>
          </w:tcPr>
          <w:p>
            <w:pPr>
              <w:jc w:val="center"/>
              <w:ind w:left="26"/>
              <w:spacing w:after="0" w:line="207" w:lineRule="exact"/>
              <w:rPr>
                <w:sz w:val="20"/>
                <w:szCs w:val="20"/>
                <w:color w:val="auto"/>
              </w:rPr>
            </w:pPr>
            <w:r>
              <w:rPr>
                <w:rFonts w:ascii="Calibri" w:cs="Calibri" w:eastAsia="Calibri" w:hAnsi="Calibri"/>
                <w:sz w:val="18"/>
                <w:szCs w:val="18"/>
                <w:b w:val="1"/>
                <w:bCs w:val="1"/>
                <w:color w:val="AF0000"/>
                <w:w w:val="97"/>
              </w:rPr>
              <w:t>FOR</w:t>
            </w:r>
          </w:p>
        </w:tc>
        <w:tc>
          <w:tcPr>
            <w:tcW w:w="1060" w:type="dxa"/>
            <w:vAlign w:val="bottom"/>
            <w:tcBorders>
              <w:top w:val="single" w:sz="8" w:color="AF0000"/>
            </w:tcBorders>
          </w:tcPr>
          <w:p>
            <w:pPr>
              <w:jc w:val="center"/>
              <w:spacing w:after="0" w:line="207" w:lineRule="exact"/>
              <w:rPr>
                <w:sz w:val="20"/>
                <w:szCs w:val="20"/>
                <w:color w:val="auto"/>
              </w:rPr>
            </w:pPr>
            <w:r>
              <w:rPr>
                <w:rFonts w:ascii="Calibri" w:cs="Calibri" w:eastAsia="Calibri" w:hAnsi="Calibri"/>
                <w:sz w:val="18"/>
                <w:szCs w:val="18"/>
                <w:color w:val="auto"/>
                <w:w w:val="98"/>
              </w:rPr>
              <w:t>Page 5</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jc w:val="center"/>
              <w:ind w:left="46"/>
              <w:spacing w:after="0" w:line="215" w:lineRule="exact"/>
              <w:rPr>
                <w:sz w:val="20"/>
                <w:szCs w:val="20"/>
                <w:color w:val="auto"/>
              </w:rPr>
            </w:pPr>
            <w:r>
              <w:rPr>
                <w:rFonts w:ascii="Calibri" w:cs="Calibri" w:eastAsia="Calibri" w:hAnsi="Calibri"/>
                <w:sz w:val="18"/>
                <w:szCs w:val="18"/>
                <w:b w:val="1"/>
                <w:bCs w:val="1"/>
                <w:color w:val="AF0000"/>
                <w:w w:val="98"/>
              </w:rPr>
              <w:t>each nominee</w:t>
            </w:r>
          </w:p>
        </w:tc>
        <w:tc>
          <w:tcPr>
            <w:tcW w:w="1060" w:type="dxa"/>
            <w:vAlign w:val="bottom"/>
          </w:tcPr>
          <w:p>
            <w:pPr>
              <w:spacing w:after="0"/>
              <w:rPr>
                <w:sz w:val="18"/>
                <w:szCs w:val="18"/>
                <w:color w:val="auto"/>
              </w:rPr>
            </w:pPr>
          </w:p>
        </w:tc>
      </w:tr>
      <w:tr>
        <w:trPr>
          <w:trHeight w:val="37"/>
        </w:trPr>
        <w:tc>
          <w:tcPr>
            <w:tcW w:w="440" w:type="dxa"/>
            <w:vAlign w:val="bottom"/>
            <w:gridSpan w:val="2"/>
          </w:tcPr>
          <w:p>
            <w:pPr>
              <w:spacing w:after="0"/>
              <w:rPr>
                <w:sz w:val="3"/>
                <w:szCs w:val="3"/>
                <w:color w:val="auto"/>
              </w:rPr>
            </w:pPr>
          </w:p>
        </w:tc>
        <w:tc>
          <w:tcPr>
            <w:tcW w:w="5480" w:type="dxa"/>
            <w:vAlign w:val="bottom"/>
            <w:gridSpan w:val="2"/>
          </w:tcPr>
          <w:p>
            <w:pPr>
              <w:spacing w:after="0"/>
              <w:rPr>
                <w:sz w:val="3"/>
                <w:szCs w:val="3"/>
                <w:color w:val="auto"/>
              </w:rPr>
            </w:pPr>
          </w:p>
        </w:tc>
        <w:tc>
          <w:tcPr>
            <w:tcW w:w="16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1"/>
        </w:trPr>
        <w:tc>
          <w:tcPr>
            <w:tcW w:w="20" w:type="dxa"/>
            <w:vAlign w:val="bottom"/>
          </w:tcPr>
          <w:p>
            <w:pPr>
              <w:spacing w:after="0"/>
              <w:rPr>
                <w:sz w:val="17"/>
                <w:szCs w:val="17"/>
                <w:color w:val="auto"/>
              </w:rPr>
            </w:pPr>
          </w:p>
        </w:tc>
        <w:tc>
          <w:tcPr>
            <w:tcW w:w="420" w:type="dxa"/>
            <w:vAlign w:val="bottom"/>
            <w:tcBorders>
              <w:top w:val="single" w:sz="8" w:color="A6A6A6"/>
            </w:tcBorders>
          </w:tcPr>
          <w:p>
            <w:pPr>
              <w:jc w:val="right"/>
              <w:ind w:right="50"/>
              <w:spacing w:after="0" w:line="201" w:lineRule="exact"/>
              <w:rPr>
                <w:sz w:val="20"/>
                <w:szCs w:val="20"/>
                <w:color w:val="auto"/>
              </w:rPr>
            </w:pPr>
            <w:r>
              <w:rPr>
                <w:rFonts w:ascii="Calibri" w:cs="Calibri" w:eastAsia="Calibri" w:hAnsi="Calibri"/>
                <w:sz w:val="18"/>
                <w:szCs w:val="18"/>
                <w:b w:val="1"/>
                <w:bCs w:val="1"/>
                <w:color w:val="AF0000"/>
              </w:rPr>
              <w:t>2</w:t>
            </w:r>
          </w:p>
        </w:tc>
        <w:tc>
          <w:tcPr>
            <w:tcW w:w="5480" w:type="dxa"/>
            <w:vAlign w:val="bottom"/>
            <w:tcBorders>
              <w:top w:val="single" w:sz="8" w:color="A6A6A6"/>
            </w:tcBorders>
            <w:gridSpan w:val="2"/>
          </w:tcPr>
          <w:p>
            <w:pPr>
              <w:ind w:left="140"/>
              <w:spacing w:after="0" w:line="201" w:lineRule="exact"/>
              <w:rPr>
                <w:sz w:val="20"/>
                <w:szCs w:val="20"/>
                <w:color w:val="auto"/>
              </w:rPr>
            </w:pPr>
            <w:r>
              <w:rPr>
                <w:rFonts w:ascii="Calibri" w:cs="Calibri" w:eastAsia="Calibri" w:hAnsi="Calibri"/>
                <w:sz w:val="18"/>
                <w:szCs w:val="18"/>
                <w:color w:val="auto"/>
              </w:rPr>
              <w:t>Non-binding, advisory vote to approve named executve ofcer</w:t>
            </w:r>
          </w:p>
        </w:tc>
        <w:tc>
          <w:tcPr>
            <w:tcW w:w="1620" w:type="dxa"/>
            <w:vAlign w:val="bottom"/>
            <w:tcBorders>
              <w:top w:val="single" w:sz="8" w:color="A6A6A6"/>
            </w:tcBorders>
          </w:tcPr>
          <w:p>
            <w:pPr>
              <w:jc w:val="center"/>
              <w:ind w:left="66"/>
              <w:spacing w:after="0" w:line="201" w:lineRule="exact"/>
              <w:rPr>
                <w:sz w:val="20"/>
                <w:szCs w:val="20"/>
                <w:color w:val="auto"/>
              </w:rPr>
            </w:pPr>
            <w:r>
              <w:rPr>
                <w:rFonts w:ascii="Calibri" w:cs="Calibri" w:eastAsia="Calibri" w:hAnsi="Calibri"/>
                <w:sz w:val="18"/>
                <w:szCs w:val="18"/>
                <w:b w:val="1"/>
                <w:bCs w:val="1"/>
                <w:color w:val="AF0000"/>
                <w:w w:val="97"/>
              </w:rPr>
              <w:t>FOR</w:t>
            </w:r>
          </w:p>
        </w:tc>
        <w:tc>
          <w:tcPr>
            <w:tcW w:w="1060" w:type="dxa"/>
            <w:vAlign w:val="bottom"/>
            <w:tcBorders>
              <w:top w:val="single" w:sz="8" w:color="A6A6A6"/>
            </w:tcBorders>
          </w:tcPr>
          <w:p>
            <w:pPr>
              <w:jc w:val="center"/>
              <w:spacing w:after="0" w:line="201" w:lineRule="exact"/>
              <w:rPr>
                <w:sz w:val="20"/>
                <w:szCs w:val="20"/>
                <w:color w:val="auto"/>
              </w:rPr>
            </w:pPr>
            <w:r>
              <w:rPr>
                <w:rFonts w:ascii="Calibri" w:cs="Calibri" w:eastAsia="Calibri" w:hAnsi="Calibri"/>
                <w:sz w:val="18"/>
                <w:szCs w:val="18"/>
                <w:color w:val="auto"/>
                <w:w w:val="96"/>
              </w:rPr>
              <w:t>Page 57</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Pr>
          <w:p>
            <w:pPr>
              <w:ind w:left="140"/>
              <w:spacing w:after="0" w:line="215" w:lineRule="exact"/>
              <w:rPr>
                <w:sz w:val="20"/>
                <w:szCs w:val="20"/>
                <w:color w:val="auto"/>
              </w:rPr>
            </w:pPr>
            <w:r>
              <w:rPr>
                <w:rFonts w:ascii="Calibri" w:cs="Calibri" w:eastAsia="Calibri" w:hAnsi="Calibri"/>
                <w:sz w:val="18"/>
                <w:szCs w:val="18"/>
                <w:color w:val="auto"/>
              </w:rPr>
              <w:t>compensaton (“Say on Pay”)</w:t>
            </w: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7"/>
        </w:trPr>
        <w:tc>
          <w:tcPr>
            <w:tcW w:w="440" w:type="dxa"/>
            <w:vAlign w:val="bottom"/>
            <w:gridSpan w:val="2"/>
          </w:tcPr>
          <w:p>
            <w:pPr>
              <w:spacing w:after="0"/>
              <w:rPr>
                <w:sz w:val="3"/>
                <w:szCs w:val="3"/>
                <w:color w:val="auto"/>
              </w:rPr>
            </w:pPr>
          </w:p>
        </w:tc>
        <w:tc>
          <w:tcPr>
            <w:tcW w:w="5480" w:type="dxa"/>
            <w:vAlign w:val="bottom"/>
            <w:gridSpan w:val="2"/>
          </w:tcPr>
          <w:p>
            <w:pPr>
              <w:spacing w:after="0"/>
              <w:rPr>
                <w:sz w:val="3"/>
                <w:szCs w:val="3"/>
                <w:color w:val="auto"/>
              </w:rPr>
            </w:pPr>
          </w:p>
        </w:tc>
        <w:tc>
          <w:tcPr>
            <w:tcW w:w="16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1"/>
        </w:trPr>
        <w:tc>
          <w:tcPr>
            <w:tcW w:w="20" w:type="dxa"/>
            <w:vAlign w:val="bottom"/>
          </w:tcPr>
          <w:p>
            <w:pPr>
              <w:spacing w:after="0"/>
              <w:rPr>
                <w:sz w:val="17"/>
                <w:szCs w:val="17"/>
                <w:color w:val="auto"/>
              </w:rPr>
            </w:pPr>
          </w:p>
        </w:tc>
        <w:tc>
          <w:tcPr>
            <w:tcW w:w="420" w:type="dxa"/>
            <w:vAlign w:val="bottom"/>
            <w:tcBorders>
              <w:top w:val="single" w:sz="8" w:color="A6A6A6"/>
            </w:tcBorders>
          </w:tcPr>
          <w:p>
            <w:pPr>
              <w:jc w:val="right"/>
              <w:ind w:right="50"/>
              <w:spacing w:after="0" w:line="201" w:lineRule="exact"/>
              <w:rPr>
                <w:sz w:val="20"/>
                <w:szCs w:val="20"/>
                <w:color w:val="auto"/>
              </w:rPr>
            </w:pPr>
            <w:r>
              <w:rPr>
                <w:rFonts w:ascii="Calibri" w:cs="Calibri" w:eastAsia="Calibri" w:hAnsi="Calibri"/>
                <w:sz w:val="18"/>
                <w:szCs w:val="18"/>
                <w:b w:val="1"/>
                <w:bCs w:val="1"/>
                <w:color w:val="AF0000"/>
              </w:rPr>
              <w:t>3</w:t>
            </w:r>
          </w:p>
        </w:tc>
        <w:tc>
          <w:tcPr>
            <w:tcW w:w="5480" w:type="dxa"/>
            <w:vAlign w:val="bottom"/>
            <w:tcBorders>
              <w:top w:val="single" w:sz="8" w:color="A6A6A6"/>
            </w:tcBorders>
            <w:gridSpan w:val="2"/>
          </w:tcPr>
          <w:p>
            <w:pPr>
              <w:ind w:left="140"/>
              <w:spacing w:after="0" w:line="201" w:lineRule="exact"/>
              <w:rPr>
                <w:sz w:val="20"/>
                <w:szCs w:val="20"/>
                <w:color w:val="auto"/>
              </w:rPr>
            </w:pPr>
            <w:r>
              <w:rPr>
                <w:rFonts w:ascii="Calibri" w:cs="Calibri" w:eastAsia="Calibri" w:hAnsi="Calibri"/>
                <w:sz w:val="18"/>
                <w:szCs w:val="18"/>
                <w:color w:val="auto"/>
              </w:rPr>
              <w:t>Approve amendment to increase the number of shares authorized for</w:t>
            </w:r>
          </w:p>
        </w:tc>
        <w:tc>
          <w:tcPr>
            <w:tcW w:w="1620" w:type="dxa"/>
            <w:vAlign w:val="bottom"/>
            <w:tcBorders>
              <w:top w:val="single" w:sz="8" w:color="A6A6A6"/>
            </w:tcBorders>
          </w:tcPr>
          <w:p>
            <w:pPr>
              <w:jc w:val="center"/>
              <w:ind w:left="66"/>
              <w:spacing w:after="0" w:line="201" w:lineRule="exact"/>
              <w:rPr>
                <w:sz w:val="20"/>
                <w:szCs w:val="20"/>
                <w:color w:val="auto"/>
              </w:rPr>
            </w:pPr>
            <w:r>
              <w:rPr>
                <w:rFonts w:ascii="Calibri" w:cs="Calibri" w:eastAsia="Calibri" w:hAnsi="Calibri"/>
                <w:sz w:val="18"/>
                <w:szCs w:val="18"/>
                <w:b w:val="1"/>
                <w:bCs w:val="1"/>
                <w:color w:val="AF0000"/>
                <w:w w:val="97"/>
              </w:rPr>
              <w:t>FOR</w:t>
            </w:r>
          </w:p>
        </w:tc>
        <w:tc>
          <w:tcPr>
            <w:tcW w:w="1060" w:type="dxa"/>
            <w:vAlign w:val="bottom"/>
            <w:tcBorders>
              <w:top w:val="single" w:sz="8" w:color="A6A6A6"/>
            </w:tcBorders>
          </w:tcPr>
          <w:p>
            <w:pPr>
              <w:jc w:val="center"/>
              <w:spacing w:after="0" w:line="201" w:lineRule="exact"/>
              <w:rPr>
                <w:sz w:val="20"/>
                <w:szCs w:val="20"/>
                <w:color w:val="auto"/>
              </w:rPr>
            </w:pPr>
            <w:r>
              <w:rPr>
                <w:rFonts w:ascii="Calibri" w:cs="Calibri" w:eastAsia="Calibri" w:hAnsi="Calibri"/>
                <w:sz w:val="18"/>
                <w:szCs w:val="18"/>
                <w:color w:val="auto"/>
                <w:w w:val="96"/>
              </w:rPr>
              <w:t>Page 74</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8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w w:val="99"/>
              </w:rPr>
              <w:t>issuance under the Merit Medical Systems, Inc. 2018 Long-Term Incentve</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Pr>
          <w:p>
            <w:pPr>
              <w:ind w:left="140"/>
              <w:spacing w:after="0" w:line="216" w:lineRule="exact"/>
              <w:rPr>
                <w:sz w:val="20"/>
                <w:szCs w:val="20"/>
                <w:color w:val="auto"/>
              </w:rPr>
            </w:pPr>
            <w:r>
              <w:rPr>
                <w:rFonts w:ascii="Calibri" w:cs="Calibri" w:eastAsia="Calibri" w:hAnsi="Calibri"/>
                <w:sz w:val="18"/>
                <w:szCs w:val="18"/>
                <w:color w:val="auto"/>
              </w:rPr>
              <w:t>Plan</w:t>
            </w: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7"/>
        </w:trPr>
        <w:tc>
          <w:tcPr>
            <w:tcW w:w="440" w:type="dxa"/>
            <w:vAlign w:val="bottom"/>
            <w:gridSpan w:val="2"/>
          </w:tcPr>
          <w:p>
            <w:pPr>
              <w:spacing w:after="0"/>
              <w:rPr>
                <w:sz w:val="3"/>
                <w:szCs w:val="3"/>
                <w:color w:val="auto"/>
              </w:rPr>
            </w:pPr>
          </w:p>
        </w:tc>
        <w:tc>
          <w:tcPr>
            <w:tcW w:w="5480" w:type="dxa"/>
            <w:vAlign w:val="bottom"/>
            <w:gridSpan w:val="2"/>
          </w:tcPr>
          <w:p>
            <w:pPr>
              <w:spacing w:after="0"/>
              <w:rPr>
                <w:sz w:val="3"/>
                <w:szCs w:val="3"/>
                <w:color w:val="auto"/>
              </w:rPr>
            </w:pPr>
          </w:p>
        </w:tc>
        <w:tc>
          <w:tcPr>
            <w:tcW w:w="16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1"/>
        </w:trPr>
        <w:tc>
          <w:tcPr>
            <w:tcW w:w="20" w:type="dxa"/>
            <w:vAlign w:val="bottom"/>
          </w:tcPr>
          <w:p>
            <w:pPr>
              <w:spacing w:after="0"/>
              <w:rPr>
                <w:sz w:val="17"/>
                <w:szCs w:val="17"/>
                <w:color w:val="auto"/>
              </w:rPr>
            </w:pPr>
          </w:p>
        </w:tc>
        <w:tc>
          <w:tcPr>
            <w:tcW w:w="420" w:type="dxa"/>
            <w:vAlign w:val="bottom"/>
            <w:tcBorders>
              <w:top w:val="single" w:sz="8" w:color="A6A6A6"/>
            </w:tcBorders>
          </w:tcPr>
          <w:p>
            <w:pPr>
              <w:jc w:val="right"/>
              <w:ind w:right="50"/>
              <w:spacing w:after="0" w:line="201" w:lineRule="exact"/>
              <w:rPr>
                <w:sz w:val="20"/>
                <w:szCs w:val="20"/>
                <w:color w:val="auto"/>
              </w:rPr>
            </w:pPr>
            <w:r>
              <w:rPr>
                <w:rFonts w:ascii="Calibri" w:cs="Calibri" w:eastAsia="Calibri" w:hAnsi="Calibri"/>
                <w:sz w:val="18"/>
                <w:szCs w:val="18"/>
                <w:b w:val="1"/>
                <w:bCs w:val="1"/>
                <w:color w:val="AF0000"/>
              </w:rPr>
              <w:t>4</w:t>
            </w:r>
          </w:p>
        </w:tc>
        <w:tc>
          <w:tcPr>
            <w:tcW w:w="5480" w:type="dxa"/>
            <w:vAlign w:val="bottom"/>
            <w:tcBorders>
              <w:top w:val="single" w:sz="8" w:color="A6A6A6"/>
            </w:tcBorders>
            <w:gridSpan w:val="2"/>
          </w:tcPr>
          <w:p>
            <w:pPr>
              <w:ind w:left="140"/>
              <w:spacing w:after="0" w:line="201" w:lineRule="exact"/>
              <w:rPr>
                <w:sz w:val="20"/>
                <w:szCs w:val="20"/>
                <w:color w:val="auto"/>
              </w:rPr>
            </w:pPr>
            <w:r>
              <w:rPr>
                <w:rFonts w:ascii="Calibri" w:cs="Calibri" w:eastAsia="Calibri" w:hAnsi="Calibri"/>
                <w:sz w:val="18"/>
                <w:szCs w:val="18"/>
                <w:color w:val="auto"/>
                <w:w w:val="98"/>
              </w:rPr>
              <w:t>Ratfy appointment of Deloite &amp; Touche LLP as our independent registered</w:t>
            </w:r>
          </w:p>
        </w:tc>
        <w:tc>
          <w:tcPr>
            <w:tcW w:w="1620" w:type="dxa"/>
            <w:vAlign w:val="bottom"/>
            <w:tcBorders>
              <w:top w:val="single" w:sz="8" w:color="A6A6A6"/>
            </w:tcBorders>
          </w:tcPr>
          <w:p>
            <w:pPr>
              <w:jc w:val="center"/>
              <w:ind w:left="66"/>
              <w:spacing w:after="0" w:line="201" w:lineRule="exact"/>
              <w:rPr>
                <w:sz w:val="20"/>
                <w:szCs w:val="20"/>
                <w:color w:val="auto"/>
              </w:rPr>
            </w:pPr>
            <w:r>
              <w:rPr>
                <w:rFonts w:ascii="Calibri" w:cs="Calibri" w:eastAsia="Calibri" w:hAnsi="Calibri"/>
                <w:sz w:val="18"/>
                <w:szCs w:val="18"/>
                <w:b w:val="1"/>
                <w:bCs w:val="1"/>
                <w:color w:val="AF0000"/>
                <w:w w:val="97"/>
              </w:rPr>
              <w:t>FOR</w:t>
            </w:r>
          </w:p>
        </w:tc>
        <w:tc>
          <w:tcPr>
            <w:tcW w:w="1060" w:type="dxa"/>
            <w:vAlign w:val="bottom"/>
            <w:tcBorders>
              <w:top w:val="single" w:sz="8" w:color="A6A6A6"/>
            </w:tcBorders>
          </w:tcPr>
          <w:p>
            <w:pPr>
              <w:jc w:val="center"/>
              <w:spacing w:after="0" w:line="201" w:lineRule="exact"/>
              <w:rPr>
                <w:sz w:val="20"/>
                <w:szCs w:val="20"/>
                <w:color w:val="auto"/>
              </w:rPr>
            </w:pPr>
            <w:r>
              <w:rPr>
                <w:rFonts w:ascii="Calibri" w:cs="Calibri" w:eastAsia="Calibri" w:hAnsi="Calibri"/>
                <w:sz w:val="18"/>
                <w:szCs w:val="18"/>
                <w:color w:val="auto"/>
                <w:w w:val="96"/>
              </w:rPr>
              <w:t>Page 81</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Pr>
          <w:p>
            <w:pPr>
              <w:ind w:left="140"/>
              <w:spacing w:after="0" w:line="215" w:lineRule="exact"/>
              <w:rPr>
                <w:sz w:val="20"/>
                <w:szCs w:val="20"/>
                <w:color w:val="auto"/>
              </w:rPr>
            </w:pPr>
            <w:r>
              <w:rPr>
                <w:rFonts w:ascii="Calibri" w:cs="Calibri" w:eastAsia="Calibri" w:hAnsi="Calibri"/>
                <w:sz w:val="18"/>
                <w:szCs w:val="18"/>
                <w:color w:val="auto"/>
              </w:rPr>
              <w:t>public accountng frm</w:t>
            </w: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420" w:type="dxa"/>
            <w:vAlign w:val="bottom"/>
            <w:tcBorders>
              <w:bottom w:val="single" w:sz="8" w:color="AF0000"/>
            </w:tcBorders>
          </w:tcPr>
          <w:p>
            <w:pPr>
              <w:spacing w:after="0"/>
              <w:rPr>
                <w:sz w:val="3"/>
                <w:szCs w:val="3"/>
                <w:color w:val="auto"/>
              </w:rPr>
            </w:pPr>
          </w:p>
        </w:tc>
        <w:tc>
          <w:tcPr>
            <w:tcW w:w="2360" w:type="dxa"/>
            <w:vAlign w:val="bottom"/>
            <w:tcBorders>
              <w:bottom w:val="single" w:sz="8" w:color="AF0000"/>
            </w:tcBorders>
          </w:tcPr>
          <w:p>
            <w:pPr>
              <w:spacing w:after="0"/>
              <w:rPr>
                <w:sz w:val="3"/>
                <w:szCs w:val="3"/>
                <w:color w:val="auto"/>
              </w:rPr>
            </w:pPr>
          </w:p>
        </w:tc>
        <w:tc>
          <w:tcPr>
            <w:tcW w:w="3120" w:type="dxa"/>
            <w:vAlign w:val="bottom"/>
            <w:tcBorders>
              <w:bottom w:val="single" w:sz="8" w:color="AF0000"/>
            </w:tcBorders>
          </w:tcPr>
          <w:p>
            <w:pPr>
              <w:spacing w:after="0"/>
              <w:rPr>
                <w:sz w:val="3"/>
                <w:szCs w:val="3"/>
                <w:color w:val="auto"/>
              </w:rPr>
            </w:pPr>
          </w:p>
        </w:tc>
        <w:tc>
          <w:tcPr>
            <w:tcW w:w="1620" w:type="dxa"/>
            <w:vAlign w:val="bottom"/>
            <w:tcBorders>
              <w:bottom w:val="single" w:sz="8" w:color="AF0000"/>
            </w:tcBorders>
          </w:tcPr>
          <w:p>
            <w:pPr>
              <w:spacing w:after="0"/>
              <w:rPr>
                <w:sz w:val="3"/>
                <w:szCs w:val="3"/>
                <w:color w:val="auto"/>
              </w:rPr>
            </w:pPr>
          </w:p>
        </w:tc>
        <w:tc>
          <w:tcPr>
            <w:tcW w:w="1060" w:type="dxa"/>
            <w:vAlign w:val="bottom"/>
            <w:tcBorders>
              <w:bottom w:val="single" w:sz="8" w:color="AF0000"/>
            </w:tcBorders>
          </w:tcPr>
          <w:p>
            <w:pPr>
              <w:spacing w:after="0"/>
              <w:rPr>
                <w:sz w:val="3"/>
                <w:szCs w:val="3"/>
                <w:color w:val="auto"/>
              </w:rPr>
            </w:pPr>
          </w:p>
        </w:tc>
      </w:tr>
    </w:tbl>
    <w:p>
      <w:pPr>
        <w:spacing w:after="0" w:line="99" w:lineRule="exact"/>
        <w:rPr>
          <w:sz w:val="20"/>
          <w:szCs w:val="20"/>
          <w:color w:val="auto"/>
        </w:rPr>
      </w:pPr>
    </w:p>
    <w:p>
      <w:pPr>
        <w:ind w:left="200" w:right="479"/>
        <w:spacing w:after="0" w:line="235" w:lineRule="auto"/>
        <w:rPr>
          <w:sz w:val="20"/>
          <w:szCs w:val="20"/>
          <w:color w:val="auto"/>
        </w:rPr>
      </w:pPr>
      <w:r>
        <w:rPr>
          <w:rFonts w:ascii="Calibri" w:cs="Calibri" w:eastAsia="Calibri" w:hAnsi="Calibri"/>
          <w:sz w:val="18"/>
          <w:szCs w:val="18"/>
          <w:color w:val="AF0000"/>
        </w:rPr>
        <w:t>Your Vote is important to our future. We strongly encourage you to read the Proxy Statement and then promptly vote your shares as instructed herein.</w:t>
      </w:r>
    </w:p>
    <w:p>
      <w:pPr>
        <w:spacing w:after="0" w:line="110" w:lineRule="exact"/>
        <w:rPr>
          <w:sz w:val="20"/>
          <w:szCs w:val="20"/>
          <w:color w:val="auto"/>
        </w:rPr>
      </w:pPr>
    </w:p>
    <w:p>
      <w:pPr>
        <w:ind w:left="200" w:right="339"/>
        <w:spacing w:after="0" w:line="230" w:lineRule="auto"/>
        <w:rPr>
          <w:sz w:val="20"/>
          <w:szCs w:val="20"/>
          <w:color w:val="auto"/>
        </w:rPr>
      </w:pPr>
      <w:r>
        <w:rPr>
          <w:rFonts w:ascii="Calibri" w:cs="Calibri" w:eastAsia="Calibri" w:hAnsi="Calibri"/>
          <w:sz w:val="18"/>
          <w:szCs w:val="18"/>
          <w:color w:val="auto"/>
        </w:rPr>
        <w:t>Shareholders can vote via the Internet, by telephone or by mail. Specifc instructons on how to vote are included in the Notce of Internet Availability of Proxy Materials that we will mail to our shareholders on or about April 5, 2024. Shareholders will also be able to vote electronically during the webcast of the 2024 Annual Meetng.</w:t>
      </w:r>
    </w:p>
    <w:p>
      <w:pPr>
        <w:spacing w:after="0" w:line="111" w:lineRule="exact"/>
        <w:rPr>
          <w:sz w:val="20"/>
          <w:szCs w:val="20"/>
          <w:color w:val="auto"/>
        </w:rPr>
      </w:pPr>
    </w:p>
    <w:p>
      <w:pPr>
        <w:ind w:left="200" w:right="239"/>
        <w:spacing w:after="0" w:line="235" w:lineRule="auto"/>
        <w:rPr>
          <w:sz w:val="20"/>
          <w:szCs w:val="20"/>
          <w:color w:val="auto"/>
        </w:rPr>
      </w:pPr>
      <w:r>
        <w:rPr>
          <w:rFonts w:ascii="Calibri" w:cs="Calibri" w:eastAsia="Calibri" w:hAnsi="Calibri"/>
          <w:sz w:val="18"/>
          <w:szCs w:val="18"/>
          <w:color w:val="auto"/>
        </w:rPr>
        <w:t>Phone and Internet votng will close at 11:59 p.m. EDT on May 14, 2024, but votng by Internet will open again during the meetng. Votng instructons for shares held in the Company’s 401(k) Proft Sharing Plan must be received by 11:59 p.m. EDT on May 10, 2024 and such shares may not be voted during the meetng. Holders in “street name” must instruct their broker or nominee.</w:t>
      </w:r>
    </w:p>
    <w:p>
      <w:pPr>
        <w:spacing w:after="0" w:line="120" w:lineRule="exact"/>
        <w:rPr>
          <w:sz w:val="20"/>
          <w:szCs w:val="20"/>
          <w:color w:val="auto"/>
        </w:rPr>
      </w:pPr>
    </w:p>
    <w:p>
      <w:pPr>
        <w:ind w:left="4500"/>
        <w:spacing w:after="0"/>
        <w:rPr>
          <w:sz w:val="20"/>
          <w:szCs w:val="20"/>
          <w:color w:val="auto"/>
        </w:rPr>
      </w:pPr>
      <w:r>
        <w:rPr>
          <w:rFonts w:ascii="Calibri" w:cs="Calibri" w:eastAsia="Calibri" w:hAnsi="Calibri"/>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15240</wp:posOffset>
            </wp:positionV>
            <wp:extent cx="668655"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8655" cy="3003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500"/>
        <w:spacing w:after="0"/>
        <w:rPr>
          <w:sz w:val="20"/>
          <w:szCs w:val="20"/>
          <w:color w:val="auto"/>
        </w:rPr>
      </w:pPr>
      <w:r>
        <w:rPr>
          <w:rFonts w:ascii="Calibri" w:cs="Calibri" w:eastAsia="Calibri" w:hAnsi="Calibri"/>
          <w:sz w:val="18"/>
          <w:szCs w:val="18"/>
          <w:color w:val="auto"/>
        </w:rPr>
        <w:t>Brian G. Lloyd</w:t>
      </w:r>
    </w:p>
    <w:p>
      <w:pPr>
        <w:ind w:left="4500"/>
        <w:spacing w:after="0" w:line="235" w:lineRule="auto"/>
        <w:rPr>
          <w:sz w:val="20"/>
          <w:szCs w:val="20"/>
          <w:color w:val="auto"/>
        </w:rPr>
      </w:pPr>
      <w:r>
        <w:rPr>
          <w:rFonts w:ascii="Calibri" w:cs="Calibri" w:eastAsia="Calibri" w:hAnsi="Calibri"/>
          <w:sz w:val="18"/>
          <w:szCs w:val="18"/>
          <w:color w:val="auto"/>
        </w:rPr>
        <w:t>Chief Legal Ofcer and Corporate Secretary</w:t>
      </w:r>
    </w:p>
    <w:p>
      <w:pPr>
        <w:ind w:left="4500"/>
        <w:spacing w:after="0" w:line="236" w:lineRule="auto"/>
        <w:rPr>
          <w:sz w:val="20"/>
          <w:szCs w:val="20"/>
          <w:color w:val="auto"/>
        </w:rPr>
      </w:pPr>
      <w:r>
        <w:rPr>
          <w:rFonts w:ascii="Calibri" w:cs="Calibri" w:eastAsia="Calibri" w:hAnsi="Calibri"/>
          <w:sz w:val="18"/>
          <w:szCs w:val="18"/>
          <w:color w:val="auto"/>
        </w:rPr>
        <w:t>April 2, 2024</w:t>
      </w:r>
    </w:p>
    <w:p>
      <w:pPr>
        <w:spacing w:after="0" w:line="11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IMPORTANT NOTICE REGARDING THE AVAILABILITY OF PROXY MATERIALS FOR</w:t>
      </w:r>
    </w:p>
    <w:p>
      <w:pPr>
        <w:jc w:val="center"/>
        <w:spacing w:after="0" w:line="235" w:lineRule="auto"/>
        <w:rPr>
          <w:sz w:val="20"/>
          <w:szCs w:val="20"/>
          <w:color w:val="auto"/>
        </w:rPr>
      </w:pPr>
      <w:r>
        <w:rPr>
          <w:rFonts w:ascii="Calibri" w:cs="Calibri" w:eastAsia="Calibri" w:hAnsi="Calibri"/>
          <w:sz w:val="18"/>
          <w:szCs w:val="18"/>
          <w:b w:val="1"/>
          <w:bCs w:val="1"/>
          <w:color w:val="auto"/>
        </w:rPr>
        <w:t>THE ANNUAL MEETING OF SHAREHOLDERS TO BE HELD ON MAY 15, 2024</w:t>
      </w:r>
    </w:p>
    <w:p>
      <w:pPr>
        <w:spacing w:after="0" w:line="4"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 xml:space="preserve">The Company’s Notce, Proxy Statement and Annual Report are available at: </w:t>
      </w:r>
      <w:r>
        <w:rPr>
          <w:rFonts w:ascii="Calibri" w:cs="Calibri" w:eastAsia="Calibri" w:hAnsi="Calibri"/>
          <w:sz w:val="16"/>
          <w:szCs w:val="16"/>
          <w:i w:val="1"/>
          <w:iCs w:val="1"/>
          <w:color w:val="auto"/>
        </w:rPr>
        <w:t>www.proxyvote.com</w:t>
      </w:r>
      <w:r>
        <w:rPr>
          <w:rFonts w:ascii="Calibri" w:cs="Calibri" w:eastAsia="Calibri" w:hAnsi="Calibri"/>
          <w:sz w:val="16"/>
          <w:szCs w:val="16"/>
          <w:color w:val="auto"/>
        </w:rPr>
        <w:t>.</w:t>
      </w:r>
    </w:p>
    <w:p>
      <w:pPr>
        <w:sectPr>
          <w:pgSz w:w="11900" w:h="16838" w:orient="portrait"/>
          <w:cols w:equalWidth="0" w:num="1">
            <w:col w:w="9019"/>
          </w:cols>
          <w:pgMar w:left="1440" w:top="504"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74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CB333B"/>
        </w:rPr>
        <w:t>|</w:t>
      </w:r>
      <w:r>
        <w:rPr>
          <w:rFonts w:ascii="Calibri" w:cs="Calibri" w:eastAsia="Calibri" w:hAnsi="Calibri"/>
          <w:sz w:val="17"/>
          <w:szCs w:val="17"/>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5" w:name="page6"/>
    <w:bookmarkEnd w:id="5"/>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PROXY STATEMENT SUMMARY</w:t>
      </w:r>
    </w:p>
    <w:p>
      <w:pPr>
        <w:spacing w:after="0" w:line="118" w:lineRule="exact"/>
        <w:rPr>
          <w:sz w:val="20"/>
          <w:szCs w:val="20"/>
          <w:color w:val="auto"/>
        </w:rPr>
      </w:pPr>
    </w:p>
    <w:p>
      <w:pPr>
        <w:ind w:left="200"/>
        <w:spacing w:after="0"/>
        <w:rPr>
          <w:sz w:val="20"/>
          <w:szCs w:val="20"/>
          <w:color w:val="auto"/>
        </w:rPr>
      </w:pPr>
      <w:r>
        <w:rPr>
          <w:rFonts w:ascii="Calibri" w:cs="Calibri" w:eastAsia="Calibri" w:hAnsi="Calibri"/>
          <w:sz w:val="32"/>
          <w:szCs w:val="32"/>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-221615</wp:posOffset>
            </wp:positionV>
            <wp:extent cx="5452110" cy="248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48920"/>
                    </a:xfrm>
                    <a:prstGeom prst="rect">
                      <a:avLst/>
                    </a:prstGeom>
                    <a:noFill/>
                  </pic:spPr>
                </pic:pic>
              </a:graphicData>
            </a:graphic>
          </wp:anchor>
        </w:drawing>
      </w:r>
    </w:p>
    <w:p>
      <w:pPr>
        <w:spacing w:after="0" w:line="179" w:lineRule="exact"/>
        <w:rPr>
          <w:sz w:val="20"/>
          <w:szCs w:val="20"/>
          <w:color w:val="auto"/>
        </w:rPr>
      </w:pPr>
    </w:p>
    <w:p>
      <w:pPr>
        <w:ind w:left="200" w:right="299"/>
        <w:spacing w:after="0" w:line="236" w:lineRule="auto"/>
        <w:rPr>
          <w:sz w:val="20"/>
          <w:szCs w:val="20"/>
          <w:color w:val="auto"/>
        </w:rPr>
      </w:pPr>
      <w:r>
        <w:rPr>
          <w:rFonts w:ascii="Calibri" w:cs="Calibri" w:eastAsia="Calibri" w:hAnsi="Calibri"/>
          <w:sz w:val="16"/>
          <w:szCs w:val="16"/>
          <w:i w:val="1"/>
          <w:iCs w:val="1"/>
          <w:color w:val="auto"/>
        </w:rPr>
        <w:t>This Proxy Statement is provided in connecton with the solicitaton of proxies by the Board of Directors of Merit Medical Systems, Inc. (</w:t>
      </w:r>
      <w:r>
        <w:rPr>
          <w:rFonts w:ascii="Calibri" w:cs="Calibri" w:eastAsia="Calibri" w:hAnsi="Calibri"/>
          <w:sz w:val="16"/>
          <w:szCs w:val="16"/>
          <w:i w:val="1"/>
          <w:iCs w:val="1"/>
          <w:u w:val="single" w:color="auto"/>
          <w:color w:val="AF0000"/>
        </w:rPr>
        <w:t>Board</w:t>
      </w:r>
      <w:r>
        <w:rPr>
          <w:rFonts w:ascii="Calibri" w:cs="Calibri" w:eastAsia="Calibri" w:hAnsi="Calibri"/>
          <w:sz w:val="16"/>
          <w:szCs w:val="16"/>
          <w:i w:val="1"/>
          <w:iCs w:val="1"/>
          <w:color w:val="auto"/>
        </w:rPr>
        <w:t xml:space="preserve"> or </w:t>
      </w:r>
      <w:r>
        <w:rPr>
          <w:rFonts w:ascii="Calibri" w:cs="Calibri" w:eastAsia="Calibri" w:hAnsi="Calibri"/>
          <w:sz w:val="16"/>
          <w:szCs w:val="16"/>
          <w:i w:val="1"/>
          <w:iCs w:val="1"/>
          <w:u w:val="single" w:color="auto"/>
          <w:color w:val="AF0000"/>
        </w:rPr>
        <w:t>Board of Directors</w:t>
      </w:r>
      <w:r>
        <w:rPr>
          <w:rFonts w:ascii="Calibri" w:cs="Calibri" w:eastAsia="Calibri" w:hAnsi="Calibri"/>
          <w:sz w:val="16"/>
          <w:szCs w:val="16"/>
          <w:i w:val="1"/>
          <w:iCs w:val="1"/>
          <w:color w:val="auto"/>
        </w:rPr>
        <w:t>) for the Annual Meetng of Shareholders to be held on May 15, 2024, at 2:00 p.m. Mountain Time (</w:t>
      </w:r>
      <w:r>
        <w:rPr>
          <w:rFonts w:ascii="Calibri" w:cs="Calibri" w:eastAsia="Calibri" w:hAnsi="Calibri"/>
          <w:sz w:val="16"/>
          <w:szCs w:val="16"/>
          <w:i w:val="1"/>
          <w:iCs w:val="1"/>
          <w:u w:val="single" w:color="auto"/>
          <w:color w:val="AF0000"/>
        </w:rPr>
        <w:t>Annual Meetng</w:t>
      </w:r>
      <w:r>
        <w:rPr>
          <w:rFonts w:ascii="Calibri" w:cs="Calibri" w:eastAsia="Calibri" w:hAnsi="Calibri"/>
          <w:sz w:val="16"/>
          <w:szCs w:val="16"/>
          <w:i w:val="1"/>
          <w:iCs w:val="1"/>
          <w:color w:val="auto"/>
        </w:rPr>
        <w:t xml:space="preserve"> or </w:t>
      </w:r>
      <w:r>
        <w:rPr>
          <w:rFonts w:ascii="Calibri" w:cs="Calibri" w:eastAsia="Calibri" w:hAnsi="Calibri"/>
          <w:sz w:val="16"/>
          <w:szCs w:val="16"/>
          <w:i w:val="1"/>
          <w:iCs w:val="1"/>
          <w:u w:val="single" w:color="auto"/>
          <w:color w:val="AF0000"/>
        </w:rPr>
        <w:t>2024 Annual Meetng</w:t>
      </w:r>
      <w:r>
        <w:rPr>
          <w:rFonts w:ascii="Calibri" w:cs="Calibri" w:eastAsia="Calibri" w:hAnsi="Calibri"/>
          <w:sz w:val="16"/>
          <w:szCs w:val="16"/>
          <w:i w:val="1"/>
          <w:iCs w:val="1"/>
          <w:color w:val="auto"/>
        </w:rPr>
        <w:t xml:space="preserve">). In this Proxy Statement, we may refer to Merit Medical Systems, Inc. as the </w:t>
      </w:r>
      <w:r>
        <w:rPr>
          <w:rFonts w:ascii="Calibri" w:cs="Calibri" w:eastAsia="Calibri" w:hAnsi="Calibri"/>
          <w:sz w:val="16"/>
          <w:szCs w:val="16"/>
          <w:i w:val="1"/>
          <w:iCs w:val="1"/>
          <w:u w:val="single" w:color="auto"/>
          <w:color w:val="AF0000"/>
        </w:rPr>
        <w:t>Company</w:t>
      </w:r>
      <w:r>
        <w:rPr>
          <w:rFonts w:ascii="Calibri" w:cs="Calibri" w:eastAsia="Calibri" w:hAnsi="Calibri"/>
          <w:sz w:val="16"/>
          <w:szCs w:val="16"/>
          <w:i w:val="1"/>
          <w:iCs w:val="1"/>
          <w:color w:val="auto"/>
        </w:rPr>
        <w:t xml:space="preserve">, </w:t>
      </w:r>
      <w:r>
        <w:rPr>
          <w:rFonts w:ascii="Calibri" w:cs="Calibri" w:eastAsia="Calibri" w:hAnsi="Calibri"/>
          <w:sz w:val="16"/>
          <w:szCs w:val="16"/>
          <w:i w:val="1"/>
          <w:iCs w:val="1"/>
          <w:u w:val="single" w:color="auto"/>
          <w:color w:val="AF0000"/>
        </w:rPr>
        <w:t>Merit</w:t>
      </w:r>
      <w:r>
        <w:rPr>
          <w:rFonts w:ascii="Calibri" w:cs="Calibri" w:eastAsia="Calibri" w:hAnsi="Calibri"/>
          <w:sz w:val="16"/>
          <w:szCs w:val="16"/>
          <w:i w:val="1"/>
          <w:iCs w:val="1"/>
          <w:color w:val="000000"/>
        </w:rPr>
        <w:t>,</w:t>
      </w:r>
      <w:r>
        <w:rPr>
          <w:rFonts w:ascii="Calibri" w:cs="Calibri" w:eastAsia="Calibri" w:hAnsi="Calibri"/>
          <w:sz w:val="16"/>
          <w:szCs w:val="16"/>
          <w:i w:val="1"/>
          <w:iCs w:val="1"/>
          <w:color w:val="AF0000"/>
        </w:rPr>
        <w:t xml:space="preserve"> </w:t>
      </w:r>
      <w:r>
        <w:rPr>
          <w:rFonts w:ascii="Calibri" w:cs="Calibri" w:eastAsia="Calibri" w:hAnsi="Calibri"/>
          <w:sz w:val="16"/>
          <w:szCs w:val="16"/>
          <w:i w:val="1"/>
          <w:iCs w:val="1"/>
          <w:u w:val="single" w:color="auto"/>
          <w:color w:val="AF0000"/>
        </w:rPr>
        <w:t>we</w:t>
      </w:r>
      <w:r>
        <w:rPr>
          <w:rFonts w:ascii="Calibri" w:cs="Calibri" w:eastAsia="Calibri" w:hAnsi="Calibri"/>
          <w:sz w:val="16"/>
          <w:szCs w:val="16"/>
          <w:i w:val="1"/>
          <w:iCs w:val="1"/>
          <w:color w:val="000000"/>
        </w:rPr>
        <w:t>,</w:t>
      </w:r>
      <w:r>
        <w:rPr>
          <w:rFonts w:ascii="Calibri" w:cs="Calibri" w:eastAsia="Calibri" w:hAnsi="Calibri"/>
          <w:sz w:val="16"/>
          <w:szCs w:val="16"/>
          <w:i w:val="1"/>
          <w:iCs w:val="1"/>
          <w:color w:val="AF0000"/>
        </w:rPr>
        <w:t xml:space="preserve"> </w:t>
      </w:r>
      <w:r>
        <w:rPr>
          <w:rFonts w:ascii="Calibri" w:cs="Calibri" w:eastAsia="Calibri" w:hAnsi="Calibri"/>
          <w:sz w:val="16"/>
          <w:szCs w:val="16"/>
          <w:i w:val="1"/>
          <w:iCs w:val="1"/>
          <w:u w:val="single" w:color="auto"/>
          <w:color w:val="AF0000"/>
        </w:rPr>
        <w:t>us</w:t>
      </w:r>
      <w:r>
        <w:rPr>
          <w:rFonts w:ascii="Calibri" w:cs="Calibri" w:eastAsia="Calibri" w:hAnsi="Calibri"/>
          <w:sz w:val="16"/>
          <w:szCs w:val="16"/>
          <w:i w:val="1"/>
          <w:iCs w:val="1"/>
          <w:color w:val="000000"/>
        </w:rPr>
        <w:t>, or</w:t>
      </w:r>
      <w:r>
        <w:rPr>
          <w:rFonts w:ascii="Calibri" w:cs="Calibri" w:eastAsia="Calibri" w:hAnsi="Calibri"/>
          <w:sz w:val="16"/>
          <w:szCs w:val="16"/>
          <w:i w:val="1"/>
          <w:iCs w:val="1"/>
          <w:color w:val="AF0000"/>
        </w:rPr>
        <w:t xml:space="preserve"> </w:t>
      </w:r>
      <w:r>
        <w:rPr>
          <w:rFonts w:ascii="Calibri" w:cs="Calibri" w:eastAsia="Calibri" w:hAnsi="Calibri"/>
          <w:sz w:val="16"/>
          <w:szCs w:val="16"/>
          <w:i w:val="1"/>
          <w:iCs w:val="1"/>
          <w:u w:val="single" w:color="auto"/>
          <w:color w:val="AF0000"/>
        </w:rPr>
        <w:t>our</w:t>
      </w:r>
      <w:r>
        <w:rPr>
          <w:rFonts w:ascii="Calibri" w:cs="Calibri" w:eastAsia="Calibri" w:hAnsi="Calibri"/>
          <w:sz w:val="16"/>
          <w:szCs w:val="16"/>
          <w:i w:val="1"/>
          <w:iCs w:val="1"/>
          <w:color w:val="000000"/>
        </w:rPr>
        <w:t>. The following summary highlights informaton contained elsewhere in this Proxy Statement. Before Votng,</w:t>
      </w:r>
      <w:r>
        <w:rPr>
          <w:rFonts w:ascii="Calibri" w:cs="Calibri" w:eastAsia="Calibri" w:hAnsi="Calibri"/>
          <w:sz w:val="16"/>
          <w:szCs w:val="16"/>
          <w:i w:val="1"/>
          <w:iCs w:val="1"/>
          <w:color w:val="AF0000"/>
        </w:rPr>
        <w:t xml:space="preserve"> </w:t>
      </w:r>
      <w:r>
        <w:rPr>
          <w:rFonts w:ascii="Calibri" w:cs="Calibri" w:eastAsia="Calibri" w:hAnsi="Calibri"/>
          <w:sz w:val="16"/>
          <w:szCs w:val="16"/>
          <w:i w:val="1"/>
          <w:iCs w:val="1"/>
          <w:color w:val="000000"/>
        </w:rPr>
        <w:t>please review the entre Proxy Statement and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147955</wp:posOffset>
            </wp:positionV>
            <wp:extent cx="5452110" cy="4997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4997450"/>
                    </a:xfrm>
                    <a:prstGeom prst="rect">
                      <a:avLst/>
                    </a:prstGeom>
                    <a:noFill/>
                  </pic:spPr>
                </pic:pic>
              </a:graphicData>
            </a:graphic>
          </wp:anchor>
        </w:drawing>
      </w:r>
    </w:p>
    <w:p>
      <w:pPr>
        <w:spacing w:after="0" w:line="253" w:lineRule="exact"/>
        <w:rPr>
          <w:sz w:val="20"/>
          <w:szCs w:val="20"/>
          <w:color w:val="auto"/>
        </w:rPr>
      </w:pPr>
    </w:p>
    <w:p>
      <w:pPr>
        <w:ind w:left="360"/>
        <w:spacing w:after="0"/>
        <w:rPr>
          <w:sz w:val="20"/>
          <w:szCs w:val="20"/>
          <w:color w:val="auto"/>
        </w:rPr>
      </w:pPr>
      <w:r>
        <w:rPr>
          <w:rFonts w:ascii="Calibri" w:cs="Calibri" w:eastAsia="Calibri" w:hAnsi="Calibri"/>
          <w:sz w:val="25"/>
          <w:szCs w:val="25"/>
          <w:b w:val="1"/>
          <w:bCs w:val="1"/>
          <w:color w:val="AF0000"/>
        </w:rPr>
        <w:t>Votng Roadmap</w:t>
      </w:r>
    </w:p>
    <w:p>
      <w:pPr>
        <w:spacing w:after="0" w:line="73" w:lineRule="exact"/>
        <w:rPr>
          <w:sz w:val="20"/>
          <w:szCs w:val="20"/>
          <w:color w:val="auto"/>
        </w:rPr>
      </w:pPr>
    </w:p>
    <w:p>
      <w:pPr>
        <w:ind w:left="360"/>
        <w:spacing w:after="0"/>
        <w:rPr>
          <w:sz w:val="20"/>
          <w:szCs w:val="20"/>
          <w:color w:val="auto"/>
        </w:rPr>
      </w:pPr>
      <w:r>
        <w:rPr>
          <w:rFonts w:ascii="Calibri" w:cs="Calibri" w:eastAsia="Calibri" w:hAnsi="Calibri"/>
          <w:sz w:val="18"/>
          <w:szCs w:val="18"/>
          <w:color w:val="auto"/>
        </w:rPr>
        <w:t>Even if you atend the Annual Meetng, you can vote in advance using a method below.</w:t>
      </w:r>
    </w:p>
    <w:p>
      <w:pPr>
        <w:spacing w:after="0" w:line="76" w:lineRule="exact"/>
        <w:rPr>
          <w:sz w:val="20"/>
          <w:szCs w:val="20"/>
          <w:color w:val="auto"/>
        </w:rPr>
      </w:pPr>
    </w:p>
    <w:p>
      <w:pPr>
        <w:ind w:left="1260"/>
        <w:spacing w:after="0"/>
        <w:tabs>
          <w:tab w:leader="none" w:pos="4540" w:val="left"/>
          <w:tab w:leader="none" w:pos="7180" w:val="left"/>
        </w:tabs>
        <w:rPr>
          <w:sz w:val="20"/>
          <w:szCs w:val="20"/>
          <w:color w:val="auto"/>
        </w:rPr>
      </w:pPr>
      <w:r>
        <w:rPr>
          <w:rFonts w:ascii="Calibri" w:cs="Calibri" w:eastAsia="Calibri" w:hAnsi="Calibri"/>
          <w:sz w:val="14"/>
          <w:szCs w:val="14"/>
          <w:color w:val="auto"/>
        </w:rPr>
        <w:t>Before the meetng go to:</w:t>
      </w:r>
      <w:r>
        <w:rPr>
          <w:sz w:val="20"/>
          <w:szCs w:val="20"/>
          <w:color w:val="auto"/>
        </w:rPr>
        <w:tab/>
      </w:r>
      <w:r>
        <w:rPr>
          <w:rFonts w:ascii="Calibri" w:cs="Calibri" w:eastAsia="Calibri" w:hAnsi="Calibri"/>
          <w:sz w:val="14"/>
          <w:szCs w:val="14"/>
          <w:color w:val="auto"/>
        </w:rPr>
        <w:t>Call 1-800-690-6903</w:t>
      </w:r>
      <w:r>
        <w:rPr>
          <w:sz w:val="20"/>
          <w:szCs w:val="20"/>
          <w:color w:val="auto"/>
        </w:rPr>
        <w:tab/>
      </w:r>
      <w:r>
        <w:rPr>
          <w:rFonts w:ascii="Calibri" w:cs="Calibri" w:eastAsia="Calibri" w:hAnsi="Calibri"/>
          <w:sz w:val="14"/>
          <w:szCs w:val="14"/>
          <w:color w:val="auto"/>
        </w:rPr>
        <w:t>(cast your ballot,</w:t>
      </w:r>
    </w:p>
    <w:p>
      <w:pPr>
        <w:spacing w:after="0" w:line="5" w:lineRule="exact"/>
        <w:rPr>
          <w:sz w:val="20"/>
          <w:szCs w:val="20"/>
          <w:color w:val="auto"/>
        </w:rPr>
      </w:pPr>
    </w:p>
    <w:p>
      <w:pPr>
        <w:ind w:left="1260"/>
        <w:spacing w:after="0"/>
        <w:tabs>
          <w:tab w:leader="none" w:pos="4540" w:val="left"/>
          <w:tab w:leader="none" w:pos="7180" w:val="left"/>
        </w:tabs>
        <w:rPr>
          <w:sz w:val="20"/>
          <w:szCs w:val="20"/>
          <w:color w:val="auto"/>
        </w:rPr>
      </w:pPr>
      <w:r>
        <w:rPr>
          <w:rFonts w:ascii="Calibri" w:cs="Calibri" w:eastAsia="Calibri" w:hAnsi="Calibri"/>
          <w:sz w:val="14"/>
          <w:szCs w:val="14"/>
          <w:color w:val="auto"/>
        </w:rPr>
        <w:t>www.proxyvote.com</w:t>
      </w:r>
      <w:r>
        <w:rPr>
          <w:sz w:val="20"/>
          <w:szCs w:val="20"/>
          <w:color w:val="auto"/>
        </w:rPr>
        <w:tab/>
      </w:r>
      <w:r>
        <w:rPr>
          <w:rFonts w:ascii="Calibri" w:cs="Calibri" w:eastAsia="Calibri" w:hAnsi="Calibri"/>
          <w:sz w:val="14"/>
          <w:szCs w:val="14"/>
          <w:color w:val="auto"/>
        </w:rPr>
        <w:t>(U.S. and Canada)</w:t>
      </w:r>
      <w:r>
        <w:rPr>
          <w:sz w:val="20"/>
          <w:szCs w:val="20"/>
          <w:color w:val="auto"/>
        </w:rPr>
        <w:tab/>
      </w:r>
      <w:r>
        <w:rPr>
          <w:rFonts w:ascii="Calibri" w:cs="Calibri" w:eastAsia="Calibri" w:hAnsi="Calibri"/>
          <w:sz w:val="14"/>
          <w:szCs w:val="14"/>
          <w:color w:val="auto"/>
        </w:rPr>
        <w:t>sign proxy card and post)</w:t>
      </w:r>
    </w:p>
    <w:p>
      <w:pPr>
        <w:spacing w:after="0" w:line="32" w:lineRule="exact"/>
        <w:rPr>
          <w:sz w:val="20"/>
          <w:szCs w:val="20"/>
          <w:color w:val="auto"/>
        </w:rPr>
      </w:pPr>
    </w:p>
    <w:p>
      <w:pPr>
        <w:ind w:left="1260"/>
        <w:spacing w:after="0"/>
        <w:rPr>
          <w:sz w:val="20"/>
          <w:szCs w:val="20"/>
          <w:color w:val="auto"/>
        </w:rPr>
      </w:pPr>
      <w:r>
        <w:rPr>
          <w:rFonts w:ascii="Calibri" w:cs="Calibri" w:eastAsia="Calibri" w:hAnsi="Calibri"/>
          <w:sz w:val="14"/>
          <w:szCs w:val="14"/>
          <w:color w:val="auto"/>
        </w:rPr>
        <w:t>During the meetng go to:</w:t>
      </w:r>
    </w:p>
    <w:p>
      <w:pPr>
        <w:spacing w:after="0" w:line="6" w:lineRule="exact"/>
        <w:rPr>
          <w:sz w:val="20"/>
          <w:szCs w:val="20"/>
          <w:color w:val="auto"/>
        </w:rPr>
      </w:pPr>
    </w:p>
    <w:p>
      <w:pPr>
        <w:ind w:left="1260" w:right="5579"/>
        <w:spacing w:after="0" w:line="233" w:lineRule="auto"/>
        <w:rPr>
          <w:sz w:val="20"/>
          <w:szCs w:val="20"/>
          <w:color w:val="auto"/>
        </w:rPr>
      </w:pPr>
      <w:r>
        <w:rPr>
          <w:rFonts w:ascii="Calibri" w:cs="Calibri" w:eastAsia="Calibri" w:hAnsi="Calibri"/>
          <w:sz w:val="14"/>
          <w:szCs w:val="14"/>
          <w:color w:val="auto"/>
        </w:rPr>
        <w:t>www.virtualshareholdermeetng.com /MMSI2024.</w:t>
      </w:r>
    </w:p>
    <w:p>
      <w:pPr>
        <w:spacing w:after="0" w:line="114" w:lineRule="exact"/>
        <w:rPr>
          <w:sz w:val="20"/>
          <w:szCs w:val="20"/>
          <w:color w:val="auto"/>
        </w:rPr>
      </w:pPr>
    </w:p>
    <w:p>
      <w:pPr>
        <w:jc w:val="both"/>
        <w:ind w:left="360" w:right="319"/>
        <w:spacing w:after="0" w:line="245" w:lineRule="auto"/>
        <w:rPr>
          <w:sz w:val="20"/>
          <w:szCs w:val="20"/>
          <w:color w:val="auto"/>
        </w:rPr>
      </w:pPr>
      <w:r>
        <w:rPr>
          <w:rFonts w:ascii="Calibri" w:cs="Calibri" w:eastAsia="Calibri" w:hAnsi="Calibri"/>
          <w:sz w:val="14"/>
          <w:szCs w:val="14"/>
          <w:color w:val="auto"/>
        </w:rPr>
        <w:t>Phone and Internet votng will close at 11:59 P.M. Eastern Time on May 14, 2024 but votng by Internet will open again during the meetng (see below). Votng instructons for shares held in the Company’s 401(k) Proft Sharing Plan must be received by 11:59 P.M. Eastern Time on May 10, 2024 and such shares may not be voted during the meetng. Holders in “street name” must instruct their broker or nominee.</w:t>
      </w:r>
    </w:p>
    <w:p>
      <w:pPr>
        <w:spacing w:after="0" w:line="87" w:lineRule="exact"/>
        <w:rPr>
          <w:sz w:val="20"/>
          <w:szCs w:val="20"/>
          <w:color w:val="auto"/>
        </w:rPr>
      </w:pPr>
    </w:p>
    <w:p>
      <w:pPr>
        <w:ind w:left="360"/>
        <w:spacing w:after="0"/>
        <w:rPr>
          <w:sz w:val="20"/>
          <w:szCs w:val="20"/>
          <w:color w:val="auto"/>
        </w:rPr>
      </w:pPr>
      <w:r>
        <w:rPr>
          <w:rFonts w:ascii="Calibri" w:cs="Calibri" w:eastAsia="Calibri" w:hAnsi="Calibri"/>
          <w:sz w:val="22"/>
          <w:szCs w:val="22"/>
          <w:b w:val="1"/>
          <w:bCs w:val="1"/>
          <w:color w:val="AF0000"/>
        </w:rPr>
        <w:t xml:space="preserve">PROPOSAL 1: </w:t>
      </w:r>
      <w:r>
        <w:rPr>
          <w:rFonts w:ascii="Calibri" w:cs="Calibri" w:eastAsia="Calibri" w:hAnsi="Calibri"/>
          <w:sz w:val="22"/>
          <w:szCs w:val="22"/>
          <w:b w:val="1"/>
          <w:bCs w:val="1"/>
          <w:color w:val="000000"/>
        </w:rPr>
        <w:t>Electon of Three Nominees for Director</w:t>
      </w:r>
      <w:r>
        <w:rPr>
          <w:rFonts w:ascii="Calibri" w:cs="Calibri" w:eastAsia="Calibri" w:hAnsi="Calibri"/>
          <w:sz w:val="22"/>
          <w:szCs w:val="22"/>
          <w:b w:val="1"/>
          <w:bCs w:val="1"/>
          <w:color w:val="AF0000"/>
        </w:rPr>
        <w:t xml:space="preserve"> (See page 5)</w:t>
      </w:r>
    </w:p>
    <w:p>
      <w:pPr>
        <w:spacing w:after="0" w:line="39"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4900" w:type="dxa"/>
            <w:vAlign w:val="bottom"/>
          </w:tcPr>
          <w:p>
            <w:pPr>
              <w:spacing w:after="0"/>
              <w:rPr>
                <w:sz w:val="20"/>
                <w:szCs w:val="20"/>
                <w:color w:val="auto"/>
              </w:rPr>
            </w:pPr>
            <w:r>
              <w:rPr>
                <w:rFonts w:ascii="Calibri" w:cs="Calibri" w:eastAsia="Calibri" w:hAnsi="Calibri"/>
                <w:sz w:val="14"/>
                <w:szCs w:val="14"/>
                <w:color w:val="auto"/>
              </w:rPr>
              <w:t>The Board of Directors recommends that you vote FOR each director nominee.</w:t>
            </w:r>
          </w:p>
        </w:tc>
        <w:tc>
          <w:tcPr>
            <w:tcW w:w="2180" w:type="dxa"/>
            <w:vAlign w:val="bottom"/>
          </w:tcPr>
          <w:p>
            <w:pPr>
              <w:ind w:left="160"/>
              <w:spacing w:after="0"/>
              <w:rPr>
                <w:sz w:val="20"/>
                <w:szCs w:val="20"/>
                <w:color w:val="auto"/>
              </w:rPr>
            </w:pPr>
            <w:r>
              <w:rPr>
                <w:rFonts w:ascii="Calibri" w:cs="Calibri" w:eastAsia="Calibri" w:hAnsi="Calibri"/>
                <w:sz w:val="14"/>
                <w:szCs w:val="14"/>
                <w:color w:val="auto"/>
              </w:rPr>
              <w:t>The Board recommends a</w:t>
            </w:r>
          </w:p>
        </w:tc>
      </w:tr>
      <w:tr>
        <w:trPr>
          <w:trHeight w:val="195"/>
        </w:trPr>
        <w:tc>
          <w:tcPr>
            <w:tcW w:w="4900" w:type="dxa"/>
            <w:vAlign w:val="bottom"/>
          </w:tcPr>
          <w:p>
            <w:pPr>
              <w:spacing w:after="0"/>
              <w:rPr>
                <w:sz w:val="20"/>
                <w:szCs w:val="20"/>
                <w:color w:val="auto"/>
              </w:rPr>
            </w:pPr>
            <w:r>
              <w:rPr>
                <w:rFonts w:ascii="Calibri" w:cs="Calibri" w:eastAsia="Calibri" w:hAnsi="Calibri"/>
                <w:sz w:val="14"/>
                <w:szCs w:val="14"/>
                <w:color w:val="auto"/>
              </w:rPr>
              <w:t>These individuals bring a range of relevant experiences and diversity of</w:t>
            </w:r>
          </w:p>
        </w:tc>
        <w:tc>
          <w:tcPr>
            <w:tcW w:w="2180" w:type="dxa"/>
            <w:vAlign w:val="bottom"/>
          </w:tcPr>
          <w:p>
            <w:pPr>
              <w:ind w:left="160"/>
              <w:spacing w:after="0" w:line="196" w:lineRule="exact"/>
              <w:rPr>
                <w:sz w:val="20"/>
                <w:szCs w:val="20"/>
                <w:color w:val="auto"/>
              </w:rPr>
            </w:pPr>
            <w:r>
              <w:rPr>
                <w:rFonts w:ascii="Calibri" w:cs="Calibri" w:eastAsia="Calibri" w:hAnsi="Calibri"/>
                <w:sz w:val="20"/>
                <w:szCs w:val="20"/>
                <w:b w:val="1"/>
                <w:bCs w:val="1"/>
                <w:color w:val="AF0000"/>
              </w:rPr>
              <w:t>Vote FOR each nominee</w:t>
            </w:r>
          </w:p>
        </w:tc>
      </w:tr>
      <w:tr>
        <w:trPr>
          <w:trHeight w:val="170"/>
        </w:trPr>
        <w:tc>
          <w:tcPr>
            <w:tcW w:w="4900" w:type="dxa"/>
            <w:vAlign w:val="bottom"/>
          </w:tcPr>
          <w:p>
            <w:pPr>
              <w:spacing w:after="0"/>
              <w:rPr>
                <w:sz w:val="20"/>
                <w:szCs w:val="20"/>
                <w:color w:val="auto"/>
              </w:rPr>
            </w:pPr>
            <w:r>
              <w:rPr>
                <w:rFonts w:ascii="Calibri" w:cs="Calibri" w:eastAsia="Calibri" w:hAnsi="Calibri"/>
                <w:sz w:val="14"/>
                <w:szCs w:val="14"/>
                <w:color w:val="auto"/>
              </w:rPr>
              <w:t>perspectves that is essental to good governance and leadership of our company.</w:t>
            </w:r>
          </w:p>
        </w:tc>
        <w:tc>
          <w:tcPr>
            <w:tcW w:w="2180" w:type="dxa"/>
            <w:vAlign w:val="bottom"/>
          </w:tcPr>
          <w:p>
            <w:pPr>
              <w:spacing w:after="0"/>
              <w:rPr>
                <w:sz w:val="14"/>
                <w:szCs w:val="14"/>
                <w:color w:val="auto"/>
              </w:rPr>
            </w:pPr>
          </w:p>
        </w:tc>
      </w:tr>
    </w:tbl>
    <w:p>
      <w:pPr>
        <w:spacing w:after="0" w:line="73" w:lineRule="exact"/>
        <w:rPr>
          <w:sz w:val="20"/>
          <w:szCs w:val="20"/>
          <w:color w:val="auto"/>
        </w:rPr>
      </w:pPr>
    </w:p>
    <w:p>
      <w:pPr>
        <w:ind w:left="360"/>
        <w:spacing w:after="0"/>
        <w:rPr>
          <w:sz w:val="20"/>
          <w:szCs w:val="20"/>
          <w:color w:val="auto"/>
        </w:rPr>
      </w:pPr>
      <w:r>
        <w:rPr>
          <w:rFonts w:ascii="Calibri" w:cs="Calibri" w:eastAsia="Calibri" w:hAnsi="Calibri"/>
          <w:sz w:val="22"/>
          <w:szCs w:val="22"/>
          <w:b w:val="1"/>
          <w:bCs w:val="1"/>
          <w:color w:val="AF0000"/>
        </w:rPr>
        <w:t xml:space="preserve">PROPOSAL 2: </w:t>
      </w:r>
      <w:r>
        <w:rPr>
          <w:rFonts w:ascii="Calibri" w:cs="Calibri" w:eastAsia="Calibri" w:hAnsi="Calibri"/>
          <w:sz w:val="22"/>
          <w:szCs w:val="22"/>
          <w:b w:val="1"/>
          <w:bCs w:val="1"/>
          <w:color w:val="000000"/>
        </w:rPr>
        <w:t>Advisory Vote on Executve Compensaton (Say-On-Pay)</w:t>
      </w:r>
      <w:r>
        <w:rPr>
          <w:rFonts w:ascii="Calibri" w:cs="Calibri" w:eastAsia="Calibri" w:hAnsi="Calibri"/>
          <w:sz w:val="22"/>
          <w:szCs w:val="22"/>
          <w:b w:val="1"/>
          <w:bCs w:val="1"/>
          <w:color w:val="AF0000"/>
        </w:rPr>
        <w:t xml:space="preserve"> (See page 57)</w:t>
      </w:r>
    </w:p>
    <w:p>
      <w:pPr>
        <w:spacing w:after="0" w:line="41"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Calibri" w:cs="Calibri" w:eastAsia="Calibri" w:hAnsi="Calibri"/>
                <w:sz w:val="14"/>
                <w:szCs w:val="14"/>
                <w:color w:val="auto"/>
              </w:rPr>
              <w:t>The Board of Directors recommends that you vote FOR this “Say-on-Pay” advisory</w:t>
            </w:r>
          </w:p>
        </w:tc>
        <w:tc>
          <w:tcPr>
            <w:tcW w:w="2060" w:type="dxa"/>
            <w:vAlign w:val="bottom"/>
          </w:tcPr>
          <w:p>
            <w:pPr>
              <w:ind w:left="140"/>
              <w:spacing w:after="0"/>
              <w:rPr>
                <w:sz w:val="20"/>
                <w:szCs w:val="20"/>
                <w:color w:val="auto"/>
              </w:rPr>
            </w:pPr>
            <w:r>
              <w:rPr>
                <w:rFonts w:ascii="Calibri" w:cs="Calibri" w:eastAsia="Calibri" w:hAnsi="Calibri"/>
                <w:sz w:val="14"/>
                <w:szCs w:val="14"/>
                <w:color w:val="auto"/>
              </w:rPr>
              <w:t>The Board recommends a</w:t>
            </w:r>
          </w:p>
        </w:tc>
      </w:tr>
      <w:tr>
        <w:trPr>
          <w:trHeight w:val="195"/>
        </w:trPr>
        <w:tc>
          <w:tcPr>
            <w:tcW w:w="4920" w:type="dxa"/>
            <w:vAlign w:val="bottom"/>
          </w:tcPr>
          <w:p>
            <w:pPr>
              <w:spacing w:after="0"/>
              <w:rPr>
                <w:sz w:val="20"/>
                <w:szCs w:val="20"/>
                <w:color w:val="auto"/>
              </w:rPr>
            </w:pPr>
            <w:r>
              <w:rPr>
                <w:rFonts w:ascii="Calibri" w:cs="Calibri" w:eastAsia="Calibri" w:hAnsi="Calibri"/>
                <w:sz w:val="14"/>
                <w:szCs w:val="14"/>
                <w:color w:val="auto"/>
              </w:rPr>
              <w:t>proposal because our compensaton program atracts top talent commensurate</w:t>
            </w:r>
          </w:p>
        </w:tc>
        <w:tc>
          <w:tcPr>
            <w:tcW w:w="2060" w:type="dxa"/>
            <w:vAlign w:val="bottom"/>
          </w:tcPr>
          <w:p>
            <w:pPr>
              <w:ind w:left="140"/>
              <w:spacing w:after="0" w:line="196" w:lineRule="exact"/>
              <w:rPr>
                <w:sz w:val="20"/>
                <w:szCs w:val="20"/>
                <w:color w:val="auto"/>
              </w:rPr>
            </w:pPr>
            <w:r>
              <w:rPr>
                <w:rFonts w:ascii="Calibri" w:cs="Calibri" w:eastAsia="Calibri" w:hAnsi="Calibri"/>
                <w:sz w:val="20"/>
                <w:szCs w:val="20"/>
                <w:b w:val="1"/>
                <w:bCs w:val="1"/>
                <w:color w:val="AF0000"/>
                <w:w w:val="99"/>
              </w:rPr>
              <w:t>Vote FOR this proposal</w:t>
            </w:r>
          </w:p>
        </w:tc>
      </w:tr>
      <w:tr>
        <w:trPr>
          <w:trHeight w:val="170"/>
        </w:trPr>
        <w:tc>
          <w:tcPr>
            <w:tcW w:w="4920" w:type="dxa"/>
            <w:vAlign w:val="bottom"/>
          </w:tcPr>
          <w:p>
            <w:pPr>
              <w:spacing w:after="0"/>
              <w:rPr>
                <w:sz w:val="20"/>
                <w:szCs w:val="20"/>
                <w:color w:val="auto"/>
              </w:rPr>
            </w:pPr>
            <w:r>
              <w:rPr>
                <w:rFonts w:ascii="Calibri" w:cs="Calibri" w:eastAsia="Calibri" w:hAnsi="Calibri"/>
                <w:sz w:val="14"/>
                <w:szCs w:val="14"/>
                <w:color w:val="auto"/>
              </w:rPr>
              <w:t>with our peers and reinforces our “Pay for Performance” philosophy.</w:t>
            </w:r>
          </w:p>
        </w:tc>
        <w:tc>
          <w:tcPr>
            <w:tcW w:w="2060" w:type="dxa"/>
            <w:vAlign w:val="bottom"/>
          </w:tcPr>
          <w:p>
            <w:pPr>
              <w:spacing w:after="0"/>
              <w:rPr>
                <w:sz w:val="14"/>
                <w:szCs w:val="14"/>
                <w:color w:val="auto"/>
              </w:rPr>
            </w:pPr>
          </w:p>
        </w:tc>
      </w:tr>
    </w:tbl>
    <w:p>
      <w:pPr>
        <w:spacing w:after="0" w:line="85" w:lineRule="exact"/>
        <w:rPr>
          <w:sz w:val="20"/>
          <w:szCs w:val="20"/>
          <w:color w:val="auto"/>
        </w:rPr>
      </w:pPr>
    </w:p>
    <w:p>
      <w:pPr>
        <w:ind w:left="360" w:right="539"/>
        <w:spacing w:after="0" w:line="229" w:lineRule="auto"/>
        <w:rPr>
          <w:sz w:val="20"/>
          <w:szCs w:val="20"/>
          <w:color w:val="auto"/>
        </w:rPr>
      </w:pPr>
      <w:r>
        <w:rPr>
          <w:rFonts w:ascii="Calibri" w:cs="Calibri" w:eastAsia="Calibri" w:hAnsi="Calibri"/>
          <w:sz w:val="22"/>
          <w:szCs w:val="22"/>
          <w:b w:val="1"/>
          <w:bCs w:val="1"/>
          <w:color w:val="AF0000"/>
        </w:rPr>
        <w:t xml:space="preserve">PROPOSAL 3: </w:t>
      </w:r>
      <w:r>
        <w:rPr>
          <w:rFonts w:ascii="Calibri" w:cs="Calibri" w:eastAsia="Calibri" w:hAnsi="Calibri"/>
          <w:sz w:val="22"/>
          <w:szCs w:val="22"/>
          <w:b w:val="1"/>
          <w:bCs w:val="1"/>
          <w:color w:val="000000"/>
        </w:rPr>
        <w:t>Approve an Amendment to Increase the Number of Shares Authorized Under</w:t>
      </w:r>
      <w:r>
        <w:rPr>
          <w:rFonts w:ascii="Calibri" w:cs="Calibri" w:eastAsia="Calibri" w:hAnsi="Calibri"/>
          <w:sz w:val="22"/>
          <w:szCs w:val="22"/>
          <w:b w:val="1"/>
          <w:bCs w:val="1"/>
          <w:color w:val="AF0000"/>
        </w:rPr>
        <w:t xml:space="preserve"> </w:t>
      </w:r>
      <w:r>
        <w:rPr>
          <w:rFonts w:ascii="Calibri" w:cs="Calibri" w:eastAsia="Calibri" w:hAnsi="Calibri"/>
          <w:sz w:val="22"/>
          <w:szCs w:val="22"/>
          <w:b w:val="1"/>
          <w:bCs w:val="1"/>
          <w:color w:val="000000"/>
        </w:rPr>
        <w:t xml:space="preserve">the Merit Medical Systems, Inc. 2018 Long-Term Incentve Plan </w:t>
      </w:r>
      <w:r>
        <w:rPr>
          <w:rFonts w:ascii="Calibri" w:cs="Calibri" w:eastAsia="Calibri" w:hAnsi="Calibri"/>
          <w:sz w:val="22"/>
          <w:szCs w:val="22"/>
          <w:b w:val="1"/>
          <w:bCs w:val="1"/>
          <w:color w:val="AF0000"/>
        </w:rPr>
        <w:t>(See page 74)</w:t>
      </w:r>
    </w:p>
    <w:p>
      <w:pPr>
        <w:sectPr>
          <w:pgSz w:w="11900" w:h="16838" w:orient="portrait"/>
          <w:cols w:equalWidth="0" w:num="1">
            <w:col w:w="9019"/>
          </w:cols>
          <w:pgMar w:left="1440" w:top="504" w:right="1440" w:bottom="1440" w:gutter="0" w:footer="0" w:header="0"/>
        </w:sectPr>
      </w:pPr>
    </w:p>
    <w:p>
      <w:pPr>
        <w:spacing w:after="0" w:line="42" w:lineRule="exact"/>
        <w:rPr>
          <w:sz w:val="20"/>
          <w:szCs w:val="20"/>
          <w:color w:val="auto"/>
        </w:rPr>
      </w:pPr>
    </w:p>
    <w:p>
      <w:pPr>
        <w:ind w:left="360"/>
        <w:spacing w:after="0" w:line="241" w:lineRule="auto"/>
        <w:rPr>
          <w:sz w:val="20"/>
          <w:szCs w:val="20"/>
          <w:color w:val="auto"/>
        </w:rPr>
      </w:pPr>
      <w:r>
        <w:rPr>
          <w:rFonts w:ascii="Calibri" w:cs="Calibri" w:eastAsia="Calibri" w:hAnsi="Calibri"/>
          <w:sz w:val="14"/>
          <w:szCs w:val="14"/>
          <w:color w:val="auto"/>
        </w:rPr>
        <w:t xml:space="preserve">The Board of Directors recommends that you vote FOR approval of the Third Amendment to the Merit Medical Systems, Inc. 2018 Long-Term Incentve Plan, which would increase the number of shares of Common Stock of the Company (the </w:t>
      </w:r>
      <w:r>
        <w:rPr>
          <w:rFonts w:ascii="Calibri" w:cs="Calibri" w:eastAsia="Calibri" w:hAnsi="Calibri"/>
          <w:sz w:val="14"/>
          <w:szCs w:val="14"/>
          <w:u w:val="single" w:color="auto"/>
          <w:color w:val="AF0000"/>
        </w:rPr>
        <w:t>Common Stock</w:t>
      </w:r>
      <w:r>
        <w:rPr>
          <w:rFonts w:ascii="Calibri" w:cs="Calibri" w:eastAsia="Calibri" w:hAnsi="Calibri"/>
          <w:sz w:val="14"/>
          <w:szCs w:val="14"/>
          <w:color w:val="auto"/>
        </w:rPr>
        <w:t>) authorized for issuance under the Plan by 3,000,000 shares. The Board of Directors believes that in order to successfully atract and retain highly talented individuals, and to beter align the interests of those individuals and the Company, we must contnue to ofer a compettve equity incentve program. The proposed increase in authorized shares under the Plan would allow Merit to contnue its grantng practces to key employees.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Calibri" w:cs="Calibri" w:eastAsia="Calibri" w:hAnsi="Calibri"/>
          <w:sz w:val="14"/>
          <w:szCs w:val="14"/>
          <w:color w:val="auto"/>
        </w:rPr>
        <w:t>The Board recommends a</w:t>
      </w:r>
    </w:p>
    <w:p>
      <w:pPr>
        <w:spacing w:after="0"/>
        <w:rPr>
          <w:sz w:val="20"/>
          <w:szCs w:val="20"/>
          <w:color w:val="auto"/>
        </w:rPr>
      </w:pPr>
      <w:r>
        <w:rPr>
          <w:rFonts w:ascii="Calibri" w:cs="Calibri" w:eastAsia="Calibri" w:hAnsi="Calibri"/>
          <w:sz w:val="20"/>
          <w:szCs w:val="20"/>
          <w:b w:val="1"/>
          <w:bCs w:val="1"/>
          <w:color w:val="AF0000"/>
        </w:rPr>
        <w:t>Vote FOR this proposal</w:t>
      </w:r>
    </w:p>
    <w:p>
      <w:pPr>
        <w:spacing w:after="0" w:line="1232" w:lineRule="exact"/>
        <w:rPr>
          <w:sz w:val="20"/>
          <w:szCs w:val="20"/>
          <w:color w:val="auto"/>
        </w:rPr>
      </w:pPr>
    </w:p>
    <w:p>
      <w:pPr>
        <w:sectPr>
          <w:pgSz w:w="11900" w:h="16838" w:orient="portrait"/>
          <w:cols w:equalWidth="0" w:num="2">
            <w:col w:w="5100" w:space="320"/>
            <w:col w:w="3599"/>
          </w:cols>
          <w:pgMar w:left="1440" w:top="504" w:right="1440" w:bottom="1440" w:gutter="0" w:footer="0" w:header="0"/>
          <w:type w:val="continuous"/>
        </w:sectPr>
      </w:pPr>
    </w:p>
    <w:p>
      <w:pPr>
        <w:ind w:left="360" w:right="699"/>
        <w:spacing w:after="0" w:line="229" w:lineRule="auto"/>
        <w:rPr>
          <w:sz w:val="20"/>
          <w:szCs w:val="20"/>
          <w:color w:val="auto"/>
        </w:rPr>
      </w:pPr>
      <w:r>
        <w:rPr>
          <w:rFonts w:ascii="Calibri" w:cs="Calibri" w:eastAsia="Calibri" w:hAnsi="Calibri"/>
          <w:sz w:val="22"/>
          <w:szCs w:val="22"/>
          <w:b w:val="1"/>
          <w:bCs w:val="1"/>
          <w:color w:val="AF0000"/>
        </w:rPr>
        <w:t xml:space="preserve">PROPOSAL 4: </w:t>
      </w:r>
      <w:r>
        <w:rPr>
          <w:rFonts w:ascii="Calibri" w:cs="Calibri" w:eastAsia="Calibri" w:hAnsi="Calibri"/>
          <w:sz w:val="22"/>
          <w:szCs w:val="22"/>
          <w:b w:val="1"/>
          <w:bCs w:val="1"/>
          <w:color w:val="000000"/>
        </w:rPr>
        <w:t>Ratfy Appointment of Independent Registered Public Accountng Firm</w:t>
      </w:r>
      <w:r>
        <w:rPr>
          <w:rFonts w:ascii="Calibri" w:cs="Calibri" w:eastAsia="Calibri" w:hAnsi="Calibri"/>
          <w:sz w:val="22"/>
          <w:szCs w:val="22"/>
          <w:b w:val="1"/>
          <w:bCs w:val="1"/>
          <w:color w:val="AF0000"/>
        </w:rPr>
        <w:t xml:space="preserve"> (See page 81)</w:t>
      </w:r>
    </w:p>
    <w:p>
      <w:pPr>
        <w:sectPr>
          <w:pgSz w:w="11900" w:h="16838" w:orient="portrait"/>
          <w:cols w:equalWidth="0" w:num="1">
            <w:col w:w="9019"/>
          </w:cols>
          <w:pgMar w:left="1440" w:top="504" w:right="1440" w:bottom="1440" w:gutter="0" w:footer="0" w:header="0"/>
          <w:type w:val="continuous"/>
        </w:sectPr>
      </w:pPr>
    </w:p>
    <w:p>
      <w:pPr>
        <w:spacing w:after="0" w:line="82" w:lineRule="exact"/>
        <w:rPr>
          <w:sz w:val="20"/>
          <w:szCs w:val="20"/>
          <w:color w:val="auto"/>
        </w:rPr>
      </w:pPr>
    </w:p>
    <w:p>
      <w:pPr>
        <w:ind w:left="360"/>
        <w:spacing w:after="0" w:line="239" w:lineRule="auto"/>
        <w:rPr>
          <w:sz w:val="20"/>
          <w:szCs w:val="20"/>
          <w:color w:val="auto"/>
        </w:rPr>
      </w:pPr>
      <w:r>
        <w:rPr>
          <w:rFonts w:ascii="Calibri" w:cs="Calibri" w:eastAsia="Calibri" w:hAnsi="Calibri"/>
          <w:sz w:val="14"/>
          <w:szCs w:val="14"/>
          <w:color w:val="auto"/>
        </w:rPr>
        <w:t>We have selected Deloite &amp; Touche LLP (</w:t>
      </w:r>
      <w:r>
        <w:rPr>
          <w:rFonts w:ascii="Calibri" w:cs="Calibri" w:eastAsia="Calibri" w:hAnsi="Calibri"/>
          <w:sz w:val="14"/>
          <w:szCs w:val="14"/>
          <w:u w:val="single" w:color="auto"/>
          <w:color w:val="AF0000"/>
        </w:rPr>
        <w:t>Deloite</w:t>
      </w:r>
      <w:r>
        <w:rPr>
          <w:rFonts w:ascii="Calibri" w:cs="Calibri" w:eastAsia="Calibri" w:hAnsi="Calibri"/>
          <w:sz w:val="14"/>
          <w:szCs w:val="14"/>
          <w:color w:val="auto"/>
        </w:rPr>
        <w:t>) to serve as our independent registered public accountng frm for the year ending December 31, 2024 because Deloite is an independent frm with reasonable fees and has signifcant industry and fnancial reportng expertse.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alibri" w:cs="Calibri" w:eastAsia="Calibri" w:hAnsi="Calibri"/>
          <w:sz w:val="14"/>
          <w:szCs w:val="14"/>
          <w:color w:val="auto"/>
        </w:rPr>
        <w:t>The Board recommends a</w:t>
      </w:r>
    </w:p>
    <w:p>
      <w:pPr>
        <w:spacing w:after="0"/>
        <w:rPr>
          <w:sz w:val="20"/>
          <w:szCs w:val="20"/>
          <w:color w:val="auto"/>
        </w:rPr>
      </w:pPr>
      <w:r>
        <w:rPr>
          <w:rFonts w:ascii="Calibri" w:cs="Calibri" w:eastAsia="Calibri" w:hAnsi="Calibri"/>
          <w:sz w:val="20"/>
          <w:szCs w:val="20"/>
          <w:b w:val="1"/>
          <w:bCs w:val="1"/>
          <w:color w:val="AF0000"/>
        </w:rPr>
        <w:t>Vote FOR this proposal</w:t>
      </w:r>
    </w:p>
    <w:p>
      <w:pPr>
        <w:spacing w:after="0" w:line="466" w:lineRule="exact"/>
        <w:rPr>
          <w:sz w:val="20"/>
          <w:szCs w:val="20"/>
          <w:color w:val="auto"/>
        </w:rPr>
      </w:pPr>
    </w:p>
    <w:p>
      <w:pPr>
        <w:sectPr>
          <w:pgSz w:w="11900" w:h="16838" w:orient="portrait"/>
          <w:cols w:equalWidth="0" w:num="2">
            <w:col w:w="5120" w:space="300"/>
            <w:col w:w="3599"/>
          </w:cols>
          <w:pgMar w:left="1440" w:top="5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 xml:space="preserve">2 </w:t>
      </w:r>
      <w:r>
        <w:rPr>
          <w:rFonts w:ascii="Calibri" w:cs="Calibri" w:eastAsia="Calibri" w:hAnsi="Calibri"/>
          <w:sz w:val="17"/>
          <w:szCs w:val="17"/>
          <w:color w:val="AF0000"/>
        </w:rPr>
        <w:t>|</w:t>
      </w:r>
      <w:r>
        <w:rPr>
          <w:rFonts w:ascii="Calibri" w:cs="Calibri" w:eastAsia="Calibri" w:hAnsi="Calibri"/>
          <w:sz w:val="17"/>
          <w:szCs w:val="17"/>
          <w:color w:val="auto"/>
        </w:rPr>
        <w:t xml:space="preserve"> Understand. Innovate. Deliver.</w:t>
      </w:r>
      <w:r>
        <w:rPr>
          <w:rFonts w:ascii="Calibri" w:cs="Calibri" w:eastAsia="Calibri" w:hAnsi="Calibri"/>
          <w:sz w:val="25"/>
          <w:szCs w:val="25"/>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307340</wp:posOffset>
            </wp:positionV>
            <wp:extent cx="545211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6" w:name="page7"/>
    <w:bookmarkEnd w:id="6"/>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PROXY STATEMENT SUMMARY</w:t>
      </w:r>
    </w:p>
    <w:p>
      <w:pPr>
        <w:spacing w:after="0" w:line="158"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A Snapshot of Our Board of Directors</w:t>
      </w:r>
    </w:p>
    <w:p>
      <w:pPr>
        <w:spacing w:after="0" w:line="186" w:lineRule="exact"/>
        <w:rPr>
          <w:sz w:val="20"/>
          <w:szCs w:val="20"/>
          <w:color w:val="auto"/>
        </w:rPr>
      </w:pPr>
    </w:p>
    <w:p>
      <w:pPr>
        <w:ind w:left="200" w:right="519"/>
        <w:spacing w:after="0" w:line="235" w:lineRule="auto"/>
        <w:rPr>
          <w:sz w:val="20"/>
          <w:szCs w:val="20"/>
          <w:color w:val="auto"/>
        </w:rPr>
      </w:pPr>
      <w:r>
        <w:rPr>
          <w:rFonts w:ascii="Calibri" w:cs="Calibri" w:eastAsia="Calibri" w:hAnsi="Calibri"/>
          <w:sz w:val="18"/>
          <w:szCs w:val="18"/>
          <w:color w:val="auto"/>
        </w:rPr>
        <w:t>The following table provides summary informaton about each director nominee (frst three), as well as each director whose term of ofce will contnue afer the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135255</wp:posOffset>
            </wp:positionV>
            <wp:extent cx="54521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2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39"/>
              <w:spacing w:after="0"/>
              <w:rPr>
                <w:sz w:val="20"/>
                <w:szCs w:val="20"/>
                <w:color w:val="auto"/>
              </w:rPr>
            </w:pPr>
            <w:r>
              <w:rPr>
                <w:rFonts w:ascii="Calibri" w:cs="Calibri" w:eastAsia="Calibri" w:hAnsi="Calibri"/>
                <w:sz w:val="16"/>
                <w:szCs w:val="16"/>
                <w:b w:val="1"/>
                <w:bCs w:val="1"/>
                <w:color w:val="auto"/>
                <w:w w:val="99"/>
              </w:rPr>
              <w:t>Director</w:t>
            </w:r>
          </w:p>
        </w:tc>
        <w:tc>
          <w:tcPr>
            <w:tcW w:w="74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Term</w:t>
            </w: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Calibri" w:cs="Calibri" w:eastAsia="Calibri" w:hAnsi="Calibri"/>
                <w:sz w:val="16"/>
                <w:szCs w:val="16"/>
                <w:b w:val="1"/>
                <w:bCs w:val="1"/>
                <w:color w:val="auto"/>
              </w:rPr>
              <w:t>Board Commitees</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120" w:type="dxa"/>
            <w:vAlign w:val="bottom"/>
            <w:tcBorders>
              <w:bottom w:val="single" w:sz="8" w:color="AF0000"/>
            </w:tcBorders>
            <w:gridSpan w:val="2"/>
          </w:tcPr>
          <w:p>
            <w:pPr>
              <w:ind w:left="640"/>
              <w:spacing w:after="0"/>
              <w:rPr>
                <w:sz w:val="20"/>
                <w:szCs w:val="20"/>
                <w:color w:val="auto"/>
              </w:rPr>
            </w:pPr>
            <w:r>
              <w:rPr>
                <w:rFonts w:ascii="Calibri" w:cs="Calibri" w:eastAsia="Calibri" w:hAnsi="Calibri"/>
                <w:sz w:val="16"/>
                <w:szCs w:val="16"/>
                <w:b w:val="1"/>
                <w:bCs w:val="1"/>
                <w:color w:val="auto"/>
              </w:rPr>
              <w:t>Name, Primary Occupaton</w:t>
            </w:r>
          </w:p>
        </w:tc>
        <w:tc>
          <w:tcPr>
            <w:tcW w:w="580" w:type="dxa"/>
            <w:vAlign w:val="bottom"/>
            <w:tcBorders>
              <w:bottom w:val="single" w:sz="8" w:color="AF0000"/>
            </w:tcBorders>
            <w:gridSpan w:val="2"/>
          </w:tcPr>
          <w:p>
            <w:pPr>
              <w:jc w:val="center"/>
              <w:ind w:right="120"/>
              <w:spacing w:after="0"/>
              <w:rPr>
                <w:sz w:val="20"/>
                <w:szCs w:val="20"/>
                <w:color w:val="auto"/>
              </w:rPr>
            </w:pPr>
            <w:r>
              <w:rPr>
                <w:rFonts w:ascii="Calibri" w:cs="Calibri" w:eastAsia="Calibri" w:hAnsi="Calibri"/>
                <w:sz w:val="16"/>
                <w:szCs w:val="16"/>
                <w:b w:val="1"/>
                <w:bCs w:val="1"/>
                <w:color w:val="auto"/>
              </w:rPr>
              <w:t>Age</w:t>
            </w:r>
          </w:p>
        </w:tc>
        <w:tc>
          <w:tcPr>
            <w:tcW w:w="660" w:type="dxa"/>
            <w:vAlign w:val="bottom"/>
            <w:tcBorders>
              <w:bottom w:val="single" w:sz="8" w:color="AF0000"/>
            </w:tcBorders>
          </w:tcPr>
          <w:p>
            <w:pPr>
              <w:jc w:val="center"/>
              <w:ind w:right="39"/>
              <w:spacing w:after="0"/>
              <w:rPr>
                <w:sz w:val="20"/>
                <w:szCs w:val="20"/>
                <w:color w:val="auto"/>
              </w:rPr>
            </w:pPr>
            <w:r>
              <w:rPr>
                <w:rFonts w:ascii="Calibri" w:cs="Calibri" w:eastAsia="Calibri" w:hAnsi="Calibri"/>
                <w:sz w:val="16"/>
                <w:szCs w:val="16"/>
                <w:b w:val="1"/>
                <w:bCs w:val="1"/>
                <w:color w:val="auto"/>
                <w:w w:val="97"/>
              </w:rPr>
              <w:t>Since</w:t>
            </w:r>
          </w:p>
        </w:tc>
        <w:tc>
          <w:tcPr>
            <w:tcW w:w="740" w:type="dxa"/>
            <w:vAlign w:val="bottom"/>
            <w:tcBorders>
              <w:bottom w:val="single" w:sz="8" w:color="AF0000"/>
            </w:tcBorders>
          </w:tcPr>
          <w:p>
            <w:pPr>
              <w:jc w:val="center"/>
              <w:spacing w:after="0"/>
              <w:rPr>
                <w:sz w:val="20"/>
                <w:szCs w:val="20"/>
                <w:color w:val="auto"/>
              </w:rPr>
            </w:pPr>
            <w:r>
              <w:rPr>
                <w:rFonts w:ascii="Calibri" w:cs="Calibri" w:eastAsia="Calibri" w:hAnsi="Calibri"/>
                <w:sz w:val="16"/>
                <w:szCs w:val="16"/>
                <w:b w:val="1"/>
                <w:bCs w:val="1"/>
                <w:color w:val="auto"/>
              </w:rPr>
              <w:t>Expires</w:t>
            </w:r>
          </w:p>
        </w:tc>
        <w:tc>
          <w:tcPr>
            <w:tcW w:w="1120" w:type="dxa"/>
            <w:vAlign w:val="bottom"/>
            <w:tcBorders>
              <w:bottom w:val="single" w:sz="8" w:color="AF0000"/>
            </w:tcBorders>
          </w:tcPr>
          <w:p>
            <w:pPr>
              <w:jc w:val="center"/>
              <w:spacing w:after="0"/>
              <w:rPr>
                <w:sz w:val="20"/>
                <w:szCs w:val="20"/>
                <w:color w:val="auto"/>
              </w:rPr>
            </w:pPr>
            <w:r>
              <w:rPr>
                <w:rFonts w:ascii="Calibri" w:cs="Calibri" w:eastAsia="Calibri" w:hAnsi="Calibri"/>
                <w:sz w:val="16"/>
                <w:szCs w:val="16"/>
                <w:b w:val="1"/>
                <w:bCs w:val="1"/>
                <w:color w:val="auto"/>
              </w:rPr>
              <w:t>Independent</w:t>
            </w:r>
          </w:p>
        </w:tc>
        <w:tc>
          <w:tcPr>
            <w:tcW w:w="300" w:type="dxa"/>
            <w:vAlign w:val="bottom"/>
            <w:tcBorders>
              <w:bottom w:val="single" w:sz="8" w:color="AF0000"/>
            </w:tcBorders>
          </w:tcPr>
          <w:p>
            <w:pPr>
              <w:ind w:left="180"/>
              <w:spacing w:after="0" w:line="215" w:lineRule="exact"/>
              <w:rPr>
                <w:sz w:val="20"/>
                <w:szCs w:val="20"/>
                <w:color w:val="auto"/>
              </w:rPr>
            </w:pPr>
            <w:r>
              <w:rPr>
                <w:rFonts w:ascii="Calibri" w:cs="Calibri" w:eastAsia="Calibri" w:hAnsi="Calibri"/>
                <w:sz w:val="18"/>
                <w:szCs w:val="18"/>
                <w:b w:val="1"/>
                <w:bCs w:val="1"/>
                <w:color w:val="auto"/>
                <w:w w:val="91"/>
              </w:rPr>
              <w:t>A</w:t>
            </w:r>
          </w:p>
        </w:tc>
        <w:tc>
          <w:tcPr>
            <w:tcW w:w="160" w:type="dxa"/>
            <w:vAlign w:val="bottom"/>
            <w:tcBorders>
              <w:bottom w:val="single" w:sz="8" w:color="AF0000"/>
            </w:tcBorders>
          </w:tcPr>
          <w:p>
            <w:pPr>
              <w:spacing w:after="0"/>
              <w:rPr>
                <w:sz w:val="21"/>
                <w:szCs w:val="21"/>
                <w:color w:val="auto"/>
              </w:rPr>
            </w:pPr>
          </w:p>
        </w:tc>
        <w:tc>
          <w:tcPr>
            <w:tcW w:w="460" w:type="dxa"/>
            <w:vAlign w:val="bottom"/>
            <w:tcBorders>
              <w:bottom w:val="single" w:sz="8" w:color="AF0000"/>
            </w:tcBorders>
          </w:tcPr>
          <w:p>
            <w:pPr>
              <w:ind w:left="180"/>
              <w:spacing w:after="0" w:line="215" w:lineRule="exact"/>
              <w:rPr>
                <w:sz w:val="20"/>
                <w:szCs w:val="20"/>
                <w:color w:val="auto"/>
              </w:rPr>
            </w:pPr>
            <w:r>
              <w:rPr>
                <w:rFonts w:ascii="Calibri" w:cs="Calibri" w:eastAsia="Calibri" w:hAnsi="Calibri"/>
                <w:sz w:val="18"/>
                <w:szCs w:val="18"/>
                <w:b w:val="1"/>
                <w:bCs w:val="1"/>
                <w:color w:val="auto"/>
              </w:rPr>
              <w:t>C</w:t>
            </w:r>
          </w:p>
        </w:tc>
        <w:tc>
          <w:tcPr>
            <w:tcW w:w="460" w:type="dxa"/>
            <w:vAlign w:val="bottom"/>
            <w:tcBorders>
              <w:bottom w:val="single" w:sz="8" w:color="AF0000"/>
            </w:tcBorders>
          </w:tcPr>
          <w:p>
            <w:pPr>
              <w:ind w:left="200"/>
              <w:spacing w:after="0" w:line="215" w:lineRule="exact"/>
              <w:rPr>
                <w:sz w:val="20"/>
                <w:szCs w:val="20"/>
                <w:color w:val="auto"/>
              </w:rPr>
            </w:pPr>
            <w:r>
              <w:rPr>
                <w:rFonts w:ascii="Calibri" w:cs="Calibri" w:eastAsia="Calibri" w:hAnsi="Calibri"/>
                <w:sz w:val="18"/>
                <w:szCs w:val="18"/>
                <w:b w:val="1"/>
                <w:bCs w:val="1"/>
                <w:color w:val="auto"/>
              </w:rPr>
              <w:t>F</w:t>
            </w:r>
          </w:p>
        </w:tc>
        <w:tc>
          <w:tcPr>
            <w:tcW w:w="560" w:type="dxa"/>
            <w:vAlign w:val="bottom"/>
            <w:tcBorders>
              <w:bottom w:val="single" w:sz="8" w:color="AF0000"/>
            </w:tcBorders>
          </w:tcPr>
          <w:p>
            <w:pPr>
              <w:ind w:left="220"/>
              <w:spacing w:after="0" w:line="215" w:lineRule="exact"/>
              <w:rPr>
                <w:sz w:val="20"/>
                <w:szCs w:val="20"/>
                <w:color w:val="auto"/>
              </w:rPr>
            </w:pPr>
            <w:r>
              <w:rPr>
                <w:rFonts w:ascii="Calibri" w:cs="Calibri" w:eastAsia="Calibri" w:hAnsi="Calibri"/>
                <w:sz w:val="18"/>
                <w:szCs w:val="18"/>
                <w:b w:val="1"/>
                <w:bCs w:val="1"/>
                <w:color w:val="auto"/>
              </w:rPr>
              <w:t>G</w:t>
            </w:r>
          </w:p>
        </w:tc>
        <w:tc>
          <w:tcPr>
            <w:tcW w:w="420" w:type="dxa"/>
            <w:vAlign w:val="bottom"/>
            <w:tcBorders>
              <w:bottom w:val="single" w:sz="8" w:color="AF0000"/>
            </w:tcBorders>
          </w:tcPr>
          <w:p>
            <w:pPr>
              <w:ind w:left="140"/>
              <w:spacing w:after="0" w:line="215" w:lineRule="exact"/>
              <w:rPr>
                <w:sz w:val="20"/>
                <w:szCs w:val="20"/>
                <w:color w:val="auto"/>
              </w:rPr>
            </w:pPr>
            <w:r>
              <w:rPr>
                <w:rFonts w:ascii="Calibri" w:cs="Calibri" w:eastAsia="Calibri" w:hAnsi="Calibri"/>
                <w:sz w:val="18"/>
                <w:szCs w:val="18"/>
                <w:b w:val="1"/>
                <w:bCs w:val="1"/>
                <w:color w:val="auto"/>
              </w:rPr>
              <w:t>O</w:t>
            </w:r>
          </w:p>
        </w:tc>
        <w:tc>
          <w:tcPr>
            <w:tcW w:w="0" w:type="dxa"/>
            <w:vAlign w:val="bottom"/>
          </w:tcPr>
          <w:p>
            <w:pPr>
              <w:spacing w:after="0"/>
              <w:rPr>
                <w:sz w:val="1"/>
                <w:szCs w:val="1"/>
                <w:color w:val="auto"/>
              </w:rPr>
            </w:pPr>
          </w:p>
        </w:tc>
      </w:tr>
      <w:tr>
        <w:trPr>
          <w:trHeight w:val="216"/>
        </w:trPr>
        <w:tc>
          <w:tcPr>
            <w:tcW w:w="2020" w:type="dxa"/>
            <w:vAlign w:val="bottom"/>
          </w:tcPr>
          <w:p>
            <w:pPr>
              <w:ind w:left="80"/>
              <w:spacing w:after="0"/>
              <w:rPr>
                <w:sz w:val="20"/>
                <w:szCs w:val="20"/>
                <w:color w:val="auto"/>
              </w:rPr>
            </w:pPr>
            <w:r>
              <w:rPr>
                <w:rFonts w:ascii="Calibri" w:cs="Calibri" w:eastAsia="Calibri" w:hAnsi="Calibri"/>
                <w:sz w:val="16"/>
                <w:szCs w:val="16"/>
                <w:b w:val="1"/>
                <w:bCs w:val="1"/>
                <w:color w:val="auto"/>
              </w:rPr>
              <w:t>FRED P. LAMPROPOULOS</w:t>
            </w:r>
          </w:p>
        </w:tc>
        <w:tc>
          <w:tcPr>
            <w:tcW w:w="1100" w:type="dxa"/>
            <w:vAlign w:val="bottom"/>
          </w:tcPr>
          <w:p>
            <w:pPr>
              <w:spacing w:after="0"/>
              <w:rPr>
                <w:sz w:val="18"/>
                <w:szCs w:val="18"/>
                <w:color w:val="auto"/>
              </w:rPr>
            </w:pPr>
          </w:p>
        </w:tc>
        <w:tc>
          <w:tcPr>
            <w:tcW w:w="46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74</w:t>
            </w:r>
          </w:p>
        </w:tc>
        <w:tc>
          <w:tcPr>
            <w:tcW w:w="120" w:type="dxa"/>
            <w:vAlign w:val="bottom"/>
            <w:shd w:val="clear" w:color="auto" w:fill="F2F2F2"/>
          </w:tcPr>
          <w:p>
            <w:pPr>
              <w:spacing w:after="0"/>
              <w:rPr>
                <w:sz w:val="18"/>
                <w:szCs w:val="18"/>
                <w:color w:val="auto"/>
              </w:rPr>
            </w:pPr>
          </w:p>
        </w:tc>
        <w:tc>
          <w:tcPr>
            <w:tcW w:w="660" w:type="dxa"/>
            <w:vAlign w:val="bottom"/>
            <w:vMerge w:val="restart"/>
            <w:shd w:val="clear" w:color="auto" w:fill="F2F2F2"/>
          </w:tcPr>
          <w:p>
            <w:pPr>
              <w:jc w:val="center"/>
              <w:ind w:right="39"/>
              <w:spacing w:after="0"/>
              <w:rPr>
                <w:sz w:val="20"/>
                <w:szCs w:val="20"/>
                <w:color w:val="auto"/>
              </w:rPr>
            </w:pPr>
            <w:r>
              <w:rPr>
                <w:rFonts w:ascii="Calibri" w:cs="Calibri" w:eastAsia="Calibri" w:hAnsi="Calibri"/>
                <w:sz w:val="16"/>
                <w:szCs w:val="16"/>
                <w:color w:val="auto"/>
              </w:rPr>
              <w:t>1987</w:t>
            </w:r>
          </w:p>
        </w:tc>
        <w:tc>
          <w:tcPr>
            <w:tcW w:w="740" w:type="dxa"/>
            <w:vAlign w:val="bottom"/>
            <w:vMerge w:val="restart"/>
          </w:tcPr>
          <w:p>
            <w:pPr>
              <w:jc w:val="center"/>
              <w:spacing w:after="0"/>
              <w:rPr>
                <w:sz w:val="20"/>
                <w:szCs w:val="20"/>
                <w:color w:val="auto"/>
              </w:rPr>
            </w:pPr>
            <w:r>
              <w:rPr>
                <w:rFonts w:ascii="Calibri" w:cs="Calibri" w:eastAsia="Calibri" w:hAnsi="Calibri"/>
                <w:sz w:val="16"/>
                <w:szCs w:val="16"/>
                <w:color w:val="auto"/>
                <w:w w:val="90"/>
              </w:rPr>
              <w:t>2024</w:t>
            </w:r>
            <w:r>
              <w:rPr>
                <w:rFonts w:ascii="Calibri" w:cs="Calibri" w:eastAsia="Calibri" w:hAnsi="Calibri"/>
                <w:sz w:val="24"/>
                <w:szCs w:val="24"/>
                <w:b w:val="1"/>
                <w:bCs w:val="1"/>
                <w:color w:val="AF0000"/>
                <w:w w:val="90"/>
                <w:vertAlign w:val="superscript"/>
              </w:rPr>
              <w:t>(1)</w:t>
            </w:r>
          </w:p>
        </w:tc>
        <w:tc>
          <w:tcPr>
            <w:tcW w:w="1120" w:type="dxa"/>
            <w:vAlign w:val="bottom"/>
            <w:vMerge w:val="restart"/>
            <w:shd w:val="clear" w:color="auto" w:fill="F2F2F2"/>
          </w:tcPr>
          <w:p>
            <w:pPr>
              <w:jc w:val="center"/>
              <w:spacing w:after="0"/>
              <w:rPr>
                <w:sz w:val="20"/>
                <w:szCs w:val="20"/>
                <w:color w:val="auto"/>
              </w:rPr>
            </w:pPr>
            <w:r>
              <w:rPr>
                <w:rFonts w:ascii="Calibri" w:cs="Calibri" w:eastAsia="Calibri" w:hAnsi="Calibri"/>
                <w:sz w:val="16"/>
                <w:szCs w:val="16"/>
                <w:color w:val="auto"/>
                <w:w w:val="95"/>
              </w:rPr>
              <w:t>No</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shd w:val="clear" w:color="auto" w:fill="F2F2F2"/>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shd w:val="clear" w:color="auto" w:fill="F2F2F2"/>
          </w:tcPr>
          <w:p>
            <w:pPr>
              <w:spacing w:after="0"/>
              <w:rPr>
                <w:sz w:val="18"/>
                <w:szCs w:val="18"/>
                <w:color w:val="auto"/>
              </w:rPr>
            </w:pP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3120" w:type="dxa"/>
            <w:vAlign w:val="bottom"/>
            <w:gridSpan w:val="2"/>
            <w:vMerge w:val="restart"/>
          </w:tcPr>
          <w:p>
            <w:pPr>
              <w:ind w:left="80"/>
              <w:spacing w:after="0"/>
              <w:rPr>
                <w:sz w:val="20"/>
                <w:szCs w:val="20"/>
                <w:color w:val="auto"/>
              </w:rPr>
            </w:pPr>
            <w:r>
              <w:rPr>
                <w:rFonts w:ascii="Calibri" w:cs="Calibri" w:eastAsia="Calibri" w:hAnsi="Calibri"/>
                <w:sz w:val="16"/>
                <w:szCs w:val="16"/>
                <w:i w:val="1"/>
                <w:iCs w:val="1"/>
                <w:color w:val="auto"/>
              </w:rPr>
              <w:t>Chair, President &amp; CEO of Merit</w:t>
            </w:r>
          </w:p>
        </w:tc>
        <w:tc>
          <w:tcPr>
            <w:tcW w:w="460" w:type="dxa"/>
            <w:vAlign w:val="bottom"/>
            <w:vMerge w:val="continue"/>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660" w:type="dxa"/>
            <w:vAlign w:val="bottom"/>
            <w:vMerge w:val="continue"/>
            <w:shd w:val="clear" w:color="auto" w:fill="F2F2F2"/>
          </w:tcPr>
          <w:p>
            <w:pPr>
              <w:spacing w:after="0"/>
              <w:rPr>
                <w:sz w:val="14"/>
                <w:szCs w:val="14"/>
                <w:color w:val="auto"/>
              </w:rPr>
            </w:pPr>
          </w:p>
        </w:tc>
        <w:tc>
          <w:tcPr>
            <w:tcW w:w="740" w:type="dxa"/>
            <w:vAlign w:val="bottom"/>
            <w:vMerge w:val="continue"/>
          </w:tcPr>
          <w:p>
            <w:pPr>
              <w:spacing w:after="0"/>
              <w:rPr>
                <w:sz w:val="14"/>
                <w:szCs w:val="14"/>
                <w:color w:val="auto"/>
              </w:rPr>
            </w:pPr>
          </w:p>
        </w:tc>
        <w:tc>
          <w:tcPr>
            <w:tcW w:w="1120" w:type="dxa"/>
            <w:vAlign w:val="bottom"/>
            <w:vMerge w:val="continue"/>
            <w:shd w:val="clear" w:color="auto" w:fill="F2F2F2"/>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shd w:val="clear" w:color="auto" w:fill="F2F2F2"/>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120" w:type="dxa"/>
            <w:vAlign w:val="bottom"/>
            <w:tcBorders>
              <w:bottom w:val="single" w:sz="8" w:color="A6A6A6"/>
            </w:tcBorders>
            <w:gridSpan w:val="2"/>
            <w:vMerge w:val="continue"/>
          </w:tcPr>
          <w:p>
            <w:pPr>
              <w:spacing w:after="0"/>
              <w:rPr>
                <w:sz w:val="6"/>
                <w:szCs w:val="6"/>
                <w:color w:val="auto"/>
              </w:rPr>
            </w:pPr>
          </w:p>
        </w:tc>
        <w:tc>
          <w:tcPr>
            <w:tcW w:w="46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shd w:val="clear" w:color="auto" w:fill="F2F2F2"/>
          </w:tcPr>
          <w:p>
            <w:pPr>
              <w:spacing w:after="0"/>
              <w:rPr>
                <w:sz w:val="6"/>
                <w:szCs w:val="6"/>
                <w:color w:val="auto"/>
              </w:rPr>
            </w:pPr>
          </w:p>
        </w:tc>
        <w:tc>
          <w:tcPr>
            <w:tcW w:w="740" w:type="dxa"/>
            <w:vAlign w:val="bottom"/>
            <w:tcBorders>
              <w:bottom w:val="single" w:sz="8" w:color="A6A6A6"/>
            </w:tcBorders>
          </w:tcPr>
          <w:p>
            <w:pPr>
              <w:spacing w:after="0"/>
              <w:rPr>
                <w:sz w:val="6"/>
                <w:szCs w:val="6"/>
                <w:color w:val="auto"/>
              </w:rPr>
            </w:pPr>
          </w:p>
        </w:tc>
        <w:tc>
          <w:tcPr>
            <w:tcW w:w="1120" w:type="dxa"/>
            <w:vAlign w:val="bottom"/>
            <w:tcBorders>
              <w:bottom w:val="single" w:sz="8" w:color="A6A6A6"/>
            </w:tcBorders>
            <w:shd w:val="clear" w:color="auto" w:fill="F2F2F2"/>
          </w:tcPr>
          <w:p>
            <w:pPr>
              <w:spacing w:after="0"/>
              <w:rPr>
                <w:sz w:val="6"/>
                <w:szCs w:val="6"/>
                <w:color w:val="auto"/>
              </w:rPr>
            </w:pPr>
          </w:p>
        </w:tc>
        <w:tc>
          <w:tcPr>
            <w:tcW w:w="30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460" w:type="dxa"/>
            <w:vAlign w:val="bottom"/>
            <w:tcBorders>
              <w:bottom w:val="single" w:sz="8" w:color="A6A6A6"/>
            </w:tcBorders>
            <w:shd w:val="clear" w:color="auto" w:fill="F2F2F2"/>
          </w:tcPr>
          <w:p>
            <w:pPr>
              <w:spacing w:after="0"/>
              <w:rPr>
                <w:sz w:val="6"/>
                <w:szCs w:val="6"/>
                <w:color w:val="auto"/>
              </w:rPr>
            </w:pPr>
          </w:p>
        </w:tc>
        <w:tc>
          <w:tcPr>
            <w:tcW w:w="460" w:type="dxa"/>
            <w:vAlign w:val="bottom"/>
            <w:tcBorders>
              <w:bottom w:val="single" w:sz="8" w:color="A6A6A6"/>
            </w:tcBorders>
          </w:tcPr>
          <w:p>
            <w:pPr>
              <w:spacing w:after="0"/>
              <w:rPr>
                <w:sz w:val="6"/>
                <w:szCs w:val="6"/>
                <w:color w:val="auto"/>
              </w:rPr>
            </w:pPr>
          </w:p>
        </w:tc>
        <w:tc>
          <w:tcPr>
            <w:tcW w:w="560" w:type="dxa"/>
            <w:vAlign w:val="bottom"/>
            <w:tcBorders>
              <w:bottom w:val="single" w:sz="8" w:color="A6A6A6"/>
            </w:tcBorders>
            <w:shd w:val="clear" w:color="auto" w:fill="F2F2F2"/>
          </w:tcPr>
          <w:p>
            <w:pPr>
              <w:spacing w:after="0"/>
              <w:rPr>
                <w:sz w:val="6"/>
                <w:szCs w:val="6"/>
                <w:color w:val="auto"/>
              </w:rPr>
            </w:pPr>
          </w:p>
        </w:tc>
        <w:tc>
          <w:tcPr>
            <w:tcW w:w="420" w:type="dxa"/>
            <w:vAlign w:val="bottom"/>
            <w:tcBorders>
              <w:bottom w:val="single" w:sz="8" w:color="A6A6A6"/>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80"/>
              <w:spacing w:after="0"/>
              <w:rPr>
                <w:sz w:val="20"/>
                <w:szCs w:val="20"/>
                <w:color w:val="auto"/>
              </w:rPr>
            </w:pPr>
            <w:r>
              <w:rPr>
                <w:rFonts w:ascii="Calibri" w:cs="Calibri" w:eastAsia="Calibri" w:hAnsi="Calibri"/>
                <w:sz w:val="16"/>
                <w:szCs w:val="16"/>
                <w:b w:val="1"/>
                <w:bCs w:val="1"/>
                <w:color w:val="auto"/>
              </w:rPr>
              <w:t>STEPHEN C. EVANS</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shd w:val="clear" w:color="auto" w:fill="F2F2F2"/>
          </w:tcPr>
          <w:p>
            <w:pPr>
              <w:spacing w:after="0"/>
              <w:rPr>
                <w:sz w:val="18"/>
                <w:szCs w:val="18"/>
                <w:color w:val="auto"/>
              </w:rPr>
            </w:pPr>
          </w:p>
        </w:tc>
        <w:tc>
          <w:tcPr>
            <w:tcW w:w="660" w:type="dxa"/>
            <w:vAlign w:val="bottom"/>
            <w:shd w:val="clear" w:color="auto" w:fill="F2F2F2"/>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shd w:val="clear" w:color="auto" w:fill="F2F2F2"/>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shd w:val="clear" w:color="auto" w:fill="F2F2F2"/>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shd w:val="clear" w:color="auto" w:fill="F2F2F2"/>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gridSpan w:val="2"/>
          </w:tcPr>
          <w:p>
            <w:pPr>
              <w:ind w:left="80"/>
              <w:spacing w:after="0"/>
              <w:rPr>
                <w:sz w:val="20"/>
                <w:szCs w:val="20"/>
                <w:color w:val="auto"/>
              </w:rPr>
            </w:pPr>
            <w:r>
              <w:rPr>
                <w:rFonts w:ascii="Calibri" w:cs="Calibri" w:eastAsia="Calibri" w:hAnsi="Calibri"/>
                <w:sz w:val="16"/>
                <w:szCs w:val="16"/>
                <w:i w:val="1"/>
                <w:iCs w:val="1"/>
                <w:color w:val="auto"/>
              </w:rPr>
              <w:t>Founder, Chairman &amp; CEO of Flag Bridge</w:t>
            </w:r>
          </w:p>
        </w:tc>
        <w:tc>
          <w:tcPr>
            <w:tcW w:w="46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59</w:t>
            </w:r>
          </w:p>
        </w:tc>
        <w:tc>
          <w:tcPr>
            <w:tcW w:w="120" w:type="dxa"/>
            <w:vAlign w:val="bottom"/>
            <w:shd w:val="clear" w:color="auto" w:fill="F2F2F2"/>
          </w:tcPr>
          <w:p>
            <w:pPr>
              <w:spacing w:after="0"/>
              <w:rPr>
                <w:sz w:val="19"/>
                <w:szCs w:val="19"/>
                <w:color w:val="auto"/>
              </w:rPr>
            </w:pPr>
          </w:p>
        </w:tc>
        <w:tc>
          <w:tcPr>
            <w:tcW w:w="660" w:type="dxa"/>
            <w:vAlign w:val="bottom"/>
            <w:vMerge w:val="restart"/>
            <w:shd w:val="clear" w:color="auto" w:fill="F2F2F2"/>
          </w:tcPr>
          <w:p>
            <w:pPr>
              <w:jc w:val="center"/>
              <w:ind w:right="39"/>
              <w:spacing w:after="0"/>
              <w:rPr>
                <w:sz w:val="20"/>
                <w:szCs w:val="20"/>
                <w:color w:val="auto"/>
              </w:rPr>
            </w:pPr>
            <w:r>
              <w:rPr>
                <w:rFonts w:ascii="Calibri" w:cs="Calibri" w:eastAsia="Calibri" w:hAnsi="Calibri"/>
                <w:sz w:val="16"/>
                <w:szCs w:val="16"/>
                <w:color w:val="auto"/>
              </w:rPr>
              <w:t>2021</w:t>
            </w:r>
          </w:p>
        </w:tc>
        <w:tc>
          <w:tcPr>
            <w:tcW w:w="740" w:type="dxa"/>
            <w:vAlign w:val="bottom"/>
            <w:vMerge w:val="restart"/>
          </w:tcPr>
          <w:p>
            <w:pPr>
              <w:jc w:val="center"/>
              <w:spacing w:after="0"/>
              <w:rPr>
                <w:sz w:val="20"/>
                <w:szCs w:val="20"/>
                <w:color w:val="auto"/>
              </w:rPr>
            </w:pPr>
            <w:r>
              <w:rPr>
                <w:rFonts w:ascii="Calibri" w:cs="Calibri" w:eastAsia="Calibri" w:hAnsi="Calibri"/>
                <w:sz w:val="16"/>
                <w:szCs w:val="16"/>
                <w:color w:val="auto"/>
                <w:w w:val="90"/>
              </w:rPr>
              <w:t>2024</w:t>
            </w:r>
            <w:r>
              <w:rPr>
                <w:rFonts w:ascii="Calibri" w:cs="Calibri" w:eastAsia="Calibri" w:hAnsi="Calibri"/>
                <w:sz w:val="24"/>
                <w:szCs w:val="24"/>
                <w:b w:val="1"/>
                <w:bCs w:val="1"/>
                <w:color w:val="AF0000"/>
                <w:w w:val="90"/>
                <w:vertAlign w:val="superscript"/>
              </w:rPr>
              <w:t>(1)</w:t>
            </w:r>
          </w:p>
        </w:tc>
        <w:tc>
          <w:tcPr>
            <w:tcW w:w="1120" w:type="dxa"/>
            <w:vAlign w:val="bottom"/>
            <w:vMerge w:val="restart"/>
            <w:shd w:val="clear" w:color="auto" w:fill="F2F2F2"/>
          </w:tcPr>
          <w:p>
            <w:pPr>
              <w:jc w:val="center"/>
              <w:spacing w:after="0"/>
              <w:rPr>
                <w:sz w:val="20"/>
                <w:szCs w:val="20"/>
                <w:color w:val="auto"/>
              </w:rPr>
            </w:pPr>
            <w:r>
              <w:rPr>
                <w:rFonts w:ascii="Calibri" w:cs="Calibri" w:eastAsia="Calibri" w:hAnsi="Calibri"/>
                <w:sz w:val="16"/>
                <w:szCs w:val="16"/>
                <w:color w:val="auto"/>
                <w:w w:val="99"/>
              </w:rPr>
              <w:t>Yes</w:t>
            </w:r>
          </w:p>
        </w:tc>
        <w:tc>
          <w:tcPr>
            <w:tcW w:w="300" w:type="dxa"/>
            <w:vAlign w:val="bottom"/>
            <w:vMerge w:val="restart"/>
          </w:tcPr>
          <w:p>
            <w:pPr>
              <w:jc w:val="center"/>
              <w:ind w:left="7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6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560" w:type="dxa"/>
            <w:vAlign w:val="bottom"/>
            <w:shd w:val="clear" w:color="auto" w:fill="F2F2F2"/>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ind w:left="80"/>
              <w:spacing w:after="0" w:line="193" w:lineRule="exact"/>
              <w:rPr>
                <w:sz w:val="20"/>
                <w:szCs w:val="20"/>
                <w:color w:val="auto"/>
              </w:rPr>
            </w:pPr>
            <w:r>
              <w:rPr>
                <w:rFonts w:ascii="Calibri" w:cs="Calibri" w:eastAsia="Calibri" w:hAnsi="Calibri"/>
                <w:sz w:val="16"/>
                <w:szCs w:val="16"/>
                <w:i w:val="1"/>
                <w:iCs w:val="1"/>
                <w:color w:val="auto"/>
              </w:rPr>
              <w:t>Global Solutons, LLC; Rear Admiral (Ret.)</w:t>
            </w:r>
          </w:p>
        </w:tc>
        <w:tc>
          <w:tcPr>
            <w:tcW w:w="460" w:type="dxa"/>
            <w:vAlign w:val="bottom"/>
            <w:vMerge w:val="continue"/>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660" w:type="dxa"/>
            <w:vAlign w:val="bottom"/>
            <w:vMerge w:val="continue"/>
            <w:shd w:val="clear" w:color="auto" w:fill="F2F2F2"/>
          </w:tcPr>
          <w:p>
            <w:pPr>
              <w:spacing w:after="0"/>
              <w:rPr>
                <w:sz w:val="17"/>
                <w:szCs w:val="17"/>
                <w:color w:val="auto"/>
              </w:rPr>
            </w:pPr>
          </w:p>
        </w:tc>
        <w:tc>
          <w:tcPr>
            <w:tcW w:w="740" w:type="dxa"/>
            <w:vAlign w:val="bottom"/>
            <w:vMerge w:val="continue"/>
          </w:tcPr>
          <w:p>
            <w:pPr>
              <w:spacing w:after="0"/>
              <w:rPr>
                <w:sz w:val="17"/>
                <w:szCs w:val="17"/>
                <w:color w:val="auto"/>
              </w:rPr>
            </w:pPr>
          </w:p>
        </w:tc>
        <w:tc>
          <w:tcPr>
            <w:tcW w:w="1120" w:type="dxa"/>
            <w:vAlign w:val="bottom"/>
            <w:vMerge w:val="continue"/>
            <w:shd w:val="clear" w:color="auto" w:fill="F2F2F2"/>
          </w:tcPr>
          <w:p>
            <w:pPr>
              <w:spacing w:after="0"/>
              <w:rPr>
                <w:sz w:val="17"/>
                <w:szCs w:val="17"/>
                <w:color w:val="auto"/>
              </w:rPr>
            </w:pPr>
          </w:p>
        </w:tc>
        <w:tc>
          <w:tcPr>
            <w:tcW w:w="3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vMerge w:val="continue"/>
            <w:shd w:val="clear" w:color="auto" w:fill="F2F2F2"/>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shd w:val="clear" w:color="auto" w:fill="F2F2F2"/>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20" w:type="dxa"/>
            <w:vAlign w:val="bottom"/>
            <w:gridSpan w:val="2"/>
          </w:tcPr>
          <w:p>
            <w:pPr>
              <w:ind w:left="80"/>
              <w:spacing w:after="0" w:line="189" w:lineRule="exact"/>
              <w:rPr>
                <w:sz w:val="20"/>
                <w:szCs w:val="20"/>
                <w:color w:val="auto"/>
              </w:rPr>
            </w:pPr>
            <w:r>
              <w:rPr>
                <w:rFonts w:ascii="Calibri" w:cs="Calibri" w:eastAsia="Calibri" w:hAnsi="Calibri"/>
                <w:sz w:val="16"/>
                <w:szCs w:val="16"/>
                <w:i w:val="1"/>
                <w:iCs w:val="1"/>
                <w:color w:val="auto"/>
              </w:rPr>
              <w:t>and Former Special Advisor to the</w:t>
            </w:r>
          </w:p>
        </w:tc>
        <w:tc>
          <w:tcPr>
            <w:tcW w:w="460" w:type="dxa"/>
            <w:vAlign w:val="bottom"/>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660" w:type="dxa"/>
            <w:vAlign w:val="bottom"/>
            <w:shd w:val="clear" w:color="auto" w:fill="F2F2F2"/>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shd w:val="clear" w:color="auto" w:fill="F2F2F2"/>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shd w:val="clear" w:color="auto" w:fill="F2F2F2"/>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shd w:val="clear" w:color="auto" w:fill="F2F2F2"/>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80"/>
              <w:spacing w:after="0" w:line="193" w:lineRule="exact"/>
              <w:rPr>
                <w:sz w:val="20"/>
                <w:szCs w:val="20"/>
                <w:color w:val="auto"/>
              </w:rPr>
            </w:pPr>
            <w:r>
              <w:rPr>
                <w:rFonts w:ascii="Calibri" w:cs="Calibri" w:eastAsia="Calibri" w:hAnsi="Calibri"/>
                <w:sz w:val="16"/>
                <w:szCs w:val="16"/>
                <w:i w:val="1"/>
                <w:iCs w:val="1"/>
                <w:color w:val="auto"/>
              </w:rPr>
              <w:t>Commander, U.S. Navy</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F2F2F2"/>
            </w:tcBorders>
            <w:shd w:val="clear" w:color="auto" w:fill="F2F2F2"/>
          </w:tcPr>
          <w:p>
            <w:pPr>
              <w:spacing w:after="0"/>
              <w:rPr>
                <w:sz w:val="20"/>
                <w:szCs w:val="20"/>
                <w:color w:val="auto"/>
              </w:rPr>
            </w:pPr>
          </w:p>
        </w:tc>
        <w:tc>
          <w:tcPr>
            <w:tcW w:w="660" w:type="dxa"/>
            <w:vAlign w:val="bottom"/>
            <w:tcBorders>
              <w:bottom w:val="single" w:sz="8" w:color="F2F2F2"/>
            </w:tcBorders>
            <w:shd w:val="clear" w:color="auto" w:fill="F2F2F2"/>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Borders>
              <w:bottom w:val="single" w:sz="8" w:color="F2F2F2"/>
            </w:tcBorders>
            <w:shd w:val="clear" w:color="auto" w:fill="F2F2F2"/>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bottom w:val="single" w:sz="8" w:color="F2F2F2"/>
            </w:tcBorders>
            <w:shd w:val="clear" w:color="auto" w:fill="F2F2F2"/>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Borders>
              <w:bottom w:val="single" w:sz="8" w:color="F2F2F2"/>
            </w:tcBorders>
            <w:shd w:val="clear" w:color="auto" w:fill="F2F2F2"/>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A6A6A6"/>
            </w:tcBorders>
          </w:tcPr>
          <w:p>
            <w:pPr>
              <w:ind w:left="80"/>
              <w:spacing w:after="0"/>
              <w:rPr>
                <w:sz w:val="20"/>
                <w:szCs w:val="20"/>
                <w:color w:val="auto"/>
              </w:rPr>
            </w:pPr>
            <w:r>
              <w:rPr>
                <w:rFonts w:ascii="Calibri" w:cs="Calibri" w:eastAsia="Calibri" w:hAnsi="Calibri"/>
                <w:sz w:val="16"/>
                <w:szCs w:val="16"/>
                <w:b w:val="1"/>
                <w:bCs w:val="1"/>
                <w:color w:val="auto"/>
              </w:rPr>
              <w:t>SILVIA M. PEREZ</w:t>
            </w:r>
          </w:p>
        </w:tc>
        <w:tc>
          <w:tcPr>
            <w:tcW w:w="1100" w:type="dxa"/>
            <w:vAlign w:val="bottom"/>
            <w:tcBorders>
              <w:top w:val="single" w:sz="8" w:color="A6A6A6"/>
            </w:tcBorders>
          </w:tcPr>
          <w:p>
            <w:pPr>
              <w:spacing w:after="0"/>
              <w:rPr>
                <w:sz w:val="18"/>
                <w:szCs w:val="18"/>
                <w:color w:val="auto"/>
              </w:rPr>
            </w:pPr>
          </w:p>
        </w:tc>
        <w:tc>
          <w:tcPr>
            <w:tcW w:w="460" w:type="dxa"/>
            <w:vAlign w:val="bottom"/>
            <w:tcBorders>
              <w:top w:val="single" w:sz="8" w:color="A6A6A6"/>
            </w:tcBorders>
          </w:tcPr>
          <w:p>
            <w:pPr>
              <w:spacing w:after="0"/>
              <w:rPr>
                <w:sz w:val="18"/>
                <w:szCs w:val="18"/>
                <w:color w:val="auto"/>
              </w:rPr>
            </w:pPr>
          </w:p>
        </w:tc>
        <w:tc>
          <w:tcPr>
            <w:tcW w:w="120" w:type="dxa"/>
            <w:vAlign w:val="bottom"/>
            <w:tcBorders>
              <w:top w:val="single" w:sz="8" w:color="A6A6A6"/>
            </w:tcBorders>
            <w:shd w:val="clear" w:color="auto" w:fill="F2F2F2"/>
          </w:tcPr>
          <w:p>
            <w:pPr>
              <w:spacing w:after="0"/>
              <w:rPr>
                <w:sz w:val="18"/>
                <w:szCs w:val="18"/>
                <w:color w:val="auto"/>
              </w:rPr>
            </w:pPr>
          </w:p>
        </w:tc>
        <w:tc>
          <w:tcPr>
            <w:tcW w:w="660" w:type="dxa"/>
            <w:vAlign w:val="bottom"/>
            <w:tcBorders>
              <w:top w:val="single" w:sz="8" w:color="A6A6A6"/>
            </w:tcBorders>
            <w:shd w:val="clear" w:color="auto" w:fill="F2F2F2"/>
          </w:tcPr>
          <w:p>
            <w:pPr>
              <w:spacing w:after="0"/>
              <w:rPr>
                <w:sz w:val="18"/>
                <w:szCs w:val="18"/>
                <w:color w:val="auto"/>
              </w:rPr>
            </w:pPr>
          </w:p>
        </w:tc>
        <w:tc>
          <w:tcPr>
            <w:tcW w:w="740" w:type="dxa"/>
            <w:vAlign w:val="bottom"/>
            <w:tcBorders>
              <w:top w:val="single" w:sz="8" w:color="A6A6A6"/>
            </w:tcBorders>
          </w:tcPr>
          <w:p>
            <w:pPr>
              <w:spacing w:after="0"/>
              <w:rPr>
                <w:sz w:val="18"/>
                <w:szCs w:val="18"/>
                <w:color w:val="auto"/>
              </w:rPr>
            </w:pPr>
          </w:p>
        </w:tc>
        <w:tc>
          <w:tcPr>
            <w:tcW w:w="1120" w:type="dxa"/>
            <w:vAlign w:val="bottom"/>
            <w:tcBorders>
              <w:top w:val="single" w:sz="8" w:color="A6A6A6"/>
            </w:tcBorders>
            <w:shd w:val="clear" w:color="auto" w:fill="F2F2F2"/>
          </w:tcPr>
          <w:p>
            <w:pPr>
              <w:spacing w:after="0"/>
              <w:rPr>
                <w:sz w:val="18"/>
                <w:szCs w:val="18"/>
                <w:color w:val="auto"/>
              </w:rPr>
            </w:pPr>
          </w:p>
        </w:tc>
        <w:tc>
          <w:tcPr>
            <w:tcW w:w="300" w:type="dxa"/>
            <w:vAlign w:val="bottom"/>
            <w:tcBorders>
              <w:top w:val="single" w:sz="8" w:color="A6A6A6"/>
            </w:tcBorders>
          </w:tcPr>
          <w:p>
            <w:pPr>
              <w:spacing w:after="0"/>
              <w:rPr>
                <w:sz w:val="18"/>
                <w:szCs w:val="18"/>
                <w:color w:val="auto"/>
              </w:rPr>
            </w:pPr>
          </w:p>
        </w:tc>
        <w:tc>
          <w:tcPr>
            <w:tcW w:w="160" w:type="dxa"/>
            <w:vAlign w:val="bottom"/>
            <w:tcBorders>
              <w:top w:val="single" w:sz="8" w:color="A6A6A6"/>
            </w:tcBorders>
          </w:tcPr>
          <w:p>
            <w:pPr>
              <w:spacing w:after="0"/>
              <w:rPr>
                <w:sz w:val="18"/>
                <w:szCs w:val="18"/>
                <w:color w:val="auto"/>
              </w:rPr>
            </w:pPr>
          </w:p>
        </w:tc>
        <w:tc>
          <w:tcPr>
            <w:tcW w:w="460" w:type="dxa"/>
            <w:vAlign w:val="bottom"/>
            <w:tcBorders>
              <w:top w:val="single" w:sz="8" w:color="A6A6A6"/>
            </w:tcBorders>
            <w:shd w:val="clear" w:color="auto" w:fill="F2F2F2"/>
          </w:tcPr>
          <w:p>
            <w:pPr>
              <w:spacing w:after="0"/>
              <w:rPr>
                <w:sz w:val="18"/>
                <w:szCs w:val="18"/>
                <w:color w:val="auto"/>
              </w:rPr>
            </w:pPr>
          </w:p>
        </w:tc>
        <w:tc>
          <w:tcPr>
            <w:tcW w:w="460" w:type="dxa"/>
            <w:vAlign w:val="bottom"/>
            <w:tcBorders>
              <w:top w:val="single" w:sz="8" w:color="A6A6A6"/>
            </w:tcBorders>
          </w:tcPr>
          <w:p>
            <w:pPr>
              <w:spacing w:after="0"/>
              <w:rPr>
                <w:sz w:val="18"/>
                <w:szCs w:val="18"/>
                <w:color w:val="auto"/>
              </w:rPr>
            </w:pPr>
          </w:p>
        </w:tc>
        <w:tc>
          <w:tcPr>
            <w:tcW w:w="560" w:type="dxa"/>
            <w:vAlign w:val="bottom"/>
            <w:tcBorders>
              <w:top w:val="single" w:sz="8" w:color="A6A6A6"/>
            </w:tcBorders>
            <w:shd w:val="clear" w:color="auto" w:fill="F2F2F2"/>
          </w:tcPr>
          <w:p>
            <w:pPr>
              <w:spacing w:after="0"/>
              <w:rPr>
                <w:sz w:val="18"/>
                <w:szCs w:val="18"/>
                <w:color w:val="auto"/>
              </w:rPr>
            </w:pPr>
          </w:p>
        </w:tc>
        <w:tc>
          <w:tcPr>
            <w:tcW w:w="420" w:type="dxa"/>
            <w:vAlign w:val="bottom"/>
            <w:tcBorders>
              <w:top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gridSpan w:val="2"/>
          </w:tcPr>
          <w:p>
            <w:pPr>
              <w:ind w:left="80"/>
              <w:spacing w:after="0"/>
              <w:rPr>
                <w:sz w:val="20"/>
                <w:szCs w:val="20"/>
                <w:color w:val="auto"/>
              </w:rPr>
            </w:pPr>
            <w:r>
              <w:rPr>
                <w:rFonts w:ascii="Calibri" w:cs="Calibri" w:eastAsia="Calibri" w:hAnsi="Calibri"/>
                <w:sz w:val="16"/>
                <w:szCs w:val="16"/>
                <w:i w:val="1"/>
                <w:iCs w:val="1"/>
                <w:color w:val="auto"/>
              </w:rPr>
              <w:t>President and General Manager,</w:t>
            </w:r>
          </w:p>
        </w:tc>
        <w:tc>
          <w:tcPr>
            <w:tcW w:w="46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57</w:t>
            </w:r>
          </w:p>
        </w:tc>
        <w:tc>
          <w:tcPr>
            <w:tcW w:w="120" w:type="dxa"/>
            <w:vAlign w:val="bottom"/>
            <w:shd w:val="clear" w:color="auto" w:fill="F2F2F2"/>
          </w:tcPr>
          <w:p>
            <w:pPr>
              <w:spacing w:after="0"/>
              <w:rPr>
                <w:sz w:val="19"/>
                <w:szCs w:val="19"/>
                <w:color w:val="auto"/>
              </w:rPr>
            </w:pPr>
          </w:p>
        </w:tc>
        <w:tc>
          <w:tcPr>
            <w:tcW w:w="660" w:type="dxa"/>
            <w:vAlign w:val="bottom"/>
            <w:vMerge w:val="restart"/>
            <w:shd w:val="clear" w:color="auto" w:fill="F2F2F2"/>
          </w:tcPr>
          <w:p>
            <w:pPr>
              <w:jc w:val="center"/>
              <w:ind w:right="39"/>
              <w:spacing w:after="0"/>
              <w:rPr>
                <w:sz w:val="20"/>
                <w:szCs w:val="20"/>
                <w:color w:val="auto"/>
              </w:rPr>
            </w:pPr>
            <w:r>
              <w:rPr>
                <w:rFonts w:ascii="Calibri" w:cs="Calibri" w:eastAsia="Calibri" w:hAnsi="Calibri"/>
                <w:sz w:val="16"/>
                <w:szCs w:val="16"/>
                <w:color w:val="auto"/>
              </w:rPr>
              <w:t>-</w:t>
            </w:r>
          </w:p>
        </w:tc>
        <w:tc>
          <w:tcPr>
            <w:tcW w:w="740" w:type="dxa"/>
            <w:vAlign w:val="bottom"/>
          </w:tcPr>
          <w:p>
            <w:pPr>
              <w:jc w:val="center"/>
              <w:spacing w:after="0"/>
              <w:rPr>
                <w:sz w:val="20"/>
                <w:szCs w:val="20"/>
                <w:color w:val="auto"/>
              </w:rPr>
            </w:pPr>
            <w:r>
              <w:rPr>
                <w:rFonts w:ascii="Calibri" w:cs="Calibri" w:eastAsia="Calibri" w:hAnsi="Calibri"/>
                <w:sz w:val="12"/>
                <w:szCs w:val="12"/>
                <w:b w:val="1"/>
                <w:bCs w:val="1"/>
                <w:color w:val="AF0000"/>
              </w:rPr>
              <w:t>(1)</w:t>
            </w:r>
          </w:p>
        </w:tc>
        <w:tc>
          <w:tcPr>
            <w:tcW w:w="1120" w:type="dxa"/>
            <w:vAlign w:val="bottom"/>
            <w:vMerge w:val="restart"/>
            <w:shd w:val="clear" w:color="auto" w:fill="F2F2F2"/>
          </w:tcPr>
          <w:p>
            <w:pPr>
              <w:jc w:val="center"/>
              <w:spacing w:after="0"/>
              <w:rPr>
                <w:sz w:val="20"/>
                <w:szCs w:val="20"/>
                <w:color w:val="auto"/>
              </w:rPr>
            </w:pPr>
            <w:r>
              <w:rPr>
                <w:rFonts w:ascii="Calibri" w:cs="Calibri" w:eastAsia="Calibri" w:hAnsi="Calibri"/>
                <w:sz w:val="16"/>
                <w:szCs w:val="16"/>
                <w:color w:val="auto"/>
                <w:w w:val="99"/>
              </w:rPr>
              <w:t>Yes</w:t>
            </w:r>
          </w:p>
        </w:tc>
        <w:tc>
          <w:tcPr>
            <w:tcW w:w="300" w:type="dxa"/>
            <w:vAlign w:val="bottom"/>
          </w:tcPr>
          <w:p>
            <w:pPr>
              <w:jc w:val="center"/>
              <w:ind w:left="73"/>
              <w:spacing w:after="0"/>
              <w:rPr>
                <w:sz w:val="20"/>
                <w:szCs w:val="20"/>
                <w:color w:val="auto"/>
              </w:rPr>
            </w:pPr>
            <w:r>
              <w:rPr>
                <w:rFonts w:ascii="Calibri" w:cs="Calibri" w:eastAsia="Calibri" w:hAnsi="Calibri"/>
                <w:sz w:val="12"/>
                <w:szCs w:val="12"/>
                <w:b w:val="1"/>
                <w:bCs w:val="1"/>
                <w:color w:val="AF0000"/>
              </w:rPr>
              <w:t>(2)</w:t>
            </w:r>
          </w:p>
        </w:tc>
        <w:tc>
          <w:tcPr>
            <w:tcW w:w="160" w:type="dxa"/>
            <w:vAlign w:val="bottom"/>
          </w:tcPr>
          <w:p>
            <w:pPr>
              <w:spacing w:after="0"/>
              <w:rPr>
                <w:sz w:val="19"/>
                <w:szCs w:val="19"/>
                <w:color w:val="auto"/>
              </w:rPr>
            </w:pPr>
          </w:p>
        </w:tc>
        <w:tc>
          <w:tcPr>
            <w:tcW w:w="460" w:type="dxa"/>
            <w:vAlign w:val="bottom"/>
            <w:shd w:val="clear" w:color="auto" w:fill="F2F2F2"/>
          </w:tcPr>
          <w:p>
            <w:pPr>
              <w:jc w:val="center"/>
              <w:spacing w:after="0"/>
              <w:rPr>
                <w:sz w:val="20"/>
                <w:szCs w:val="20"/>
                <w:color w:val="auto"/>
              </w:rPr>
            </w:pPr>
            <w:r>
              <w:rPr>
                <w:rFonts w:ascii="Calibri" w:cs="Calibri" w:eastAsia="Calibri" w:hAnsi="Calibri"/>
                <w:sz w:val="12"/>
                <w:szCs w:val="12"/>
                <w:b w:val="1"/>
                <w:bCs w:val="1"/>
                <w:color w:val="AF0000"/>
              </w:rPr>
              <w:t>(2)</w:t>
            </w:r>
          </w:p>
        </w:tc>
        <w:tc>
          <w:tcPr>
            <w:tcW w:w="460" w:type="dxa"/>
            <w:vAlign w:val="bottom"/>
          </w:tcPr>
          <w:p>
            <w:pPr>
              <w:jc w:val="center"/>
              <w:spacing w:after="0"/>
              <w:rPr>
                <w:sz w:val="20"/>
                <w:szCs w:val="20"/>
                <w:color w:val="auto"/>
              </w:rPr>
            </w:pPr>
            <w:r>
              <w:rPr>
                <w:rFonts w:ascii="Calibri" w:cs="Calibri" w:eastAsia="Calibri" w:hAnsi="Calibri"/>
                <w:sz w:val="12"/>
                <w:szCs w:val="12"/>
                <w:b w:val="1"/>
                <w:bCs w:val="1"/>
                <w:color w:val="AF0000"/>
              </w:rPr>
              <w:t>(2)</w:t>
            </w:r>
          </w:p>
        </w:tc>
        <w:tc>
          <w:tcPr>
            <w:tcW w:w="560" w:type="dxa"/>
            <w:vAlign w:val="bottom"/>
            <w:shd w:val="clear" w:color="auto" w:fill="F2F2F2"/>
          </w:tcPr>
          <w:p>
            <w:pPr>
              <w:jc w:val="center"/>
              <w:spacing w:after="0"/>
              <w:rPr>
                <w:sz w:val="20"/>
                <w:szCs w:val="20"/>
                <w:color w:val="auto"/>
              </w:rPr>
            </w:pPr>
            <w:r>
              <w:rPr>
                <w:rFonts w:ascii="Calibri" w:cs="Calibri" w:eastAsia="Calibri" w:hAnsi="Calibri"/>
                <w:sz w:val="12"/>
                <w:szCs w:val="12"/>
                <w:b w:val="1"/>
                <w:bCs w:val="1"/>
                <w:color w:val="AF0000"/>
                <w:w w:val="88"/>
              </w:rPr>
              <w:t>(2)</w:t>
            </w:r>
          </w:p>
        </w:tc>
        <w:tc>
          <w:tcPr>
            <w:tcW w:w="420" w:type="dxa"/>
            <w:vAlign w:val="bottom"/>
          </w:tcPr>
          <w:p>
            <w:pPr>
              <w:jc w:val="center"/>
              <w:spacing w:after="0"/>
              <w:rPr>
                <w:sz w:val="20"/>
                <w:szCs w:val="20"/>
                <w:color w:val="auto"/>
              </w:rPr>
            </w:pPr>
            <w:r>
              <w:rPr>
                <w:rFonts w:ascii="Calibri" w:cs="Calibri" w:eastAsia="Calibri" w:hAnsi="Calibri"/>
                <w:sz w:val="12"/>
                <w:szCs w:val="12"/>
                <w:b w:val="1"/>
                <w:bCs w:val="1"/>
                <w:color w:val="AF0000"/>
              </w:rPr>
              <w:t>(2)</w:t>
            </w:r>
          </w:p>
        </w:tc>
        <w:tc>
          <w:tcPr>
            <w:tcW w:w="0" w:type="dxa"/>
            <w:vAlign w:val="bottom"/>
          </w:tcPr>
          <w:p>
            <w:pPr>
              <w:spacing w:after="0"/>
              <w:rPr>
                <w:sz w:val="1"/>
                <w:szCs w:val="1"/>
                <w:color w:val="auto"/>
              </w:rPr>
            </w:pPr>
          </w:p>
        </w:tc>
      </w:tr>
      <w:tr>
        <w:trPr>
          <w:trHeight w:val="72"/>
        </w:trPr>
        <w:tc>
          <w:tcPr>
            <w:tcW w:w="3120" w:type="dxa"/>
            <w:vAlign w:val="bottom"/>
            <w:gridSpan w:val="2"/>
            <w:vMerge w:val="restart"/>
          </w:tcPr>
          <w:p>
            <w:pPr>
              <w:ind w:left="80"/>
              <w:spacing w:after="0" w:line="193" w:lineRule="exact"/>
              <w:rPr>
                <w:sz w:val="20"/>
                <w:szCs w:val="20"/>
                <w:color w:val="auto"/>
              </w:rPr>
            </w:pPr>
            <w:r>
              <w:rPr>
                <w:rFonts w:ascii="Calibri" w:cs="Calibri" w:eastAsia="Calibri" w:hAnsi="Calibri"/>
                <w:sz w:val="16"/>
                <w:szCs w:val="16"/>
                <w:i w:val="1"/>
                <w:iCs w:val="1"/>
                <w:color w:val="auto"/>
              </w:rPr>
              <w:t>Commercial Branding and Transportaton,</w:t>
            </w:r>
          </w:p>
        </w:tc>
        <w:tc>
          <w:tcPr>
            <w:tcW w:w="460" w:type="dxa"/>
            <w:vAlign w:val="bottom"/>
            <w:vMerge w:val="continue"/>
          </w:tcPr>
          <w:p>
            <w:pPr>
              <w:spacing w:after="0"/>
              <w:rPr>
                <w:sz w:val="6"/>
                <w:szCs w:val="6"/>
                <w:color w:val="auto"/>
              </w:rPr>
            </w:pPr>
          </w:p>
        </w:tc>
        <w:tc>
          <w:tcPr>
            <w:tcW w:w="120" w:type="dxa"/>
            <w:vAlign w:val="bottom"/>
            <w:shd w:val="clear" w:color="auto" w:fill="F2F2F2"/>
          </w:tcPr>
          <w:p>
            <w:pPr>
              <w:spacing w:after="0"/>
              <w:rPr>
                <w:sz w:val="6"/>
                <w:szCs w:val="6"/>
                <w:color w:val="auto"/>
              </w:rPr>
            </w:pPr>
          </w:p>
        </w:tc>
        <w:tc>
          <w:tcPr>
            <w:tcW w:w="660" w:type="dxa"/>
            <w:vAlign w:val="bottom"/>
            <w:vMerge w:val="continue"/>
            <w:shd w:val="clear" w:color="auto" w:fill="F2F2F2"/>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vMerge w:val="continue"/>
            <w:shd w:val="clear" w:color="auto" w:fill="F2F2F2"/>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shd w:val="clear" w:color="auto" w:fill="F2F2F2"/>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shd w:val="clear" w:color="auto" w:fill="F2F2F2"/>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12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660" w:type="dxa"/>
            <w:vAlign w:val="bottom"/>
            <w:shd w:val="clear" w:color="auto" w:fill="F2F2F2"/>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shd w:val="clear" w:color="auto" w:fill="F2F2F2"/>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shd w:val="clear" w:color="auto" w:fill="F2F2F2"/>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shd w:val="clear" w:color="auto" w:fill="F2F2F2"/>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020" w:type="dxa"/>
            <w:vAlign w:val="bottom"/>
          </w:tcPr>
          <w:p>
            <w:pPr>
              <w:ind w:left="80"/>
              <w:spacing w:after="0"/>
              <w:rPr>
                <w:sz w:val="20"/>
                <w:szCs w:val="20"/>
                <w:color w:val="auto"/>
              </w:rPr>
            </w:pPr>
            <w:r>
              <w:rPr>
                <w:rFonts w:ascii="Calibri" w:cs="Calibri" w:eastAsia="Calibri" w:hAnsi="Calibri"/>
                <w:sz w:val="16"/>
                <w:szCs w:val="16"/>
                <w:i w:val="1"/>
                <w:iCs w:val="1"/>
                <w:color w:val="auto"/>
              </w:rPr>
              <w:t>3M Company</w:t>
            </w: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Borders>
              <w:bottom w:val="single" w:sz="8" w:color="F2F2F2"/>
            </w:tcBorders>
            <w:shd w:val="clear" w:color="auto" w:fill="F2F2F2"/>
          </w:tcPr>
          <w:p>
            <w:pPr>
              <w:spacing w:after="0"/>
              <w:rPr>
                <w:sz w:val="21"/>
                <w:szCs w:val="21"/>
                <w:color w:val="auto"/>
              </w:rPr>
            </w:pPr>
          </w:p>
        </w:tc>
        <w:tc>
          <w:tcPr>
            <w:tcW w:w="660" w:type="dxa"/>
            <w:vAlign w:val="bottom"/>
            <w:tcBorders>
              <w:bottom w:val="single" w:sz="8" w:color="F2F2F2"/>
            </w:tcBorders>
            <w:shd w:val="clear" w:color="auto" w:fill="F2F2F2"/>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Borders>
              <w:bottom w:val="single" w:sz="8" w:color="F2F2F2"/>
            </w:tcBorders>
            <w:shd w:val="clear" w:color="auto" w:fill="F2F2F2"/>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Borders>
              <w:bottom w:val="single" w:sz="8" w:color="F2F2F2"/>
            </w:tcBorders>
            <w:shd w:val="clear" w:color="auto" w:fill="F2F2F2"/>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20" w:type="dxa"/>
            <w:vAlign w:val="bottom"/>
            <w:tcBorders>
              <w:top w:val="single" w:sz="8" w:color="AF0000"/>
            </w:tcBorders>
          </w:tcPr>
          <w:p>
            <w:pPr>
              <w:ind w:left="80"/>
              <w:spacing w:after="0"/>
              <w:rPr>
                <w:sz w:val="20"/>
                <w:szCs w:val="20"/>
                <w:color w:val="auto"/>
              </w:rPr>
            </w:pPr>
            <w:r>
              <w:rPr>
                <w:rFonts w:ascii="Calibri" w:cs="Calibri" w:eastAsia="Calibri" w:hAnsi="Calibri"/>
                <w:sz w:val="16"/>
                <w:szCs w:val="16"/>
                <w:b w:val="1"/>
                <w:bCs w:val="1"/>
                <w:color w:val="auto"/>
              </w:rPr>
              <w:t>THOMAS J. GUNDERSON</w:t>
            </w:r>
          </w:p>
        </w:tc>
        <w:tc>
          <w:tcPr>
            <w:tcW w:w="1100" w:type="dxa"/>
            <w:vAlign w:val="bottom"/>
            <w:tcBorders>
              <w:top w:val="single" w:sz="8" w:color="AF0000"/>
            </w:tcBorders>
          </w:tcPr>
          <w:p>
            <w:pPr>
              <w:spacing w:after="0"/>
              <w:rPr>
                <w:sz w:val="18"/>
                <w:szCs w:val="18"/>
                <w:color w:val="auto"/>
              </w:rPr>
            </w:pPr>
          </w:p>
        </w:tc>
        <w:tc>
          <w:tcPr>
            <w:tcW w:w="460" w:type="dxa"/>
            <w:vAlign w:val="bottom"/>
            <w:tcBorders>
              <w:top w:val="single" w:sz="8" w:color="AF0000"/>
            </w:tcBorders>
            <w:vMerge w:val="restart"/>
          </w:tcPr>
          <w:p>
            <w:pPr>
              <w:jc w:val="center"/>
              <w:spacing w:after="0"/>
              <w:rPr>
                <w:sz w:val="20"/>
                <w:szCs w:val="20"/>
                <w:color w:val="auto"/>
              </w:rPr>
            </w:pPr>
            <w:r>
              <w:rPr>
                <w:rFonts w:ascii="Calibri" w:cs="Calibri" w:eastAsia="Calibri" w:hAnsi="Calibri"/>
                <w:sz w:val="16"/>
                <w:szCs w:val="16"/>
                <w:color w:val="auto"/>
                <w:w w:val="98"/>
              </w:rPr>
              <w:t>73</w:t>
            </w:r>
          </w:p>
        </w:tc>
        <w:tc>
          <w:tcPr>
            <w:tcW w:w="120" w:type="dxa"/>
            <w:vAlign w:val="bottom"/>
            <w:tcBorders>
              <w:top w:val="single" w:sz="8" w:color="AF0000"/>
            </w:tcBorders>
            <w:shd w:val="clear" w:color="auto" w:fill="F2F2F2"/>
          </w:tcPr>
          <w:p>
            <w:pPr>
              <w:spacing w:after="0"/>
              <w:rPr>
                <w:sz w:val="18"/>
                <w:szCs w:val="18"/>
                <w:color w:val="auto"/>
              </w:rPr>
            </w:pPr>
          </w:p>
        </w:tc>
        <w:tc>
          <w:tcPr>
            <w:tcW w:w="660" w:type="dxa"/>
            <w:vAlign w:val="bottom"/>
            <w:tcBorders>
              <w:top w:val="single" w:sz="8" w:color="AF0000"/>
            </w:tcBorders>
            <w:vMerge w:val="restart"/>
            <w:shd w:val="clear" w:color="auto" w:fill="F2F2F2"/>
          </w:tcPr>
          <w:p>
            <w:pPr>
              <w:jc w:val="center"/>
              <w:ind w:right="39"/>
              <w:spacing w:after="0"/>
              <w:rPr>
                <w:sz w:val="20"/>
                <w:szCs w:val="20"/>
                <w:color w:val="auto"/>
              </w:rPr>
            </w:pPr>
            <w:r>
              <w:rPr>
                <w:rFonts w:ascii="Calibri" w:cs="Calibri" w:eastAsia="Calibri" w:hAnsi="Calibri"/>
                <w:sz w:val="16"/>
                <w:szCs w:val="16"/>
                <w:color w:val="auto"/>
              </w:rPr>
              <w:t>2017</w:t>
            </w:r>
          </w:p>
        </w:tc>
        <w:tc>
          <w:tcPr>
            <w:tcW w:w="740" w:type="dxa"/>
            <w:vAlign w:val="bottom"/>
            <w:tcBorders>
              <w:top w:val="single" w:sz="8" w:color="AF0000"/>
            </w:tcBorders>
            <w:vMerge w:val="restart"/>
          </w:tcPr>
          <w:p>
            <w:pPr>
              <w:jc w:val="center"/>
              <w:spacing w:after="0"/>
              <w:rPr>
                <w:sz w:val="20"/>
                <w:szCs w:val="20"/>
                <w:color w:val="auto"/>
              </w:rPr>
            </w:pPr>
            <w:r>
              <w:rPr>
                <w:rFonts w:ascii="Calibri" w:cs="Calibri" w:eastAsia="Calibri" w:hAnsi="Calibri"/>
                <w:sz w:val="16"/>
                <w:szCs w:val="16"/>
                <w:color w:val="auto"/>
              </w:rPr>
              <w:t>2025</w:t>
            </w:r>
          </w:p>
        </w:tc>
        <w:tc>
          <w:tcPr>
            <w:tcW w:w="1120" w:type="dxa"/>
            <w:vAlign w:val="bottom"/>
            <w:tcBorders>
              <w:top w:val="single" w:sz="8" w:color="AF0000"/>
            </w:tcBorders>
            <w:vMerge w:val="restart"/>
            <w:shd w:val="clear" w:color="auto" w:fill="F2F2F2"/>
          </w:tcPr>
          <w:p>
            <w:pPr>
              <w:jc w:val="center"/>
              <w:spacing w:after="0"/>
              <w:rPr>
                <w:sz w:val="20"/>
                <w:szCs w:val="20"/>
                <w:color w:val="auto"/>
              </w:rPr>
            </w:pPr>
            <w:r>
              <w:rPr>
                <w:rFonts w:ascii="Calibri" w:cs="Calibri" w:eastAsia="Calibri" w:hAnsi="Calibri"/>
                <w:sz w:val="16"/>
                <w:szCs w:val="16"/>
                <w:color w:val="auto"/>
                <w:w w:val="99"/>
              </w:rPr>
              <w:t>Yes</w:t>
            </w:r>
          </w:p>
        </w:tc>
        <w:tc>
          <w:tcPr>
            <w:tcW w:w="300" w:type="dxa"/>
            <w:vAlign w:val="bottom"/>
            <w:tcBorders>
              <w:top w:val="single" w:sz="8" w:color="AF0000"/>
            </w:tcBorders>
            <w:vMerge w:val="restart"/>
          </w:tcPr>
          <w:p>
            <w:pPr>
              <w:jc w:val="center"/>
              <w:ind w:left="73"/>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F0000"/>
            </w:tcBorders>
          </w:tcPr>
          <w:p>
            <w:pPr>
              <w:spacing w:after="0"/>
              <w:rPr>
                <w:sz w:val="18"/>
                <w:szCs w:val="18"/>
                <w:color w:val="auto"/>
              </w:rPr>
            </w:pPr>
          </w:p>
        </w:tc>
        <w:tc>
          <w:tcPr>
            <w:tcW w:w="460" w:type="dxa"/>
            <w:vAlign w:val="bottom"/>
            <w:tcBorders>
              <w:top w:val="single" w:sz="8" w:color="AF0000"/>
            </w:tcBorders>
            <w:shd w:val="clear" w:color="auto" w:fill="F2F2F2"/>
          </w:tcPr>
          <w:p>
            <w:pPr>
              <w:spacing w:after="0"/>
              <w:rPr>
                <w:sz w:val="18"/>
                <w:szCs w:val="18"/>
                <w:color w:val="auto"/>
              </w:rPr>
            </w:pPr>
          </w:p>
        </w:tc>
        <w:tc>
          <w:tcPr>
            <w:tcW w:w="460" w:type="dxa"/>
            <w:vAlign w:val="bottom"/>
            <w:tcBorders>
              <w:top w:val="single" w:sz="8" w:color="AF0000"/>
            </w:tcBorders>
            <w:vMerge w:val="restart"/>
          </w:tcPr>
          <w:p>
            <w:pPr>
              <w:jc w:val="center"/>
              <w:spacing w:after="0"/>
              <w:rPr>
                <w:sz w:val="20"/>
                <w:szCs w:val="20"/>
                <w:color w:val="auto"/>
              </w:rPr>
            </w:pPr>
            <w:r>
              <w:rPr>
                <w:rFonts w:ascii="Arial" w:cs="Arial" w:eastAsia="Arial" w:hAnsi="Arial"/>
                <w:sz w:val="25"/>
                <w:szCs w:val="25"/>
                <w:color w:val="AF0000"/>
                <w:w w:val="92"/>
              </w:rPr>
              <w:t>□</w:t>
            </w:r>
          </w:p>
        </w:tc>
        <w:tc>
          <w:tcPr>
            <w:tcW w:w="560" w:type="dxa"/>
            <w:vAlign w:val="bottom"/>
            <w:tcBorders>
              <w:top w:val="single" w:sz="8" w:color="AF0000"/>
            </w:tcBorders>
            <w:shd w:val="clear" w:color="auto" w:fill="F2F2F2"/>
          </w:tcPr>
          <w:p>
            <w:pPr>
              <w:spacing w:after="0"/>
              <w:rPr>
                <w:sz w:val="18"/>
                <w:szCs w:val="18"/>
                <w:color w:val="auto"/>
              </w:rPr>
            </w:pPr>
          </w:p>
        </w:tc>
        <w:tc>
          <w:tcPr>
            <w:tcW w:w="420" w:type="dxa"/>
            <w:vAlign w:val="bottom"/>
            <w:tcBorders>
              <w:top w:val="single" w:sz="8" w:color="AF0000"/>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20" w:type="dxa"/>
            <w:vAlign w:val="bottom"/>
            <w:gridSpan w:val="2"/>
            <w:vMerge w:val="restart"/>
          </w:tcPr>
          <w:p>
            <w:pPr>
              <w:ind w:left="80"/>
              <w:spacing w:after="0"/>
              <w:rPr>
                <w:sz w:val="20"/>
                <w:szCs w:val="20"/>
                <w:color w:val="auto"/>
              </w:rPr>
            </w:pPr>
            <w:r>
              <w:rPr>
                <w:rFonts w:ascii="Calibri" w:cs="Calibri" w:eastAsia="Calibri" w:hAnsi="Calibri"/>
                <w:sz w:val="16"/>
                <w:szCs w:val="16"/>
                <w:i w:val="1"/>
                <w:iCs w:val="1"/>
                <w:color w:val="auto"/>
              </w:rPr>
              <w:t>Retred Medtech Analyst at Piper Jafray</w:t>
            </w:r>
          </w:p>
        </w:tc>
        <w:tc>
          <w:tcPr>
            <w:tcW w:w="460" w:type="dxa"/>
            <w:vAlign w:val="bottom"/>
            <w:vMerge w:val="continue"/>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660" w:type="dxa"/>
            <w:vAlign w:val="bottom"/>
            <w:vMerge w:val="continue"/>
            <w:shd w:val="clear" w:color="auto" w:fill="F2F2F2"/>
          </w:tcPr>
          <w:p>
            <w:pPr>
              <w:spacing w:after="0"/>
              <w:rPr>
                <w:sz w:val="14"/>
                <w:szCs w:val="14"/>
                <w:color w:val="auto"/>
              </w:rPr>
            </w:pPr>
          </w:p>
        </w:tc>
        <w:tc>
          <w:tcPr>
            <w:tcW w:w="740" w:type="dxa"/>
            <w:vAlign w:val="bottom"/>
            <w:vMerge w:val="continue"/>
          </w:tcPr>
          <w:p>
            <w:pPr>
              <w:spacing w:after="0"/>
              <w:rPr>
                <w:sz w:val="14"/>
                <w:szCs w:val="14"/>
                <w:color w:val="auto"/>
              </w:rPr>
            </w:pPr>
          </w:p>
        </w:tc>
        <w:tc>
          <w:tcPr>
            <w:tcW w:w="1120" w:type="dxa"/>
            <w:vAlign w:val="bottom"/>
            <w:vMerge w:val="continue"/>
            <w:shd w:val="clear" w:color="auto" w:fill="F2F2F2"/>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shd w:val="clear" w:color="auto" w:fill="F2F2F2"/>
          </w:tcPr>
          <w:p>
            <w:pPr>
              <w:spacing w:after="0"/>
              <w:rPr>
                <w:sz w:val="14"/>
                <w:szCs w:val="14"/>
                <w:color w:val="auto"/>
              </w:rPr>
            </w:pPr>
          </w:p>
        </w:tc>
        <w:tc>
          <w:tcPr>
            <w:tcW w:w="460" w:type="dxa"/>
            <w:vAlign w:val="bottom"/>
            <w:vMerge w:val="continue"/>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12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bottom w:val="single" w:sz="8" w:color="F2F2F2"/>
            </w:tcBorders>
            <w:shd w:val="clear" w:color="auto" w:fill="F2F2F2"/>
          </w:tcPr>
          <w:p>
            <w:pPr>
              <w:spacing w:after="0"/>
              <w:rPr>
                <w:sz w:val="10"/>
                <w:szCs w:val="10"/>
                <w:color w:val="auto"/>
              </w:rPr>
            </w:pPr>
          </w:p>
        </w:tc>
        <w:tc>
          <w:tcPr>
            <w:tcW w:w="660" w:type="dxa"/>
            <w:vAlign w:val="bottom"/>
            <w:tcBorders>
              <w:bottom w:val="single" w:sz="8" w:color="F2F2F2"/>
            </w:tcBorders>
            <w:shd w:val="clear" w:color="auto" w:fill="F2F2F2"/>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Borders>
              <w:bottom w:val="single" w:sz="8" w:color="F2F2F2"/>
            </w:tcBorders>
            <w:shd w:val="clear" w:color="auto" w:fill="F2F2F2"/>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bottom w:val="single" w:sz="8" w:color="F2F2F2"/>
            </w:tcBorders>
            <w:shd w:val="clear" w:color="auto" w:fill="F2F2F2"/>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Borders>
              <w:bottom w:val="single" w:sz="8" w:color="F2F2F2"/>
            </w:tcBorders>
            <w:shd w:val="clear" w:color="auto" w:fill="F2F2F2"/>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A6A6A6"/>
            </w:tcBorders>
          </w:tcPr>
          <w:p>
            <w:pPr>
              <w:ind w:left="80"/>
              <w:spacing w:after="0"/>
              <w:rPr>
                <w:sz w:val="20"/>
                <w:szCs w:val="20"/>
                <w:color w:val="auto"/>
              </w:rPr>
            </w:pPr>
            <w:r>
              <w:rPr>
                <w:rFonts w:ascii="Calibri" w:cs="Calibri" w:eastAsia="Calibri" w:hAnsi="Calibri"/>
                <w:sz w:val="16"/>
                <w:szCs w:val="16"/>
                <w:b w:val="1"/>
                <w:bCs w:val="1"/>
                <w:color w:val="auto"/>
              </w:rPr>
              <w:t>LAURA S. KAISER</w:t>
            </w:r>
          </w:p>
        </w:tc>
        <w:tc>
          <w:tcPr>
            <w:tcW w:w="1100" w:type="dxa"/>
            <w:vAlign w:val="bottom"/>
            <w:tcBorders>
              <w:top w:val="single" w:sz="8" w:color="A6A6A6"/>
            </w:tcBorders>
          </w:tcPr>
          <w:p>
            <w:pPr>
              <w:spacing w:after="0"/>
              <w:rPr>
                <w:sz w:val="18"/>
                <w:szCs w:val="18"/>
                <w:color w:val="auto"/>
              </w:rPr>
            </w:pPr>
          </w:p>
        </w:tc>
        <w:tc>
          <w:tcPr>
            <w:tcW w:w="460" w:type="dxa"/>
            <w:vAlign w:val="bottom"/>
            <w:tcBorders>
              <w:top w:val="single" w:sz="8" w:color="A6A6A6"/>
            </w:tcBorders>
            <w:vMerge w:val="restart"/>
          </w:tcPr>
          <w:p>
            <w:pPr>
              <w:jc w:val="center"/>
              <w:spacing w:after="0"/>
              <w:rPr>
                <w:sz w:val="20"/>
                <w:szCs w:val="20"/>
                <w:color w:val="auto"/>
              </w:rPr>
            </w:pPr>
            <w:r>
              <w:rPr>
                <w:rFonts w:ascii="Calibri" w:cs="Calibri" w:eastAsia="Calibri" w:hAnsi="Calibri"/>
                <w:sz w:val="16"/>
                <w:szCs w:val="16"/>
                <w:color w:val="auto"/>
                <w:w w:val="98"/>
              </w:rPr>
              <w:t>63</w:t>
            </w:r>
          </w:p>
        </w:tc>
        <w:tc>
          <w:tcPr>
            <w:tcW w:w="120" w:type="dxa"/>
            <w:vAlign w:val="bottom"/>
            <w:tcBorders>
              <w:top w:val="single" w:sz="8" w:color="A6A6A6"/>
            </w:tcBorders>
            <w:shd w:val="clear" w:color="auto" w:fill="F2F2F2"/>
          </w:tcPr>
          <w:p>
            <w:pPr>
              <w:spacing w:after="0"/>
              <w:rPr>
                <w:sz w:val="18"/>
                <w:szCs w:val="18"/>
                <w:color w:val="auto"/>
              </w:rPr>
            </w:pPr>
          </w:p>
        </w:tc>
        <w:tc>
          <w:tcPr>
            <w:tcW w:w="660" w:type="dxa"/>
            <w:vAlign w:val="bottom"/>
            <w:tcBorders>
              <w:top w:val="single" w:sz="8" w:color="A6A6A6"/>
            </w:tcBorders>
            <w:vMerge w:val="restart"/>
            <w:shd w:val="clear" w:color="auto" w:fill="F2F2F2"/>
          </w:tcPr>
          <w:p>
            <w:pPr>
              <w:jc w:val="center"/>
              <w:ind w:right="39"/>
              <w:spacing w:after="0"/>
              <w:rPr>
                <w:sz w:val="20"/>
                <w:szCs w:val="20"/>
                <w:color w:val="auto"/>
              </w:rPr>
            </w:pPr>
            <w:r>
              <w:rPr>
                <w:rFonts w:ascii="Calibri" w:cs="Calibri" w:eastAsia="Calibri" w:hAnsi="Calibri"/>
                <w:sz w:val="16"/>
                <w:szCs w:val="16"/>
                <w:color w:val="auto"/>
              </w:rPr>
              <w:t>2022</w:t>
            </w:r>
          </w:p>
        </w:tc>
        <w:tc>
          <w:tcPr>
            <w:tcW w:w="740" w:type="dxa"/>
            <w:vAlign w:val="bottom"/>
            <w:tcBorders>
              <w:top w:val="single" w:sz="8" w:color="A6A6A6"/>
            </w:tcBorders>
            <w:vMerge w:val="restart"/>
          </w:tcPr>
          <w:p>
            <w:pPr>
              <w:jc w:val="center"/>
              <w:spacing w:after="0"/>
              <w:rPr>
                <w:sz w:val="20"/>
                <w:szCs w:val="20"/>
                <w:color w:val="auto"/>
              </w:rPr>
            </w:pPr>
            <w:r>
              <w:rPr>
                <w:rFonts w:ascii="Calibri" w:cs="Calibri" w:eastAsia="Calibri" w:hAnsi="Calibri"/>
                <w:sz w:val="16"/>
                <w:szCs w:val="16"/>
                <w:color w:val="auto"/>
              </w:rPr>
              <w:t>2025</w:t>
            </w:r>
          </w:p>
        </w:tc>
        <w:tc>
          <w:tcPr>
            <w:tcW w:w="1120" w:type="dxa"/>
            <w:vAlign w:val="bottom"/>
            <w:tcBorders>
              <w:top w:val="single" w:sz="8" w:color="A6A6A6"/>
            </w:tcBorders>
            <w:vMerge w:val="restart"/>
            <w:shd w:val="clear" w:color="auto" w:fill="F2F2F2"/>
          </w:tcPr>
          <w:p>
            <w:pPr>
              <w:jc w:val="center"/>
              <w:spacing w:after="0"/>
              <w:rPr>
                <w:sz w:val="20"/>
                <w:szCs w:val="20"/>
                <w:color w:val="auto"/>
              </w:rPr>
            </w:pPr>
            <w:r>
              <w:rPr>
                <w:rFonts w:ascii="Calibri" w:cs="Calibri" w:eastAsia="Calibri" w:hAnsi="Calibri"/>
                <w:sz w:val="16"/>
                <w:szCs w:val="16"/>
                <w:color w:val="auto"/>
                <w:w w:val="99"/>
              </w:rPr>
              <w:t>Yes</w:t>
            </w:r>
          </w:p>
        </w:tc>
        <w:tc>
          <w:tcPr>
            <w:tcW w:w="300" w:type="dxa"/>
            <w:vAlign w:val="bottom"/>
            <w:tcBorders>
              <w:top w:val="single" w:sz="8" w:color="A6A6A6"/>
            </w:tcBorders>
          </w:tcPr>
          <w:p>
            <w:pPr>
              <w:spacing w:after="0"/>
              <w:rPr>
                <w:sz w:val="18"/>
                <w:szCs w:val="18"/>
                <w:color w:val="auto"/>
              </w:rPr>
            </w:pPr>
          </w:p>
        </w:tc>
        <w:tc>
          <w:tcPr>
            <w:tcW w:w="160" w:type="dxa"/>
            <w:vAlign w:val="bottom"/>
            <w:tcBorders>
              <w:top w:val="single" w:sz="8" w:color="A6A6A6"/>
            </w:tcBorders>
          </w:tcPr>
          <w:p>
            <w:pPr>
              <w:spacing w:after="0"/>
              <w:rPr>
                <w:sz w:val="18"/>
                <w:szCs w:val="18"/>
                <w:color w:val="auto"/>
              </w:rPr>
            </w:pPr>
          </w:p>
        </w:tc>
        <w:tc>
          <w:tcPr>
            <w:tcW w:w="460" w:type="dxa"/>
            <w:vAlign w:val="bottom"/>
            <w:tcBorders>
              <w:top w:val="single" w:sz="8" w:color="A6A6A6"/>
            </w:tcBorders>
            <w:shd w:val="clear" w:color="auto" w:fill="F2F2F2"/>
          </w:tcPr>
          <w:p>
            <w:pPr>
              <w:spacing w:after="0"/>
              <w:rPr>
                <w:sz w:val="18"/>
                <w:szCs w:val="18"/>
                <w:color w:val="auto"/>
              </w:rPr>
            </w:pPr>
          </w:p>
        </w:tc>
        <w:tc>
          <w:tcPr>
            <w:tcW w:w="460" w:type="dxa"/>
            <w:vAlign w:val="bottom"/>
            <w:tcBorders>
              <w:top w:val="single" w:sz="8" w:color="A6A6A6"/>
            </w:tcBorders>
          </w:tcPr>
          <w:p>
            <w:pPr>
              <w:spacing w:after="0"/>
              <w:rPr>
                <w:sz w:val="18"/>
                <w:szCs w:val="18"/>
                <w:color w:val="auto"/>
              </w:rPr>
            </w:pPr>
          </w:p>
        </w:tc>
        <w:tc>
          <w:tcPr>
            <w:tcW w:w="560" w:type="dxa"/>
            <w:vAlign w:val="bottom"/>
            <w:tcBorders>
              <w:top w:val="single" w:sz="8" w:color="A6A6A6"/>
            </w:tcBorders>
            <w:vMerge w:val="restart"/>
            <w:shd w:val="clear" w:color="auto" w:fill="F2F2F2"/>
          </w:tcPr>
          <w:p>
            <w:pPr>
              <w:jc w:val="center"/>
              <w:spacing w:after="0"/>
              <w:rPr>
                <w:sz w:val="20"/>
                <w:szCs w:val="20"/>
                <w:color w:val="auto"/>
              </w:rPr>
            </w:pPr>
            <w:r>
              <w:rPr>
                <w:rFonts w:ascii="Arial" w:cs="Arial" w:eastAsia="Arial" w:hAnsi="Arial"/>
                <w:sz w:val="16"/>
                <w:szCs w:val="16"/>
                <w:color w:val="auto"/>
                <w:w w:val="82"/>
              </w:rPr>
              <w:t>●</w:t>
            </w:r>
          </w:p>
        </w:tc>
        <w:tc>
          <w:tcPr>
            <w:tcW w:w="420" w:type="dxa"/>
            <w:vAlign w:val="bottom"/>
            <w:tcBorders>
              <w:top w:val="single" w:sz="8" w:color="A6A6A6"/>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0"/>
        </w:trPr>
        <w:tc>
          <w:tcPr>
            <w:tcW w:w="3120" w:type="dxa"/>
            <w:vAlign w:val="bottom"/>
            <w:gridSpan w:val="2"/>
            <w:vMerge w:val="restart"/>
          </w:tcPr>
          <w:p>
            <w:pPr>
              <w:ind w:left="80"/>
              <w:spacing w:after="0"/>
              <w:rPr>
                <w:sz w:val="20"/>
                <w:szCs w:val="20"/>
                <w:color w:val="auto"/>
              </w:rPr>
            </w:pPr>
            <w:r>
              <w:rPr>
                <w:rFonts w:ascii="Calibri" w:cs="Calibri" w:eastAsia="Calibri" w:hAnsi="Calibri"/>
                <w:sz w:val="16"/>
                <w:szCs w:val="16"/>
                <w:i w:val="1"/>
                <w:iCs w:val="1"/>
                <w:color w:val="auto"/>
              </w:rPr>
              <w:t>President &amp; CEO of SSM Health</w:t>
            </w:r>
          </w:p>
        </w:tc>
        <w:tc>
          <w:tcPr>
            <w:tcW w:w="460" w:type="dxa"/>
            <w:vAlign w:val="bottom"/>
            <w:vMerge w:val="continue"/>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660" w:type="dxa"/>
            <w:vAlign w:val="bottom"/>
            <w:vMerge w:val="continue"/>
            <w:shd w:val="clear" w:color="auto" w:fill="F2F2F2"/>
          </w:tcPr>
          <w:p>
            <w:pPr>
              <w:spacing w:after="0"/>
              <w:rPr>
                <w:sz w:val="10"/>
                <w:szCs w:val="10"/>
                <w:color w:val="auto"/>
              </w:rPr>
            </w:pPr>
          </w:p>
        </w:tc>
        <w:tc>
          <w:tcPr>
            <w:tcW w:w="740" w:type="dxa"/>
            <w:vAlign w:val="bottom"/>
            <w:vMerge w:val="continue"/>
          </w:tcPr>
          <w:p>
            <w:pPr>
              <w:spacing w:after="0"/>
              <w:rPr>
                <w:sz w:val="10"/>
                <w:szCs w:val="10"/>
                <w:color w:val="auto"/>
              </w:rPr>
            </w:pPr>
          </w:p>
        </w:tc>
        <w:tc>
          <w:tcPr>
            <w:tcW w:w="1120" w:type="dxa"/>
            <w:vAlign w:val="bottom"/>
            <w:vMerge w:val="continue"/>
            <w:shd w:val="clear" w:color="auto" w:fill="F2F2F2"/>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shd w:val="clear" w:color="auto" w:fill="F2F2F2"/>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vMerge w:val="continue"/>
            <w:shd w:val="clear" w:color="auto" w:fill="F2F2F2"/>
          </w:tcPr>
          <w:p>
            <w:pPr>
              <w:spacing w:after="0"/>
              <w:rPr>
                <w:sz w:val="10"/>
                <w:szCs w:val="10"/>
                <w:color w:val="auto"/>
              </w:rPr>
            </w:pP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31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F2F2F2"/>
            </w:tcBorders>
            <w:shd w:val="clear" w:color="auto" w:fill="F2F2F2"/>
          </w:tcPr>
          <w:p>
            <w:pPr>
              <w:spacing w:after="0"/>
              <w:rPr>
                <w:sz w:val="14"/>
                <w:szCs w:val="14"/>
                <w:color w:val="auto"/>
              </w:rPr>
            </w:pPr>
          </w:p>
        </w:tc>
        <w:tc>
          <w:tcPr>
            <w:tcW w:w="660" w:type="dxa"/>
            <w:vAlign w:val="bottom"/>
            <w:tcBorders>
              <w:bottom w:val="single" w:sz="8" w:color="F2F2F2"/>
            </w:tcBorders>
            <w:shd w:val="clear" w:color="auto" w:fill="F2F2F2"/>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Borders>
              <w:bottom w:val="single" w:sz="8" w:color="F2F2F2"/>
            </w:tcBorders>
            <w:shd w:val="clear" w:color="auto" w:fill="F2F2F2"/>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F2F2F2"/>
            </w:tcBorders>
            <w:shd w:val="clear" w:color="auto" w:fill="F2F2F2"/>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Borders>
              <w:bottom w:val="single" w:sz="8" w:color="F2F2F2"/>
            </w:tcBorders>
            <w:shd w:val="clear" w:color="auto" w:fill="F2F2F2"/>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A6A6A6"/>
            </w:tcBorders>
          </w:tcPr>
          <w:p>
            <w:pPr>
              <w:ind w:left="80"/>
              <w:spacing w:after="0"/>
              <w:rPr>
                <w:sz w:val="20"/>
                <w:szCs w:val="20"/>
                <w:color w:val="auto"/>
              </w:rPr>
            </w:pPr>
            <w:r>
              <w:rPr>
                <w:rFonts w:ascii="Calibri" w:cs="Calibri" w:eastAsia="Calibri" w:hAnsi="Calibri"/>
                <w:sz w:val="16"/>
                <w:szCs w:val="16"/>
                <w:b w:val="1"/>
                <w:bCs w:val="1"/>
                <w:color w:val="auto"/>
              </w:rPr>
              <w:t>MICHAEL R. MCDONNELL</w:t>
            </w:r>
          </w:p>
        </w:tc>
        <w:tc>
          <w:tcPr>
            <w:tcW w:w="1100" w:type="dxa"/>
            <w:vAlign w:val="bottom"/>
            <w:tcBorders>
              <w:top w:val="single" w:sz="8" w:color="A6A6A6"/>
            </w:tcBorders>
          </w:tcPr>
          <w:p>
            <w:pPr>
              <w:spacing w:after="0"/>
              <w:rPr>
                <w:sz w:val="18"/>
                <w:szCs w:val="18"/>
                <w:color w:val="auto"/>
              </w:rPr>
            </w:pPr>
          </w:p>
        </w:tc>
        <w:tc>
          <w:tcPr>
            <w:tcW w:w="460" w:type="dxa"/>
            <w:vAlign w:val="bottom"/>
            <w:tcBorders>
              <w:top w:val="single" w:sz="8" w:color="A6A6A6"/>
            </w:tcBorders>
            <w:vMerge w:val="restart"/>
          </w:tcPr>
          <w:p>
            <w:pPr>
              <w:jc w:val="center"/>
              <w:spacing w:after="0"/>
              <w:rPr>
                <w:sz w:val="20"/>
                <w:szCs w:val="20"/>
                <w:color w:val="auto"/>
              </w:rPr>
            </w:pPr>
            <w:r>
              <w:rPr>
                <w:rFonts w:ascii="Calibri" w:cs="Calibri" w:eastAsia="Calibri" w:hAnsi="Calibri"/>
                <w:sz w:val="16"/>
                <w:szCs w:val="16"/>
                <w:color w:val="auto"/>
                <w:w w:val="98"/>
              </w:rPr>
              <w:t>60</w:t>
            </w:r>
          </w:p>
        </w:tc>
        <w:tc>
          <w:tcPr>
            <w:tcW w:w="120" w:type="dxa"/>
            <w:vAlign w:val="bottom"/>
            <w:tcBorders>
              <w:top w:val="single" w:sz="8" w:color="A6A6A6"/>
            </w:tcBorders>
            <w:shd w:val="clear" w:color="auto" w:fill="F2F2F2"/>
          </w:tcPr>
          <w:p>
            <w:pPr>
              <w:spacing w:after="0"/>
              <w:rPr>
                <w:sz w:val="18"/>
                <w:szCs w:val="18"/>
                <w:color w:val="auto"/>
              </w:rPr>
            </w:pPr>
          </w:p>
        </w:tc>
        <w:tc>
          <w:tcPr>
            <w:tcW w:w="660" w:type="dxa"/>
            <w:vAlign w:val="bottom"/>
            <w:tcBorders>
              <w:top w:val="single" w:sz="8" w:color="A6A6A6"/>
            </w:tcBorders>
            <w:vMerge w:val="restart"/>
            <w:shd w:val="clear" w:color="auto" w:fill="F2F2F2"/>
          </w:tcPr>
          <w:p>
            <w:pPr>
              <w:jc w:val="center"/>
              <w:ind w:right="39"/>
              <w:spacing w:after="0"/>
              <w:rPr>
                <w:sz w:val="20"/>
                <w:szCs w:val="20"/>
                <w:color w:val="auto"/>
              </w:rPr>
            </w:pPr>
            <w:r>
              <w:rPr>
                <w:rFonts w:ascii="Calibri" w:cs="Calibri" w:eastAsia="Calibri" w:hAnsi="Calibri"/>
                <w:sz w:val="16"/>
                <w:szCs w:val="16"/>
                <w:color w:val="auto"/>
              </w:rPr>
              <w:t>2022</w:t>
            </w:r>
          </w:p>
        </w:tc>
        <w:tc>
          <w:tcPr>
            <w:tcW w:w="740" w:type="dxa"/>
            <w:vAlign w:val="bottom"/>
            <w:tcBorders>
              <w:top w:val="single" w:sz="8" w:color="A6A6A6"/>
            </w:tcBorders>
            <w:vMerge w:val="restart"/>
          </w:tcPr>
          <w:p>
            <w:pPr>
              <w:jc w:val="center"/>
              <w:spacing w:after="0"/>
              <w:rPr>
                <w:sz w:val="20"/>
                <w:szCs w:val="20"/>
                <w:color w:val="auto"/>
              </w:rPr>
            </w:pPr>
            <w:r>
              <w:rPr>
                <w:rFonts w:ascii="Calibri" w:cs="Calibri" w:eastAsia="Calibri" w:hAnsi="Calibri"/>
                <w:sz w:val="16"/>
                <w:szCs w:val="16"/>
                <w:color w:val="auto"/>
              </w:rPr>
              <w:t>2025</w:t>
            </w:r>
          </w:p>
        </w:tc>
        <w:tc>
          <w:tcPr>
            <w:tcW w:w="1120" w:type="dxa"/>
            <w:vAlign w:val="bottom"/>
            <w:tcBorders>
              <w:top w:val="single" w:sz="8" w:color="A6A6A6"/>
            </w:tcBorders>
            <w:vMerge w:val="restart"/>
            <w:shd w:val="clear" w:color="auto" w:fill="F2F2F2"/>
          </w:tcPr>
          <w:p>
            <w:pPr>
              <w:jc w:val="center"/>
              <w:spacing w:after="0"/>
              <w:rPr>
                <w:sz w:val="20"/>
                <w:szCs w:val="20"/>
                <w:color w:val="auto"/>
              </w:rPr>
            </w:pPr>
            <w:r>
              <w:rPr>
                <w:rFonts w:ascii="Calibri" w:cs="Calibri" w:eastAsia="Calibri" w:hAnsi="Calibri"/>
                <w:sz w:val="16"/>
                <w:szCs w:val="16"/>
                <w:color w:val="auto"/>
                <w:w w:val="99"/>
              </w:rPr>
              <w:t>Yes</w:t>
            </w:r>
          </w:p>
        </w:tc>
        <w:tc>
          <w:tcPr>
            <w:tcW w:w="300" w:type="dxa"/>
            <w:vAlign w:val="bottom"/>
            <w:tcBorders>
              <w:top w:val="single" w:sz="8" w:color="A6A6A6"/>
            </w:tcBorders>
            <w:vMerge w:val="restart"/>
          </w:tcPr>
          <w:p>
            <w:pPr>
              <w:jc w:val="center"/>
              <w:ind w:left="73"/>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6A6A6"/>
            </w:tcBorders>
          </w:tcPr>
          <w:p>
            <w:pPr>
              <w:spacing w:after="0"/>
              <w:rPr>
                <w:sz w:val="18"/>
                <w:szCs w:val="18"/>
                <w:color w:val="auto"/>
              </w:rPr>
            </w:pPr>
          </w:p>
        </w:tc>
        <w:tc>
          <w:tcPr>
            <w:tcW w:w="460" w:type="dxa"/>
            <w:vAlign w:val="bottom"/>
            <w:tcBorders>
              <w:top w:val="single" w:sz="8" w:color="A6A6A6"/>
            </w:tcBorders>
            <w:shd w:val="clear" w:color="auto" w:fill="F2F2F2"/>
          </w:tcPr>
          <w:p>
            <w:pPr>
              <w:spacing w:after="0"/>
              <w:rPr>
                <w:sz w:val="18"/>
                <w:szCs w:val="18"/>
                <w:color w:val="auto"/>
              </w:rPr>
            </w:pPr>
          </w:p>
        </w:tc>
        <w:tc>
          <w:tcPr>
            <w:tcW w:w="460" w:type="dxa"/>
            <w:vAlign w:val="bottom"/>
            <w:tcBorders>
              <w:top w:val="single" w:sz="8" w:color="A6A6A6"/>
            </w:tcBorders>
            <w:vMerge w:val="restart"/>
          </w:tcPr>
          <w:p>
            <w:pPr>
              <w:jc w:val="cente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6A6A6"/>
            </w:tcBorders>
            <w:shd w:val="clear" w:color="auto" w:fill="F2F2F2"/>
          </w:tcPr>
          <w:p>
            <w:pPr>
              <w:spacing w:after="0"/>
              <w:rPr>
                <w:sz w:val="18"/>
                <w:szCs w:val="18"/>
                <w:color w:val="auto"/>
              </w:rPr>
            </w:pPr>
          </w:p>
        </w:tc>
        <w:tc>
          <w:tcPr>
            <w:tcW w:w="420" w:type="dxa"/>
            <w:vAlign w:val="bottom"/>
            <w:tcBorders>
              <w:top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120" w:type="dxa"/>
            <w:vAlign w:val="bottom"/>
            <w:gridSpan w:val="2"/>
            <w:vMerge w:val="restart"/>
          </w:tcPr>
          <w:p>
            <w:pPr>
              <w:ind w:left="80"/>
              <w:spacing w:after="0"/>
              <w:rPr>
                <w:sz w:val="20"/>
                <w:szCs w:val="20"/>
                <w:color w:val="auto"/>
              </w:rPr>
            </w:pPr>
            <w:r>
              <w:rPr>
                <w:rFonts w:ascii="Calibri" w:cs="Calibri" w:eastAsia="Calibri" w:hAnsi="Calibri"/>
                <w:sz w:val="16"/>
                <w:szCs w:val="16"/>
                <w:i w:val="1"/>
                <w:iCs w:val="1"/>
                <w:color w:val="auto"/>
              </w:rPr>
              <w:t>Chief Financial Ofcer of Biogen, Inc.</w:t>
            </w:r>
          </w:p>
        </w:tc>
        <w:tc>
          <w:tcPr>
            <w:tcW w:w="460" w:type="dxa"/>
            <w:vAlign w:val="bottom"/>
            <w:vMerge w:val="continue"/>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660" w:type="dxa"/>
            <w:vAlign w:val="bottom"/>
            <w:vMerge w:val="continue"/>
            <w:shd w:val="clear" w:color="auto" w:fill="F2F2F2"/>
          </w:tcPr>
          <w:p>
            <w:pPr>
              <w:spacing w:after="0"/>
              <w:rPr>
                <w:sz w:val="10"/>
                <w:szCs w:val="10"/>
                <w:color w:val="auto"/>
              </w:rPr>
            </w:pPr>
          </w:p>
        </w:tc>
        <w:tc>
          <w:tcPr>
            <w:tcW w:w="740" w:type="dxa"/>
            <w:vAlign w:val="bottom"/>
            <w:vMerge w:val="continue"/>
          </w:tcPr>
          <w:p>
            <w:pPr>
              <w:spacing w:after="0"/>
              <w:rPr>
                <w:sz w:val="10"/>
                <w:szCs w:val="10"/>
                <w:color w:val="auto"/>
              </w:rPr>
            </w:pPr>
          </w:p>
        </w:tc>
        <w:tc>
          <w:tcPr>
            <w:tcW w:w="1120" w:type="dxa"/>
            <w:vAlign w:val="bottom"/>
            <w:vMerge w:val="continue"/>
            <w:shd w:val="clear" w:color="auto" w:fill="F2F2F2"/>
          </w:tcPr>
          <w:p>
            <w:pPr>
              <w:spacing w:after="0"/>
              <w:rPr>
                <w:sz w:val="10"/>
                <w:szCs w:val="10"/>
                <w:color w:val="auto"/>
              </w:rPr>
            </w:pPr>
          </w:p>
        </w:tc>
        <w:tc>
          <w:tcPr>
            <w:tcW w:w="3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shd w:val="clear" w:color="auto" w:fill="F2F2F2"/>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shd w:val="clear" w:color="auto" w:fill="F2F2F2"/>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31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F2F2F2"/>
            </w:tcBorders>
            <w:shd w:val="clear" w:color="auto" w:fill="F2F2F2"/>
          </w:tcPr>
          <w:p>
            <w:pPr>
              <w:spacing w:after="0"/>
              <w:rPr>
                <w:sz w:val="14"/>
                <w:szCs w:val="14"/>
                <w:color w:val="auto"/>
              </w:rPr>
            </w:pPr>
          </w:p>
        </w:tc>
        <w:tc>
          <w:tcPr>
            <w:tcW w:w="660" w:type="dxa"/>
            <w:vAlign w:val="bottom"/>
            <w:tcBorders>
              <w:bottom w:val="single" w:sz="8" w:color="F2F2F2"/>
            </w:tcBorders>
            <w:shd w:val="clear" w:color="auto" w:fill="F2F2F2"/>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Borders>
              <w:bottom w:val="single" w:sz="8" w:color="F2F2F2"/>
            </w:tcBorders>
            <w:shd w:val="clear" w:color="auto" w:fill="F2F2F2"/>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F2F2F2"/>
            </w:tcBorders>
            <w:shd w:val="clear" w:color="auto" w:fill="F2F2F2"/>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Borders>
              <w:bottom w:val="single" w:sz="8" w:color="F2F2F2"/>
            </w:tcBorders>
            <w:shd w:val="clear" w:color="auto" w:fill="F2F2F2"/>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A6A6A6"/>
            </w:tcBorders>
          </w:tcPr>
          <w:p>
            <w:pPr>
              <w:ind w:left="80"/>
              <w:spacing w:after="0"/>
              <w:rPr>
                <w:sz w:val="20"/>
                <w:szCs w:val="20"/>
                <w:color w:val="auto"/>
              </w:rPr>
            </w:pPr>
            <w:r>
              <w:rPr>
                <w:rFonts w:ascii="Calibri" w:cs="Calibri" w:eastAsia="Calibri" w:hAnsi="Calibri"/>
                <w:sz w:val="16"/>
                <w:szCs w:val="16"/>
                <w:b w:val="1"/>
                <w:bCs w:val="1"/>
                <w:color w:val="auto"/>
              </w:rPr>
              <w:t>F. ANN MILLNER, ED.D.</w:t>
            </w:r>
          </w:p>
        </w:tc>
        <w:tc>
          <w:tcPr>
            <w:tcW w:w="1100" w:type="dxa"/>
            <w:vAlign w:val="bottom"/>
            <w:tcBorders>
              <w:top w:val="single" w:sz="8" w:color="A6A6A6"/>
            </w:tcBorders>
          </w:tcPr>
          <w:p>
            <w:pPr>
              <w:spacing w:after="0"/>
              <w:rPr>
                <w:sz w:val="18"/>
                <w:szCs w:val="18"/>
                <w:color w:val="auto"/>
              </w:rPr>
            </w:pPr>
          </w:p>
        </w:tc>
        <w:tc>
          <w:tcPr>
            <w:tcW w:w="460" w:type="dxa"/>
            <w:vAlign w:val="bottom"/>
            <w:tcBorders>
              <w:top w:val="single" w:sz="8" w:color="A6A6A6"/>
            </w:tcBorders>
          </w:tcPr>
          <w:p>
            <w:pPr>
              <w:spacing w:after="0"/>
              <w:rPr>
                <w:sz w:val="18"/>
                <w:szCs w:val="18"/>
                <w:color w:val="auto"/>
              </w:rPr>
            </w:pPr>
          </w:p>
        </w:tc>
        <w:tc>
          <w:tcPr>
            <w:tcW w:w="120" w:type="dxa"/>
            <w:vAlign w:val="bottom"/>
            <w:tcBorders>
              <w:top w:val="single" w:sz="8" w:color="A6A6A6"/>
            </w:tcBorders>
            <w:shd w:val="clear" w:color="auto" w:fill="F2F2F2"/>
          </w:tcPr>
          <w:p>
            <w:pPr>
              <w:spacing w:after="0"/>
              <w:rPr>
                <w:sz w:val="18"/>
                <w:szCs w:val="18"/>
                <w:color w:val="auto"/>
              </w:rPr>
            </w:pPr>
          </w:p>
        </w:tc>
        <w:tc>
          <w:tcPr>
            <w:tcW w:w="660" w:type="dxa"/>
            <w:vAlign w:val="bottom"/>
            <w:tcBorders>
              <w:top w:val="single" w:sz="8" w:color="A6A6A6"/>
            </w:tcBorders>
            <w:shd w:val="clear" w:color="auto" w:fill="F2F2F2"/>
          </w:tcPr>
          <w:p>
            <w:pPr>
              <w:spacing w:after="0"/>
              <w:rPr>
                <w:sz w:val="18"/>
                <w:szCs w:val="18"/>
                <w:color w:val="auto"/>
              </w:rPr>
            </w:pPr>
          </w:p>
        </w:tc>
        <w:tc>
          <w:tcPr>
            <w:tcW w:w="740" w:type="dxa"/>
            <w:vAlign w:val="bottom"/>
            <w:tcBorders>
              <w:top w:val="single" w:sz="8" w:color="A6A6A6"/>
            </w:tcBorders>
          </w:tcPr>
          <w:p>
            <w:pPr>
              <w:spacing w:after="0"/>
              <w:rPr>
                <w:sz w:val="18"/>
                <w:szCs w:val="18"/>
                <w:color w:val="auto"/>
              </w:rPr>
            </w:pPr>
          </w:p>
        </w:tc>
        <w:tc>
          <w:tcPr>
            <w:tcW w:w="1120" w:type="dxa"/>
            <w:vAlign w:val="bottom"/>
            <w:tcBorders>
              <w:top w:val="single" w:sz="8" w:color="A6A6A6"/>
            </w:tcBorders>
            <w:shd w:val="clear" w:color="auto" w:fill="F2F2F2"/>
          </w:tcPr>
          <w:p>
            <w:pPr>
              <w:spacing w:after="0"/>
              <w:rPr>
                <w:sz w:val="18"/>
                <w:szCs w:val="18"/>
                <w:color w:val="auto"/>
              </w:rPr>
            </w:pPr>
          </w:p>
        </w:tc>
        <w:tc>
          <w:tcPr>
            <w:tcW w:w="300" w:type="dxa"/>
            <w:vAlign w:val="bottom"/>
            <w:tcBorders>
              <w:top w:val="single" w:sz="8" w:color="A6A6A6"/>
            </w:tcBorders>
          </w:tcPr>
          <w:p>
            <w:pPr>
              <w:spacing w:after="0"/>
              <w:rPr>
                <w:sz w:val="18"/>
                <w:szCs w:val="18"/>
                <w:color w:val="auto"/>
              </w:rPr>
            </w:pPr>
          </w:p>
        </w:tc>
        <w:tc>
          <w:tcPr>
            <w:tcW w:w="160" w:type="dxa"/>
            <w:vAlign w:val="bottom"/>
            <w:tcBorders>
              <w:top w:val="single" w:sz="8" w:color="A6A6A6"/>
            </w:tcBorders>
          </w:tcPr>
          <w:p>
            <w:pPr>
              <w:spacing w:after="0"/>
              <w:rPr>
                <w:sz w:val="18"/>
                <w:szCs w:val="18"/>
                <w:color w:val="auto"/>
              </w:rPr>
            </w:pPr>
          </w:p>
        </w:tc>
        <w:tc>
          <w:tcPr>
            <w:tcW w:w="460" w:type="dxa"/>
            <w:vAlign w:val="bottom"/>
            <w:tcBorders>
              <w:top w:val="single" w:sz="8" w:color="A6A6A6"/>
            </w:tcBorders>
            <w:vMerge w:val="restart"/>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6A6A6"/>
            </w:tcBorders>
          </w:tcPr>
          <w:p>
            <w:pPr>
              <w:spacing w:after="0"/>
              <w:rPr>
                <w:sz w:val="18"/>
                <w:szCs w:val="18"/>
                <w:color w:val="auto"/>
              </w:rPr>
            </w:pPr>
          </w:p>
        </w:tc>
        <w:tc>
          <w:tcPr>
            <w:tcW w:w="560" w:type="dxa"/>
            <w:vAlign w:val="bottom"/>
            <w:tcBorders>
              <w:top w:val="single" w:sz="8" w:color="A6A6A6"/>
            </w:tcBorders>
            <w:vMerge w:val="restart"/>
            <w:shd w:val="clear" w:color="auto" w:fill="F2F2F2"/>
          </w:tcPr>
          <w:p>
            <w:pPr>
              <w:jc w:val="center"/>
              <w:spacing w:after="0"/>
              <w:rPr>
                <w:sz w:val="20"/>
                <w:szCs w:val="20"/>
                <w:color w:val="auto"/>
              </w:rPr>
            </w:pPr>
            <w:r>
              <w:rPr>
                <w:rFonts w:ascii="Arial" w:cs="Arial" w:eastAsia="Arial" w:hAnsi="Arial"/>
                <w:sz w:val="25"/>
                <w:szCs w:val="25"/>
                <w:color w:val="AF0000"/>
              </w:rPr>
              <w:t>□</w:t>
            </w:r>
          </w:p>
        </w:tc>
        <w:tc>
          <w:tcPr>
            <w:tcW w:w="420" w:type="dxa"/>
            <w:vAlign w:val="bottom"/>
            <w:tcBorders>
              <w:top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gridSpan w:val="2"/>
          </w:tcPr>
          <w:p>
            <w:pPr>
              <w:ind w:left="80"/>
              <w:spacing w:after="0"/>
              <w:rPr>
                <w:sz w:val="20"/>
                <w:szCs w:val="20"/>
                <w:color w:val="auto"/>
              </w:rPr>
            </w:pPr>
            <w:r>
              <w:rPr>
                <w:rFonts w:ascii="Calibri" w:cs="Calibri" w:eastAsia="Calibri" w:hAnsi="Calibri"/>
                <w:sz w:val="16"/>
                <w:szCs w:val="16"/>
                <w:i w:val="1"/>
                <w:iCs w:val="1"/>
                <w:color w:val="auto"/>
              </w:rPr>
              <w:t>Regents Professor of Health Administratve</w:t>
            </w:r>
          </w:p>
        </w:tc>
        <w:tc>
          <w:tcPr>
            <w:tcW w:w="460" w:type="dxa"/>
            <w:vAlign w:val="bottom"/>
          </w:tcPr>
          <w:p>
            <w:pPr>
              <w:jc w:val="center"/>
              <w:spacing w:after="0"/>
              <w:rPr>
                <w:sz w:val="20"/>
                <w:szCs w:val="20"/>
                <w:color w:val="auto"/>
              </w:rPr>
            </w:pPr>
            <w:r>
              <w:rPr>
                <w:rFonts w:ascii="Calibri" w:cs="Calibri" w:eastAsia="Calibri" w:hAnsi="Calibri"/>
                <w:sz w:val="16"/>
                <w:szCs w:val="16"/>
                <w:color w:val="auto"/>
                <w:w w:val="98"/>
              </w:rPr>
              <w:t>72</w:t>
            </w:r>
          </w:p>
        </w:tc>
        <w:tc>
          <w:tcPr>
            <w:tcW w:w="120" w:type="dxa"/>
            <w:vAlign w:val="bottom"/>
            <w:shd w:val="clear" w:color="auto" w:fill="F2F2F2"/>
          </w:tcPr>
          <w:p>
            <w:pPr>
              <w:spacing w:after="0"/>
              <w:rPr>
                <w:sz w:val="19"/>
                <w:szCs w:val="19"/>
                <w:color w:val="auto"/>
              </w:rPr>
            </w:pPr>
          </w:p>
        </w:tc>
        <w:tc>
          <w:tcPr>
            <w:tcW w:w="660" w:type="dxa"/>
            <w:vAlign w:val="bottom"/>
            <w:shd w:val="clear" w:color="auto" w:fill="F2F2F2"/>
          </w:tcPr>
          <w:p>
            <w:pPr>
              <w:jc w:val="center"/>
              <w:ind w:right="39"/>
              <w:spacing w:after="0"/>
              <w:rPr>
                <w:sz w:val="20"/>
                <w:szCs w:val="20"/>
                <w:color w:val="auto"/>
              </w:rPr>
            </w:pPr>
            <w:r>
              <w:rPr>
                <w:rFonts w:ascii="Calibri" w:cs="Calibri" w:eastAsia="Calibri" w:hAnsi="Calibri"/>
                <w:sz w:val="16"/>
                <w:szCs w:val="16"/>
                <w:color w:val="auto"/>
              </w:rPr>
              <w:t>2015</w:t>
            </w:r>
          </w:p>
        </w:tc>
        <w:tc>
          <w:tcPr>
            <w:tcW w:w="740" w:type="dxa"/>
            <w:vAlign w:val="bottom"/>
          </w:tcPr>
          <w:p>
            <w:pPr>
              <w:jc w:val="center"/>
              <w:spacing w:after="0"/>
              <w:rPr>
                <w:sz w:val="20"/>
                <w:szCs w:val="20"/>
                <w:color w:val="auto"/>
              </w:rPr>
            </w:pPr>
            <w:r>
              <w:rPr>
                <w:rFonts w:ascii="Calibri" w:cs="Calibri" w:eastAsia="Calibri" w:hAnsi="Calibri"/>
                <w:sz w:val="16"/>
                <w:szCs w:val="16"/>
                <w:color w:val="auto"/>
              </w:rPr>
              <w:t>2025</w:t>
            </w:r>
          </w:p>
        </w:tc>
        <w:tc>
          <w:tcPr>
            <w:tcW w:w="112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w w:val="99"/>
              </w:rPr>
              <w:t>Yes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vMerge w:val="continue"/>
            <w:shd w:val="clear" w:color="auto" w:fill="F2F2F2"/>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vMerge w:val="continue"/>
            <w:shd w:val="clear" w:color="auto" w:fill="F2F2F2"/>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20" w:type="dxa"/>
            <w:vAlign w:val="bottom"/>
          </w:tcPr>
          <w:p>
            <w:pPr>
              <w:ind w:left="80"/>
              <w:spacing w:after="0" w:line="193" w:lineRule="exact"/>
              <w:rPr>
                <w:sz w:val="20"/>
                <w:szCs w:val="20"/>
                <w:color w:val="auto"/>
              </w:rPr>
            </w:pPr>
            <w:r>
              <w:rPr>
                <w:rFonts w:ascii="Calibri" w:cs="Calibri" w:eastAsia="Calibri" w:hAnsi="Calibri"/>
                <w:sz w:val="16"/>
                <w:szCs w:val="16"/>
                <w:i w:val="1"/>
                <w:iCs w:val="1"/>
                <w:color w:val="auto"/>
              </w:rPr>
              <w:t>Services at Weber State Univ.</w:t>
            </w: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Borders>
              <w:bottom w:val="single" w:sz="8" w:color="F2F2F2"/>
            </w:tcBorders>
            <w:shd w:val="clear" w:color="auto" w:fill="F2F2F2"/>
          </w:tcPr>
          <w:p>
            <w:pPr>
              <w:spacing w:after="0"/>
              <w:rPr>
                <w:sz w:val="21"/>
                <w:szCs w:val="21"/>
                <w:color w:val="auto"/>
              </w:rPr>
            </w:pPr>
          </w:p>
        </w:tc>
        <w:tc>
          <w:tcPr>
            <w:tcW w:w="660" w:type="dxa"/>
            <w:vAlign w:val="bottom"/>
            <w:tcBorders>
              <w:bottom w:val="single" w:sz="8" w:color="F2F2F2"/>
            </w:tcBorders>
            <w:shd w:val="clear" w:color="auto" w:fill="F2F2F2"/>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Borders>
              <w:bottom w:val="single" w:sz="8" w:color="F2F2F2"/>
            </w:tcBorders>
            <w:shd w:val="clear" w:color="auto" w:fill="F2F2F2"/>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Borders>
              <w:bottom w:val="single" w:sz="8" w:color="F2F2F2"/>
            </w:tcBorders>
            <w:shd w:val="clear" w:color="auto" w:fill="F2F2F2"/>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A6A6A6"/>
            </w:tcBorders>
          </w:tcPr>
          <w:p>
            <w:pPr>
              <w:ind w:left="80"/>
              <w:spacing w:after="0"/>
              <w:rPr>
                <w:sz w:val="20"/>
                <w:szCs w:val="20"/>
                <w:color w:val="auto"/>
              </w:rPr>
            </w:pPr>
            <w:r>
              <w:rPr>
                <w:rFonts w:ascii="Calibri" w:cs="Calibri" w:eastAsia="Calibri" w:hAnsi="Calibri"/>
                <w:sz w:val="16"/>
                <w:szCs w:val="16"/>
                <w:b w:val="1"/>
                <w:bCs w:val="1"/>
                <w:color w:val="auto"/>
              </w:rPr>
              <w:t>LONNY J. CARPENTER</w:t>
            </w:r>
          </w:p>
        </w:tc>
        <w:tc>
          <w:tcPr>
            <w:tcW w:w="1100" w:type="dxa"/>
            <w:vAlign w:val="bottom"/>
            <w:tcBorders>
              <w:top w:val="single" w:sz="8" w:color="A6A6A6"/>
            </w:tcBorders>
          </w:tcPr>
          <w:p>
            <w:pPr>
              <w:spacing w:after="0"/>
              <w:rPr>
                <w:sz w:val="18"/>
                <w:szCs w:val="18"/>
                <w:color w:val="auto"/>
              </w:rPr>
            </w:pPr>
          </w:p>
        </w:tc>
        <w:tc>
          <w:tcPr>
            <w:tcW w:w="460" w:type="dxa"/>
            <w:vAlign w:val="bottom"/>
            <w:tcBorders>
              <w:top w:val="single" w:sz="8" w:color="A6A6A6"/>
            </w:tcBorders>
            <w:vMerge w:val="restart"/>
          </w:tcPr>
          <w:p>
            <w:pPr>
              <w:jc w:val="center"/>
              <w:spacing w:after="0"/>
              <w:rPr>
                <w:sz w:val="20"/>
                <w:szCs w:val="20"/>
                <w:color w:val="auto"/>
              </w:rPr>
            </w:pPr>
            <w:r>
              <w:rPr>
                <w:rFonts w:ascii="Calibri" w:cs="Calibri" w:eastAsia="Calibri" w:hAnsi="Calibri"/>
                <w:sz w:val="16"/>
                <w:szCs w:val="16"/>
                <w:color w:val="auto"/>
                <w:w w:val="98"/>
              </w:rPr>
              <w:t>62</w:t>
            </w:r>
          </w:p>
        </w:tc>
        <w:tc>
          <w:tcPr>
            <w:tcW w:w="120" w:type="dxa"/>
            <w:vAlign w:val="bottom"/>
            <w:tcBorders>
              <w:top w:val="single" w:sz="8" w:color="A6A6A6"/>
            </w:tcBorders>
            <w:shd w:val="clear" w:color="auto" w:fill="F2F2F2"/>
          </w:tcPr>
          <w:p>
            <w:pPr>
              <w:spacing w:after="0"/>
              <w:rPr>
                <w:sz w:val="18"/>
                <w:szCs w:val="18"/>
                <w:color w:val="auto"/>
              </w:rPr>
            </w:pPr>
          </w:p>
        </w:tc>
        <w:tc>
          <w:tcPr>
            <w:tcW w:w="660" w:type="dxa"/>
            <w:vAlign w:val="bottom"/>
            <w:tcBorders>
              <w:top w:val="single" w:sz="8" w:color="A6A6A6"/>
            </w:tcBorders>
            <w:vMerge w:val="restart"/>
            <w:shd w:val="clear" w:color="auto" w:fill="F2F2F2"/>
          </w:tcPr>
          <w:p>
            <w:pPr>
              <w:jc w:val="center"/>
              <w:ind w:right="39"/>
              <w:spacing w:after="0"/>
              <w:rPr>
                <w:sz w:val="20"/>
                <w:szCs w:val="20"/>
                <w:color w:val="auto"/>
              </w:rPr>
            </w:pPr>
            <w:r>
              <w:rPr>
                <w:rFonts w:ascii="Calibri" w:cs="Calibri" w:eastAsia="Calibri" w:hAnsi="Calibri"/>
                <w:sz w:val="16"/>
                <w:szCs w:val="16"/>
                <w:color w:val="auto"/>
              </w:rPr>
              <w:t>2020</w:t>
            </w:r>
          </w:p>
        </w:tc>
        <w:tc>
          <w:tcPr>
            <w:tcW w:w="740" w:type="dxa"/>
            <w:vAlign w:val="bottom"/>
            <w:tcBorders>
              <w:top w:val="single" w:sz="8" w:color="A6A6A6"/>
            </w:tcBorders>
            <w:vMerge w:val="restart"/>
          </w:tcPr>
          <w:p>
            <w:pPr>
              <w:jc w:val="center"/>
              <w:spacing w:after="0"/>
              <w:rPr>
                <w:sz w:val="20"/>
                <w:szCs w:val="20"/>
                <w:color w:val="auto"/>
              </w:rPr>
            </w:pPr>
            <w:r>
              <w:rPr>
                <w:rFonts w:ascii="Calibri" w:cs="Calibri" w:eastAsia="Calibri" w:hAnsi="Calibri"/>
                <w:sz w:val="16"/>
                <w:szCs w:val="16"/>
                <w:color w:val="auto"/>
              </w:rPr>
              <w:t>2026</w:t>
            </w:r>
          </w:p>
        </w:tc>
        <w:tc>
          <w:tcPr>
            <w:tcW w:w="1120" w:type="dxa"/>
            <w:vAlign w:val="bottom"/>
            <w:tcBorders>
              <w:top w:val="single" w:sz="8" w:color="A6A6A6"/>
            </w:tcBorders>
            <w:vMerge w:val="restart"/>
            <w:shd w:val="clear" w:color="auto" w:fill="F2F2F2"/>
          </w:tcPr>
          <w:p>
            <w:pPr>
              <w:jc w:val="center"/>
              <w:spacing w:after="0"/>
              <w:rPr>
                <w:sz w:val="20"/>
                <w:szCs w:val="20"/>
                <w:color w:val="auto"/>
              </w:rPr>
            </w:pPr>
            <w:r>
              <w:rPr>
                <w:rFonts w:ascii="Calibri" w:cs="Calibri" w:eastAsia="Calibri" w:hAnsi="Calibri"/>
                <w:sz w:val="16"/>
                <w:szCs w:val="16"/>
                <w:color w:val="auto"/>
                <w:w w:val="99"/>
              </w:rPr>
              <w:t>Yes</w:t>
            </w:r>
          </w:p>
        </w:tc>
        <w:tc>
          <w:tcPr>
            <w:tcW w:w="300" w:type="dxa"/>
            <w:vAlign w:val="bottom"/>
            <w:tcBorders>
              <w:top w:val="single" w:sz="8" w:color="A6A6A6"/>
            </w:tcBorders>
          </w:tcPr>
          <w:p>
            <w:pPr>
              <w:spacing w:after="0"/>
              <w:rPr>
                <w:sz w:val="18"/>
                <w:szCs w:val="18"/>
                <w:color w:val="auto"/>
              </w:rPr>
            </w:pPr>
          </w:p>
        </w:tc>
        <w:tc>
          <w:tcPr>
            <w:tcW w:w="160" w:type="dxa"/>
            <w:vAlign w:val="bottom"/>
            <w:tcBorders>
              <w:top w:val="single" w:sz="8" w:color="A6A6A6"/>
            </w:tcBorders>
          </w:tcPr>
          <w:p>
            <w:pPr>
              <w:spacing w:after="0"/>
              <w:rPr>
                <w:sz w:val="18"/>
                <w:szCs w:val="18"/>
                <w:color w:val="auto"/>
              </w:rPr>
            </w:pPr>
          </w:p>
        </w:tc>
        <w:tc>
          <w:tcPr>
            <w:tcW w:w="460" w:type="dxa"/>
            <w:vAlign w:val="bottom"/>
            <w:tcBorders>
              <w:top w:val="single" w:sz="8" w:color="A6A6A6"/>
            </w:tcBorders>
            <w:vMerge w:val="restart"/>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6A6A6"/>
            </w:tcBorders>
            <w:vMerge w:val="restart"/>
          </w:tcPr>
          <w:p>
            <w:pPr>
              <w:jc w:val="cente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6A6A6"/>
            </w:tcBorders>
            <w:shd w:val="clear" w:color="auto" w:fill="F2F2F2"/>
          </w:tcPr>
          <w:p>
            <w:pPr>
              <w:spacing w:after="0"/>
              <w:rPr>
                <w:sz w:val="18"/>
                <w:szCs w:val="18"/>
                <w:color w:val="auto"/>
              </w:rPr>
            </w:pPr>
          </w:p>
        </w:tc>
        <w:tc>
          <w:tcPr>
            <w:tcW w:w="420" w:type="dxa"/>
            <w:vAlign w:val="bottom"/>
            <w:tcBorders>
              <w:top w:val="single" w:sz="8" w:color="A6A6A6"/>
            </w:tcBorders>
            <w:vMerge w:val="restart"/>
          </w:tcPr>
          <w:p>
            <w:pPr>
              <w:jc w:val="center"/>
              <w:spacing w:after="0"/>
              <w:rPr>
                <w:sz w:val="20"/>
                <w:szCs w:val="20"/>
                <w:color w:val="auto"/>
              </w:rPr>
            </w:pPr>
            <w:r>
              <w:rPr>
                <w:rFonts w:ascii="Arial" w:cs="Arial" w:eastAsia="Arial" w:hAnsi="Arial"/>
                <w:sz w:val="25"/>
                <w:szCs w:val="25"/>
                <w:color w:val="AF0000"/>
              </w:rPr>
              <w:t>□</w:t>
            </w:r>
          </w:p>
        </w:tc>
        <w:tc>
          <w:tcPr>
            <w:tcW w:w="0" w:type="dxa"/>
            <w:vAlign w:val="bottom"/>
          </w:tcPr>
          <w:p>
            <w:pPr>
              <w:spacing w:after="0"/>
              <w:rPr>
                <w:sz w:val="1"/>
                <w:szCs w:val="1"/>
                <w:color w:val="auto"/>
              </w:rPr>
            </w:pPr>
          </w:p>
        </w:tc>
      </w:tr>
      <w:tr>
        <w:trPr>
          <w:trHeight w:val="162"/>
        </w:trPr>
        <w:tc>
          <w:tcPr>
            <w:tcW w:w="3120" w:type="dxa"/>
            <w:vAlign w:val="bottom"/>
            <w:gridSpan w:val="2"/>
            <w:vMerge w:val="restart"/>
          </w:tcPr>
          <w:p>
            <w:pPr>
              <w:ind w:left="80"/>
              <w:spacing w:after="0"/>
              <w:rPr>
                <w:sz w:val="20"/>
                <w:szCs w:val="20"/>
                <w:color w:val="auto"/>
              </w:rPr>
            </w:pPr>
            <w:r>
              <w:rPr>
                <w:rFonts w:ascii="Calibri" w:cs="Calibri" w:eastAsia="Calibri" w:hAnsi="Calibri"/>
                <w:sz w:val="16"/>
                <w:szCs w:val="16"/>
                <w:i w:val="1"/>
                <w:iCs w:val="1"/>
                <w:color w:val="auto"/>
              </w:rPr>
              <w:t>Former Group President, Stryker Corporaton</w:t>
            </w:r>
          </w:p>
        </w:tc>
        <w:tc>
          <w:tcPr>
            <w:tcW w:w="460" w:type="dxa"/>
            <w:vAlign w:val="bottom"/>
            <w:vMerge w:val="continue"/>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660" w:type="dxa"/>
            <w:vAlign w:val="bottom"/>
            <w:vMerge w:val="continue"/>
            <w:shd w:val="clear" w:color="auto" w:fill="F2F2F2"/>
          </w:tcPr>
          <w:p>
            <w:pPr>
              <w:spacing w:after="0"/>
              <w:rPr>
                <w:sz w:val="14"/>
                <w:szCs w:val="14"/>
                <w:color w:val="auto"/>
              </w:rPr>
            </w:pPr>
          </w:p>
        </w:tc>
        <w:tc>
          <w:tcPr>
            <w:tcW w:w="740" w:type="dxa"/>
            <w:vAlign w:val="bottom"/>
            <w:vMerge w:val="continue"/>
          </w:tcPr>
          <w:p>
            <w:pPr>
              <w:spacing w:after="0"/>
              <w:rPr>
                <w:sz w:val="14"/>
                <w:szCs w:val="14"/>
                <w:color w:val="auto"/>
              </w:rPr>
            </w:pPr>
          </w:p>
        </w:tc>
        <w:tc>
          <w:tcPr>
            <w:tcW w:w="1120" w:type="dxa"/>
            <w:vAlign w:val="bottom"/>
            <w:vMerge w:val="continue"/>
            <w:shd w:val="clear" w:color="auto" w:fill="F2F2F2"/>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shd w:val="clear" w:color="auto" w:fill="F2F2F2"/>
          </w:tcPr>
          <w:p>
            <w:pPr>
              <w:spacing w:after="0"/>
              <w:rPr>
                <w:sz w:val="14"/>
                <w:szCs w:val="14"/>
                <w:color w:val="auto"/>
              </w:rPr>
            </w:pPr>
          </w:p>
        </w:tc>
        <w:tc>
          <w:tcPr>
            <w:tcW w:w="460" w:type="dxa"/>
            <w:vAlign w:val="bottom"/>
            <w:vMerge w:val="continue"/>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12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bottom w:val="single" w:sz="8" w:color="F2F2F2"/>
            </w:tcBorders>
            <w:shd w:val="clear" w:color="auto" w:fill="F2F2F2"/>
          </w:tcPr>
          <w:p>
            <w:pPr>
              <w:spacing w:after="0"/>
              <w:rPr>
                <w:sz w:val="10"/>
                <w:szCs w:val="10"/>
                <w:color w:val="auto"/>
              </w:rPr>
            </w:pPr>
          </w:p>
        </w:tc>
        <w:tc>
          <w:tcPr>
            <w:tcW w:w="660" w:type="dxa"/>
            <w:vAlign w:val="bottom"/>
            <w:tcBorders>
              <w:bottom w:val="single" w:sz="8" w:color="F2F2F2"/>
            </w:tcBorders>
            <w:shd w:val="clear" w:color="auto" w:fill="F2F2F2"/>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Borders>
              <w:bottom w:val="single" w:sz="8" w:color="F2F2F2"/>
            </w:tcBorders>
            <w:shd w:val="clear" w:color="auto" w:fill="F2F2F2"/>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bottom w:val="single" w:sz="8" w:color="F2F2F2"/>
            </w:tcBorders>
            <w:shd w:val="clear" w:color="auto" w:fill="F2F2F2"/>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Borders>
              <w:bottom w:val="single" w:sz="8" w:color="F2F2F2"/>
            </w:tcBorders>
            <w:shd w:val="clear" w:color="auto" w:fill="F2F2F2"/>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A6A6A6"/>
            </w:tcBorders>
          </w:tcPr>
          <w:p>
            <w:pPr>
              <w:ind w:left="80"/>
              <w:spacing w:after="0"/>
              <w:rPr>
                <w:sz w:val="20"/>
                <w:szCs w:val="20"/>
                <w:color w:val="auto"/>
              </w:rPr>
            </w:pPr>
            <w:r>
              <w:rPr>
                <w:rFonts w:ascii="Calibri" w:cs="Calibri" w:eastAsia="Calibri" w:hAnsi="Calibri"/>
                <w:sz w:val="16"/>
                <w:szCs w:val="16"/>
                <w:b w:val="1"/>
                <w:bCs w:val="1"/>
                <w:color w:val="auto"/>
              </w:rPr>
              <w:t>DAVID K. FLOYD</w:t>
            </w:r>
          </w:p>
        </w:tc>
        <w:tc>
          <w:tcPr>
            <w:tcW w:w="1100" w:type="dxa"/>
            <w:vAlign w:val="bottom"/>
            <w:tcBorders>
              <w:top w:val="single" w:sz="8" w:color="A6A6A6"/>
            </w:tcBorders>
          </w:tcPr>
          <w:p>
            <w:pPr>
              <w:spacing w:after="0"/>
              <w:rPr>
                <w:sz w:val="18"/>
                <w:szCs w:val="18"/>
                <w:color w:val="auto"/>
              </w:rPr>
            </w:pPr>
          </w:p>
        </w:tc>
        <w:tc>
          <w:tcPr>
            <w:tcW w:w="460" w:type="dxa"/>
            <w:vAlign w:val="bottom"/>
            <w:tcBorders>
              <w:top w:val="single" w:sz="8" w:color="A6A6A6"/>
            </w:tcBorders>
            <w:vMerge w:val="restart"/>
          </w:tcPr>
          <w:p>
            <w:pPr>
              <w:jc w:val="center"/>
              <w:spacing w:after="0"/>
              <w:rPr>
                <w:sz w:val="20"/>
                <w:szCs w:val="20"/>
                <w:color w:val="auto"/>
              </w:rPr>
            </w:pPr>
            <w:r>
              <w:rPr>
                <w:rFonts w:ascii="Calibri" w:cs="Calibri" w:eastAsia="Calibri" w:hAnsi="Calibri"/>
                <w:sz w:val="16"/>
                <w:szCs w:val="16"/>
                <w:color w:val="auto"/>
                <w:w w:val="98"/>
              </w:rPr>
              <w:t>63</w:t>
            </w:r>
          </w:p>
        </w:tc>
        <w:tc>
          <w:tcPr>
            <w:tcW w:w="120" w:type="dxa"/>
            <w:vAlign w:val="bottom"/>
            <w:tcBorders>
              <w:top w:val="single" w:sz="8" w:color="A6A6A6"/>
            </w:tcBorders>
            <w:shd w:val="clear" w:color="auto" w:fill="F2F2F2"/>
          </w:tcPr>
          <w:p>
            <w:pPr>
              <w:spacing w:after="0"/>
              <w:rPr>
                <w:sz w:val="18"/>
                <w:szCs w:val="18"/>
                <w:color w:val="auto"/>
              </w:rPr>
            </w:pPr>
          </w:p>
        </w:tc>
        <w:tc>
          <w:tcPr>
            <w:tcW w:w="660" w:type="dxa"/>
            <w:vAlign w:val="bottom"/>
            <w:tcBorders>
              <w:top w:val="single" w:sz="8" w:color="A6A6A6"/>
            </w:tcBorders>
            <w:vMerge w:val="restart"/>
            <w:shd w:val="clear" w:color="auto" w:fill="F2F2F2"/>
          </w:tcPr>
          <w:p>
            <w:pPr>
              <w:jc w:val="center"/>
              <w:ind w:right="39"/>
              <w:spacing w:after="0"/>
              <w:rPr>
                <w:sz w:val="20"/>
                <w:szCs w:val="20"/>
                <w:color w:val="auto"/>
              </w:rPr>
            </w:pPr>
            <w:r>
              <w:rPr>
                <w:rFonts w:ascii="Calibri" w:cs="Calibri" w:eastAsia="Calibri" w:hAnsi="Calibri"/>
                <w:sz w:val="16"/>
                <w:szCs w:val="16"/>
                <w:color w:val="auto"/>
              </w:rPr>
              <w:t>2020</w:t>
            </w:r>
          </w:p>
        </w:tc>
        <w:tc>
          <w:tcPr>
            <w:tcW w:w="740" w:type="dxa"/>
            <w:vAlign w:val="bottom"/>
            <w:tcBorders>
              <w:top w:val="single" w:sz="8" w:color="A6A6A6"/>
            </w:tcBorders>
            <w:vMerge w:val="restart"/>
          </w:tcPr>
          <w:p>
            <w:pPr>
              <w:jc w:val="center"/>
              <w:spacing w:after="0"/>
              <w:rPr>
                <w:sz w:val="20"/>
                <w:szCs w:val="20"/>
                <w:color w:val="auto"/>
              </w:rPr>
            </w:pPr>
            <w:r>
              <w:rPr>
                <w:rFonts w:ascii="Calibri" w:cs="Calibri" w:eastAsia="Calibri" w:hAnsi="Calibri"/>
                <w:sz w:val="16"/>
                <w:szCs w:val="16"/>
                <w:color w:val="auto"/>
              </w:rPr>
              <w:t>2026</w:t>
            </w:r>
          </w:p>
        </w:tc>
        <w:tc>
          <w:tcPr>
            <w:tcW w:w="1120" w:type="dxa"/>
            <w:vAlign w:val="bottom"/>
            <w:tcBorders>
              <w:top w:val="single" w:sz="8" w:color="A6A6A6"/>
            </w:tcBorders>
            <w:vMerge w:val="restart"/>
            <w:shd w:val="clear" w:color="auto" w:fill="F2F2F2"/>
          </w:tcPr>
          <w:p>
            <w:pPr>
              <w:jc w:val="center"/>
              <w:spacing w:after="0"/>
              <w:rPr>
                <w:sz w:val="20"/>
                <w:szCs w:val="20"/>
                <w:color w:val="auto"/>
              </w:rPr>
            </w:pPr>
            <w:r>
              <w:rPr>
                <w:rFonts w:ascii="Calibri" w:cs="Calibri" w:eastAsia="Calibri" w:hAnsi="Calibri"/>
                <w:sz w:val="16"/>
                <w:szCs w:val="16"/>
                <w:color w:val="auto"/>
                <w:w w:val="99"/>
              </w:rPr>
              <w:t>Yes</w:t>
            </w:r>
          </w:p>
        </w:tc>
        <w:tc>
          <w:tcPr>
            <w:tcW w:w="300" w:type="dxa"/>
            <w:vAlign w:val="bottom"/>
            <w:tcBorders>
              <w:top w:val="single" w:sz="8" w:color="A6A6A6"/>
            </w:tcBorders>
          </w:tcPr>
          <w:p>
            <w:pPr>
              <w:spacing w:after="0"/>
              <w:rPr>
                <w:sz w:val="18"/>
                <w:szCs w:val="18"/>
                <w:color w:val="auto"/>
              </w:rPr>
            </w:pPr>
          </w:p>
        </w:tc>
        <w:tc>
          <w:tcPr>
            <w:tcW w:w="160" w:type="dxa"/>
            <w:vAlign w:val="bottom"/>
            <w:tcBorders>
              <w:top w:val="single" w:sz="8" w:color="A6A6A6"/>
            </w:tcBorders>
          </w:tcPr>
          <w:p>
            <w:pPr>
              <w:spacing w:after="0"/>
              <w:rPr>
                <w:sz w:val="18"/>
                <w:szCs w:val="18"/>
                <w:color w:val="auto"/>
              </w:rPr>
            </w:pPr>
          </w:p>
        </w:tc>
        <w:tc>
          <w:tcPr>
            <w:tcW w:w="460" w:type="dxa"/>
            <w:vAlign w:val="bottom"/>
            <w:tcBorders>
              <w:top w:val="single" w:sz="8" w:color="A6A6A6"/>
            </w:tcBorders>
            <w:shd w:val="clear" w:color="auto" w:fill="F2F2F2"/>
          </w:tcPr>
          <w:p>
            <w:pPr>
              <w:spacing w:after="0"/>
              <w:rPr>
                <w:sz w:val="18"/>
                <w:szCs w:val="18"/>
                <w:color w:val="auto"/>
              </w:rPr>
            </w:pPr>
          </w:p>
        </w:tc>
        <w:tc>
          <w:tcPr>
            <w:tcW w:w="460" w:type="dxa"/>
            <w:vAlign w:val="bottom"/>
            <w:tcBorders>
              <w:top w:val="single" w:sz="8" w:color="A6A6A6"/>
            </w:tcBorders>
          </w:tcPr>
          <w:p>
            <w:pPr>
              <w:spacing w:after="0"/>
              <w:rPr>
                <w:sz w:val="18"/>
                <w:szCs w:val="18"/>
                <w:color w:val="auto"/>
              </w:rPr>
            </w:pPr>
          </w:p>
        </w:tc>
        <w:tc>
          <w:tcPr>
            <w:tcW w:w="560" w:type="dxa"/>
            <w:vAlign w:val="bottom"/>
            <w:tcBorders>
              <w:top w:val="single" w:sz="8" w:color="A6A6A6"/>
            </w:tcBorders>
            <w:vMerge w:val="restart"/>
            <w:shd w:val="clear" w:color="auto" w:fill="F2F2F2"/>
          </w:tcPr>
          <w:p>
            <w:pPr>
              <w:jc w:val="center"/>
              <w:spacing w:after="0"/>
              <w:rPr>
                <w:sz w:val="20"/>
                <w:szCs w:val="20"/>
                <w:color w:val="auto"/>
              </w:rPr>
            </w:pPr>
            <w:r>
              <w:rPr>
                <w:rFonts w:ascii="Arial" w:cs="Arial" w:eastAsia="Arial" w:hAnsi="Arial"/>
                <w:sz w:val="16"/>
                <w:szCs w:val="16"/>
                <w:color w:val="auto"/>
                <w:w w:val="82"/>
              </w:rPr>
              <w:t>●</w:t>
            </w:r>
          </w:p>
        </w:tc>
        <w:tc>
          <w:tcPr>
            <w:tcW w:w="420" w:type="dxa"/>
            <w:vAlign w:val="bottom"/>
            <w:tcBorders>
              <w:top w:val="single" w:sz="8" w:color="A6A6A6"/>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0"/>
        </w:trPr>
        <w:tc>
          <w:tcPr>
            <w:tcW w:w="3120" w:type="dxa"/>
            <w:vAlign w:val="bottom"/>
            <w:gridSpan w:val="2"/>
            <w:vMerge w:val="restart"/>
          </w:tcPr>
          <w:p>
            <w:pPr>
              <w:ind w:left="80"/>
              <w:spacing w:after="0"/>
              <w:rPr>
                <w:sz w:val="20"/>
                <w:szCs w:val="20"/>
                <w:color w:val="auto"/>
              </w:rPr>
            </w:pPr>
            <w:r>
              <w:rPr>
                <w:rFonts w:ascii="Calibri" w:cs="Calibri" w:eastAsia="Calibri" w:hAnsi="Calibri"/>
                <w:sz w:val="16"/>
                <w:szCs w:val="16"/>
                <w:i w:val="1"/>
                <w:iCs w:val="1"/>
                <w:color w:val="auto"/>
              </w:rPr>
              <w:t>Former Group President, Stryker Corporaton</w:t>
            </w:r>
          </w:p>
        </w:tc>
        <w:tc>
          <w:tcPr>
            <w:tcW w:w="460" w:type="dxa"/>
            <w:vAlign w:val="bottom"/>
            <w:vMerge w:val="continue"/>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660" w:type="dxa"/>
            <w:vAlign w:val="bottom"/>
            <w:vMerge w:val="continue"/>
            <w:shd w:val="clear" w:color="auto" w:fill="F2F2F2"/>
          </w:tcPr>
          <w:p>
            <w:pPr>
              <w:spacing w:after="0"/>
              <w:rPr>
                <w:sz w:val="10"/>
                <w:szCs w:val="10"/>
                <w:color w:val="auto"/>
              </w:rPr>
            </w:pPr>
          </w:p>
        </w:tc>
        <w:tc>
          <w:tcPr>
            <w:tcW w:w="740" w:type="dxa"/>
            <w:vAlign w:val="bottom"/>
            <w:vMerge w:val="continue"/>
          </w:tcPr>
          <w:p>
            <w:pPr>
              <w:spacing w:after="0"/>
              <w:rPr>
                <w:sz w:val="10"/>
                <w:szCs w:val="10"/>
                <w:color w:val="auto"/>
              </w:rPr>
            </w:pPr>
          </w:p>
        </w:tc>
        <w:tc>
          <w:tcPr>
            <w:tcW w:w="1120" w:type="dxa"/>
            <w:vAlign w:val="bottom"/>
            <w:vMerge w:val="continue"/>
            <w:shd w:val="clear" w:color="auto" w:fill="F2F2F2"/>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shd w:val="clear" w:color="auto" w:fill="F2F2F2"/>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vMerge w:val="continue"/>
            <w:shd w:val="clear" w:color="auto" w:fill="F2F2F2"/>
          </w:tcPr>
          <w:p>
            <w:pPr>
              <w:spacing w:after="0"/>
              <w:rPr>
                <w:sz w:val="10"/>
                <w:szCs w:val="10"/>
                <w:color w:val="auto"/>
              </w:rPr>
            </w:pP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31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F2F2F2"/>
            </w:tcBorders>
            <w:shd w:val="clear" w:color="auto" w:fill="F2F2F2"/>
          </w:tcPr>
          <w:p>
            <w:pPr>
              <w:spacing w:after="0"/>
              <w:rPr>
                <w:sz w:val="14"/>
                <w:szCs w:val="14"/>
                <w:color w:val="auto"/>
              </w:rPr>
            </w:pPr>
          </w:p>
        </w:tc>
        <w:tc>
          <w:tcPr>
            <w:tcW w:w="660" w:type="dxa"/>
            <w:vAlign w:val="bottom"/>
            <w:tcBorders>
              <w:bottom w:val="single" w:sz="8" w:color="F2F2F2"/>
            </w:tcBorders>
            <w:shd w:val="clear" w:color="auto" w:fill="F2F2F2"/>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Borders>
              <w:bottom w:val="single" w:sz="8" w:color="F2F2F2"/>
            </w:tcBorders>
            <w:shd w:val="clear" w:color="auto" w:fill="F2F2F2"/>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F2F2F2"/>
            </w:tcBorders>
            <w:shd w:val="clear" w:color="auto" w:fill="F2F2F2"/>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Borders>
              <w:bottom w:val="single" w:sz="8" w:color="F2F2F2"/>
            </w:tcBorders>
            <w:shd w:val="clear" w:color="auto" w:fill="F2F2F2"/>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A6A6A6"/>
            </w:tcBorders>
          </w:tcPr>
          <w:p>
            <w:pPr>
              <w:ind w:left="80"/>
              <w:spacing w:after="0"/>
              <w:rPr>
                <w:sz w:val="20"/>
                <w:szCs w:val="20"/>
                <w:color w:val="auto"/>
              </w:rPr>
            </w:pPr>
            <w:r>
              <w:rPr>
                <w:rFonts w:ascii="Calibri" w:cs="Calibri" w:eastAsia="Calibri" w:hAnsi="Calibri"/>
                <w:sz w:val="16"/>
                <w:szCs w:val="16"/>
                <w:b w:val="1"/>
                <w:bCs w:val="1"/>
                <w:color w:val="auto"/>
              </w:rPr>
              <w:t>LYNNE N. WARD</w:t>
            </w:r>
          </w:p>
        </w:tc>
        <w:tc>
          <w:tcPr>
            <w:tcW w:w="1100" w:type="dxa"/>
            <w:vAlign w:val="bottom"/>
            <w:tcBorders>
              <w:top w:val="single" w:sz="8" w:color="A6A6A6"/>
            </w:tcBorders>
          </w:tcPr>
          <w:p>
            <w:pPr>
              <w:spacing w:after="0"/>
              <w:rPr>
                <w:sz w:val="18"/>
                <w:szCs w:val="18"/>
                <w:color w:val="auto"/>
              </w:rPr>
            </w:pPr>
          </w:p>
        </w:tc>
        <w:tc>
          <w:tcPr>
            <w:tcW w:w="460" w:type="dxa"/>
            <w:vAlign w:val="bottom"/>
            <w:tcBorders>
              <w:top w:val="single" w:sz="8" w:color="A6A6A6"/>
            </w:tcBorders>
          </w:tcPr>
          <w:p>
            <w:pPr>
              <w:spacing w:after="0"/>
              <w:rPr>
                <w:sz w:val="18"/>
                <w:szCs w:val="18"/>
                <w:color w:val="auto"/>
              </w:rPr>
            </w:pPr>
          </w:p>
        </w:tc>
        <w:tc>
          <w:tcPr>
            <w:tcW w:w="120" w:type="dxa"/>
            <w:vAlign w:val="bottom"/>
            <w:tcBorders>
              <w:top w:val="single" w:sz="8" w:color="A6A6A6"/>
            </w:tcBorders>
            <w:shd w:val="clear" w:color="auto" w:fill="F2F2F2"/>
          </w:tcPr>
          <w:p>
            <w:pPr>
              <w:spacing w:after="0"/>
              <w:rPr>
                <w:sz w:val="18"/>
                <w:szCs w:val="18"/>
                <w:color w:val="auto"/>
              </w:rPr>
            </w:pPr>
          </w:p>
        </w:tc>
        <w:tc>
          <w:tcPr>
            <w:tcW w:w="660" w:type="dxa"/>
            <w:vAlign w:val="bottom"/>
            <w:tcBorders>
              <w:top w:val="single" w:sz="8" w:color="A6A6A6"/>
            </w:tcBorders>
            <w:shd w:val="clear" w:color="auto" w:fill="F2F2F2"/>
          </w:tcPr>
          <w:p>
            <w:pPr>
              <w:spacing w:after="0"/>
              <w:rPr>
                <w:sz w:val="18"/>
                <w:szCs w:val="18"/>
                <w:color w:val="auto"/>
              </w:rPr>
            </w:pPr>
          </w:p>
        </w:tc>
        <w:tc>
          <w:tcPr>
            <w:tcW w:w="740" w:type="dxa"/>
            <w:vAlign w:val="bottom"/>
            <w:tcBorders>
              <w:top w:val="single" w:sz="8" w:color="A6A6A6"/>
            </w:tcBorders>
          </w:tcPr>
          <w:p>
            <w:pPr>
              <w:spacing w:after="0"/>
              <w:rPr>
                <w:sz w:val="18"/>
                <w:szCs w:val="18"/>
                <w:color w:val="auto"/>
              </w:rPr>
            </w:pPr>
          </w:p>
        </w:tc>
        <w:tc>
          <w:tcPr>
            <w:tcW w:w="1120" w:type="dxa"/>
            <w:vAlign w:val="bottom"/>
            <w:tcBorders>
              <w:top w:val="single" w:sz="8" w:color="A6A6A6"/>
            </w:tcBorders>
            <w:shd w:val="clear" w:color="auto" w:fill="F2F2F2"/>
          </w:tcPr>
          <w:p>
            <w:pPr>
              <w:spacing w:after="0"/>
              <w:rPr>
                <w:sz w:val="18"/>
                <w:szCs w:val="18"/>
                <w:color w:val="auto"/>
              </w:rPr>
            </w:pPr>
          </w:p>
        </w:tc>
        <w:tc>
          <w:tcPr>
            <w:tcW w:w="460" w:type="dxa"/>
            <w:vAlign w:val="bottom"/>
            <w:tcBorders>
              <w:top w:val="single" w:sz="8" w:color="A6A6A6"/>
            </w:tcBorders>
            <w:gridSpan w:val="2"/>
            <w:vMerge w:val="restart"/>
          </w:tcPr>
          <w:p>
            <w:pPr>
              <w:jc w:val="center"/>
              <w:spacing w:after="0"/>
              <w:rPr>
                <w:sz w:val="20"/>
                <w:szCs w:val="20"/>
                <w:color w:val="auto"/>
              </w:rPr>
            </w:pPr>
            <w:r>
              <w:rPr>
                <w:rFonts w:ascii="Arial" w:cs="Arial" w:eastAsia="Arial" w:hAnsi="Arial"/>
                <w:sz w:val="25"/>
                <w:szCs w:val="25"/>
                <w:color w:val="AF0000"/>
              </w:rPr>
              <w:t>□</w:t>
            </w:r>
          </w:p>
        </w:tc>
        <w:tc>
          <w:tcPr>
            <w:tcW w:w="460" w:type="dxa"/>
            <w:vAlign w:val="bottom"/>
            <w:tcBorders>
              <w:top w:val="single" w:sz="8" w:color="A6A6A6"/>
            </w:tcBorders>
            <w:shd w:val="clear" w:color="auto" w:fill="F2F2F2"/>
          </w:tcPr>
          <w:p>
            <w:pPr>
              <w:spacing w:after="0"/>
              <w:rPr>
                <w:sz w:val="18"/>
                <w:szCs w:val="18"/>
                <w:color w:val="auto"/>
              </w:rPr>
            </w:pPr>
          </w:p>
        </w:tc>
        <w:tc>
          <w:tcPr>
            <w:tcW w:w="460" w:type="dxa"/>
            <w:vAlign w:val="bottom"/>
            <w:tcBorders>
              <w:top w:val="single" w:sz="8" w:color="A6A6A6"/>
            </w:tcBorders>
            <w:vMerge w:val="restart"/>
          </w:tcPr>
          <w:p>
            <w:pPr>
              <w:jc w:val="cente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6A6A6"/>
            </w:tcBorders>
            <w:vMerge w:val="restart"/>
            <w:shd w:val="clear" w:color="auto" w:fill="F2F2F2"/>
          </w:tcPr>
          <w:p>
            <w:pPr>
              <w:jc w:val="center"/>
              <w:spacing w:after="0"/>
              <w:rPr>
                <w:sz w:val="20"/>
                <w:szCs w:val="20"/>
                <w:color w:val="auto"/>
              </w:rPr>
            </w:pPr>
            <w:r>
              <w:rPr>
                <w:rFonts w:ascii="Arial" w:cs="Arial" w:eastAsia="Arial" w:hAnsi="Arial"/>
                <w:sz w:val="16"/>
                <w:szCs w:val="16"/>
                <w:color w:val="auto"/>
                <w:w w:val="82"/>
              </w:rPr>
              <w:t>●</w:t>
            </w:r>
          </w:p>
        </w:tc>
        <w:tc>
          <w:tcPr>
            <w:tcW w:w="420" w:type="dxa"/>
            <w:vAlign w:val="bottom"/>
            <w:tcBorders>
              <w:top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gridSpan w:val="2"/>
          </w:tcPr>
          <w:p>
            <w:pPr>
              <w:ind w:left="80"/>
              <w:spacing w:after="0"/>
              <w:rPr>
                <w:sz w:val="20"/>
                <w:szCs w:val="20"/>
                <w:color w:val="auto"/>
              </w:rPr>
            </w:pPr>
            <w:r>
              <w:rPr>
                <w:rFonts w:ascii="Calibri" w:cs="Calibri" w:eastAsia="Calibri" w:hAnsi="Calibri"/>
                <w:sz w:val="16"/>
                <w:szCs w:val="16"/>
                <w:i w:val="1"/>
                <w:iCs w:val="1"/>
                <w:color w:val="auto"/>
              </w:rPr>
              <w:t>Former Executve Director of my529</w:t>
            </w:r>
          </w:p>
        </w:tc>
        <w:tc>
          <w:tcPr>
            <w:tcW w:w="460" w:type="dxa"/>
            <w:vAlign w:val="bottom"/>
          </w:tcPr>
          <w:p>
            <w:pPr>
              <w:jc w:val="center"/>
              <w:spacing w:after="0"/>
              <w:rPr>
                <w:sz w:val="20"/>
                <w:szCs w:val="20"/>
                <w:color w:val="auto"/>
              </w:rPr>
            </w:pPr>
            <w:r>
              <w:rPr>
                <w:rFonts w:ascii="Calibri" w:cs="Calibri" w:eastAsia="Calibri" w:hAnsi="Calibri"/>
                <w:sz w:val="16"/>
                <w:szCs w:val="16"/>
                <w:color w:val="auto"/>
                <w:w w:val="98"/>
              </w:rPr>
              <w:t>65</w:t>
            </w:r>
          </w:p>
        </w:tc>
        <w:tc>
          <w:tcPr>
            <w:tcW w:w="120" w:type="dxa"/>
            <w:vAlign w:val="bottom"/>
            <w:shd w:val="clear" w:color="auto" w:fill="F2F2F2"/>
          </w:tcPr>
          <w:p>
            <w:pPr>
              <w:spacing w:after="0"/>
              <w:rPr>
                <w:sz w:val="19"/>
                <w:szCs w:val="19"/>
                <w:color w:val="auto"/>
              </w:rPr>
            </w:pPr>
          </w:p>
        </w:tc>
        <w:tc>
          <w:tcPr>
            <w:tcW w:w="660" w:type="dxa"/>
            <w:vAlign w:val="bottom"/>
            <w:shd w:val="clear" w:color="auto" w:fill="F2F2F2"/>
          </w:tcPr>
          <w:p>
            <w:pPr>
              <w:jc w:val="center"/>
              <w:ind w:right="39"/>
              <w:spacing w:after="0"/>
              <w:rPr>
                <w:sz w:val="20"/>
                <w:szCs w:val="20"/>
                <w:color w:val="auto"/>
              </w:rPr>
            </w:pPr>
            <w:r>
              <w:rPr>
                <w:rFonts w:ascii="Calibri" w:cs="Calibri" w:eastAsia="Calibri" w:hAnsi="Calibri"/>
                <w:sz w:val="16"/>
                <w:szCs w:val="16"/>
                <w:color w:val="auto"/>
              </w:rPr>
              <w:t>2019</w:t>
            </w:r>
          </w:p>
        </w:tc>
        <w:tc>
          <w:tcPr>
            <w:tcW w:w="740" w:type="dxa"/>
            <w:vAlign w:val="bottom"/>
          </w:tcPr>
          <w:p>
            <w:pPr>
              <w:jc w:val="center"/>
              <w:spacing w:after="0"/>
              <w:rPr>
                <w:sz w:val="20"/>
                <w:szCs w:val="20"/>
                <w:color w:val="auto"/>
              </w:rPr>
            </w:pPr>
            <w:r>
              <w:rPr>
                <w:rFonts w:ascii="Calibri" w:cs="Calibri" w:eastAsia="Calibri" w:hAnsi="Calibri"/>
                <w:sz w:val="16"/>
                <w:szCs w:val="16"/>
                <w:color w:val="auto"/>
              </w:rPr>
              <w:t>2026</w:t>
            </w:r>
          </w:p>
        </w:tc>
        <w:tc>
          <w:tcPr>
            <w:tcW w:w="112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w w:val="99"/>
              </w:rPr>
              <w:t>Yes</w:t>
            </w:r>
          </w:p>
        </w:tc>
        <w:tc>
          <w:tcPr>
            <w:tcW w:w="460" w:type="dxa"/>
            <w:vAlign w:val="bottom"/>
            <w:gridSpan w:val="2"/>
            <w:vMerge w:val="continue"/>
          </w:tcPr>
          <w:p>
            <w:pPr>
              <w:spacing w:after="0"/>
              <w:rPr>
                <w:sz w:val="19"/>
                <w:szCs w:val="19"/>
                <w:color w:val="auto"/>
              </w:rPr>
            </w:pPr>
          </w:p>
        </w:tc>
        <w:tc>
          <w:tcPr>
            <w:tcW w:w="460" w:type="dxa"/>
            <w:vAlign w:val="bottom"/>
            <w:shd w:val="clear" w:color="auto" w:fill="F2F2F2"/>
          </w:tcPr>
          <w:p>
            <w:pPr>
              <w:spacing w:after="0"/>
              <w:rPr>
                <w:sz w:val="19"/>
                <w:szCs w:val="19"/>
                <w:color w:val="auto"/>
              </w:rPr>
            </w:pPr>
          </w:p>
        </w:tc>
        <w:tc>
          <w:tcPr>
            <w:tcW w:w="460" w:type="dxa"/>
            <w:vAlign w:val="bottom"/>
            <w:vMerge w:val="continue"/>
          </w:tcPr>
          <w:p>
            <w:pPr>
              <w:spacing w:after="0"/>
              <w:rPr>
                <w:sz w:val="19"/>
                <w:szCs w:val="19"/>
                <w:color w:val="auto"/>
              </w:rPr>
            </w:pPr>
          </w:p>
        </w:tc>
        <w:tc>
          <w:tcPr>
            <w:tcW w:w="560" w:type="dxa"/>
            <w:vAlign w:val="bottom"/>
            <w:vMerge w:val="continue"/>
            <w:shd w:val="clear" w:color="auto" w:fill="F2F2F2"/>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120" w:type="dxa"/>
            <w:vAlign w:val="bottom"/>
            <w:gridSpan w:val="2"/>
          </w:tcPr>
          <w:p>
            <w:pPr>
              <w:ind w:left="80"/>
              <w:spacing w:after="0" w:line="193" w:lineRule="exact"/>
              <w:rPr>
                <w:sz w:val="20"/>
                <w:szCs w:val="20"/>
                <w:color w:val="auto"/>
              </w:rPr>
            </w:pPr>
            <w:r>
              <w:rPr>
                <w:rFonts w:ascii="Calibri" w:cs="Calibri" w:eastAsia="Calibri" w:hAnsi="Calibri"/>
                <w:sz w:val="16"/>
                <w:szCs w:val="16"/>
                <w:i w:val="1"/>
                <w:iCs w:val="1"/>
                <w:color w:val="auto"/>
              </w:rPr>
              <w:t>(formerly Utah Educatonal Savings Plan)</w:t>
            </w:r>
          </w:p>
        </w:tc>
        <w:tc>
          <w:tcPr>
            <w:tcW w:w="460" w:type="dxa"/>
            <w:vAlign w:val="bottom"/>
          </w:tcPr>
          <w:p>
            <w:pPr>
              <w:spacing w:after="0"/>
              <w:rPr>
                <w:sz w:val="22"/>
                <w:szCs w:val="22"/>
                <w:color w:val="auto"/>
              </w:rPr>
            </w:pPr>
          </w:p>
        </w:tc>
        <w:tc>
          <w:tcPr>
            <w:tcW w:w="120" w:type="dxa"/>
            <w:vAlign w:val="bottom"/>
            <w:tcBorders>
              <w:bottom w:val="single" w:sz="8" w:color="F2F2F2"/>
            </w:tcBorders>
            <w:shd w:val="clear" w:color="auto" w:fill="F2F2F2"/>
          </w:tcPr>
          <w:p>
            <w:pPr>
              <w:spacing w:after="0"/>
              <w:rPr>
                <w:sz w:val="22"/>
                <w:szCs w:val="22"/>
                <w:color w:val="auto"/>
              </w:rPr>
            </w:pPr>
          </w:p>
        </w:tc>
        <w:tc>
          <w:tcPr>
            <w:tcW w:w="660" w:type="dxa"/>
            <w:vAlign w:val="bottom"/>
            <w:tcBorders>
              <w:bottom w:val="single" w:sz="8" w:color="F2F2F2"/>
            </w:tcBorders>
            <w:shd w:val="clear" w:color="auto" w:fill="F2F2F2"/>
          </w:tcPr>
          <w:p>
            <w:pPr>
              <w:spacing w:after="0"/>
              <w:rPr>
                <w:sz w:val="22"/>
                <w:szCs w:val="22"/>
                <w:color w:val="auto"/>
              </w:rPr>
            </w:pPr>
          </w:p>
        </w:tc>
        <w:tc>
          <w:tcPr>
            <w:tcW w:w="740" w:type="dxa"/>
            <w:vAlign w:val="bottom"/>
          </w:tcPr>
          <w:p>
            <w:pPr>
              <w:spacing w:after="0"/>
              <w:rPr>
                <w:sz w:val="22"/>
                <w:szCs w:val="22"/>
                <w:color w:val="auto"/>
              </w:rPr>
            </w:pPr>
          </w:p>
        </w:tc>
        <w:tc>
          <w:tcPr>
            <w:tcW w:w="1120" w:type="dxa"/>
            <w:vAlign w:val="bottom"/>
            <w:tcBorders>
              <w:bottom w:val="single" w:sz="8" w:color="F2F2F2"/>
            </w:tcBorders>
            <w:shd w:val="clear" w:color="auto" w:fill="F2F2F2"/>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Borders>
              <w:bottom w:val="single" w:sz="8" w:color="F2F2F2"/>
            </w:tcBorders>
            <w:shd w:val="clear" w:color="auto" w:fill="F2F2F2"/>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Borders>
              <w:bottom w:val="single" w:sz="8" w:color="F2F2F2"/>
            </w:tcBorders>
            <w:shd w:val="clear" w:color="auto" w:fill="F2F2F2"/>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020" w:type="dxa"/>
            <w:vAlign w:val="bottom"/>
            <w:tcBorders>
              <w:top w:val="single" w:sz="8" w:color="AF0000"/>
            </w:tcBorders>
          </w:tcPr>
          <w:p>
            <w:pPr>
              <w:ind w:left="80"/>
              <w:spacing w:after="0"/>
              <w:rPr>
                <w:sz w:val="20"/>
                <w:szCs w:val="20"/>
                <w:color w:val="auto"/>
              </w:rPr>
            </w:pPr>
            <w:r>
              <w:rPr>
                <w:rFonts w:ascii="Arial" w:cs="Arial" w:eastAsia="Arial" w:hAnsi="Arial"/>
                <w:sz w:val="16"/>
                <w:szCs w:val="16"/>
                <w:b w:val="1"/>
                <w:bCs w:val="1"/>
                <w:color w:val="AF0000"/>
              </w:rPr>
              <w:t>□</w:t>
            </w:r>
            <w:r>
              <w:rPr>
                <w:rFonts w:ascii="Calibri" w:cs="Calibri" w:eastAsia="Calibri" w:hAnsi="Calibri"/>
                <w:sz w:val="16"/>
                <w:szCs w:val="16"/>
                <w:color w:val="000000"/>
              </w:rPr>
              <w:t>: Commitee Chair</w:t>
            </w:r>
          </w:p>
        </w:tc>
        <w:tc>
          <w:tcPr>
            <w:tcW w:w="1680" w:type="dxa"/>
            <w:vAlign w:val="bottom"/>
            <w:tcBorders>
              <w:top w:val="single" w:sz="8" w:color="AF0000"/>
            </w:tcBorders>
            <w:gridSpan w:val="3"/>
          </w:tcPr>
          <w:p>
            <w:pPr>
              <w:spacing w:after="0"/>
              <w:rPr>
                <w:sz w:val="20"/>
                <w:szCs w:val="20"/>
                <w:color w:val="auto"/>
              </w:rPr>
            </w:pPr>
            <w:r>
              <w:rPr>
                <w:rFonts w:ascii="Calibri" w:cs="Calibri" w:eastAsia="Calibri" w:hAnsi="Calibri"/>
                <w:sz w:val="16"/>
                <w:szCs w:val="16"/>
                <w:b w:val="1"/>
                <w:bCs w:val="1"/>
                <w:color w:val="auto"/>
              </w:rPr>
              <w:t>A</w:t>
            </w:r>
            <w:r>
              <w:rPr>
                <w:rFonts w:ascii="Calibri" w:cs="Calibri" w:eastAsia="Calibri" w:hAnsi="Calibri"/>
                <w:sz w:val="16"/>
                <w:szCs w:val="16"/>
                <w:color w:val="auto"/>
              </w:rPr>
              <w:t>: Audit Commitee</w:t>
            </w:r>
          </w:p>
        </w:tc>
        <w:tc>
          <w:tcPr>
            <w:tcW w:w="660" w:type="dxa"/>
            <w:vAlign w:val="bottom"/>
            <w:tcBorders>
              <w:top w:val="single" w:sz="8" w:color="AF0000"/>
            </w:tcBorders>
          </w:tcPr>
          <w:p>
            <w:pPr>
              <w:spacing w:after="0"/>
              <w:rPr>
                <w:sz w:val="24"/>
                <w:szCs w:val="24"/>
                <w:color w:val="auto"/>
              </w:rPr>
            </w:pPr>
          </w:p>
        </w:tc>
        <w:tc>
          <w:tcPr>
            <w:tcW w:w="1860" w:type="dxa"/>
            <w:vAlign w:val="bottom"/>
            <w:tcBorders>
              <w:top w:val="single" w:sz="8" w:color="AF0000"/>
            </w:tcBorders>
            <w:gridSpan w:val="2"/>
          </w:tcPr>
          <w:p>
            <w:pPr>
              <w:ind w:left="20"/>
              <w:spacing w:after="0"/>
              <w:rPr>
                <w:sz w:val="20"/>
                <w:szCs w:val="20"/>
                <w:color w:val="auto"/>
              </w:rPr>
            </w:pPr>
            <w:r>
              <w:rPr>
                <w:rFonts w:ascii="Calibri" w:cs="Calibri" w:eastAsia="Calibri" w:hAnsi="Calibri"/>
                <w:sz w:val="16"/>
                <w:szCs w:val="16"/>
                <w:b w:val="1"/>
                <w:bCs w:val="1"/>
                <w:color w:val="auto"/>
              </w:rPr>
              <w:t>F</w:t>
            </w:r>
            <w:r>
              <w:rPr>
                <w:rFonts w:ascii="Calibri" w:cs="Calibri" w:eastAsia="Calibri" w:hAnsi="Calibri"/>
                <w:sz w:val="16"/>
                <w:szCs w:val="16"/>
                <w:color w:val="auto"/>
              </w:rPr>
              <w:t>: Finance Commitee</w:t>
            </w:r>
          </w:p>
        </w:tc>
        <w:tc>
          <w:tcPr>
            <w:tcW w:w="300" w:type="dxa"/>
            <w:vAlign w:val="bottom"/>
            <w:tcBorders>
              <w:top w:val="single" w:sz="8" w:color="AF0000"/>
            </w:tcBorders>
          </w:tcPr>
          <w:p>
            <w:pPr>
              <w:spacing w:after="0"/>
              <w:rPr>
                <w:sz w:val="24"/>
                <w:szCs w:val="24"/>
                <w:color w:val="auto"/>
              </w:rPr>
            </w:pPr>
          </w:p>
        </w:tc>
        <w:tc>
          <w:tcPr>
            <w:tcW w:w="1640" w:type="dxa"/>
            <w:vAlign w:val="bottom"/>
            <w:tcBorders>
              <w:top w:val="single" w:sz="8" w:color="AF0000"/>
            </w:tcBorders>
            <w:gridSpan w:val="4"/>
          </w:tcPr>
          <w:p>
            <w:pPr>
              <w:spacing w:after="0"/>
              <w:rPr>
                <w:sz w:val="20"/>
                <w:szCs w:val="20"/>
                <w:color w:val="auto"/>
              </w:rPr>
            </w:pPr>
            <w:r>
              <w:rPr>
                <w:rFonts w:ascii="Calibri" w:cs="Calibri" w:eastAsia="Calibri" w:hAnsi="Calibri"/>
                <w:sz w:val="16"/>
                <w:szCs w:val="16"/>
                <w:b w:val="1"/>
                <w:bCs w:val="1"/>
                <w:color w:val="auto"/>
              </w:rPr>
              <w:t>O</w:t>
            </w:r>
            <w:r>
              <w:rPr>
                <w:rFonts w:ascii="Calibri" w:cs="Calibri" w:eastAsia="Calibri" w:hAnsi="Calibri"/>
                <w:sz w:val="16"/>
                <w:szCs w:val="16"/>
                <w:color w:val="auto"/>
              </w:rPr>
              <w:t>: Operatng Commitee</w:t>
            </w:r>
          </w:p>
        </w:tc>
        <w:tc>
          <w:tcPr>
            <w:tcW w:w="420" w:type="dxa"/>
            <w:vAlign w:val="bottom"/>
            <w:tcBorders>
              <w:top w:val="single" w:sz="8" w:color="AF0000"/>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20" w:type="dxa"/>
            <w:vAlign w:val="bottom"/>
          </w:tcPr>
          <w:p>
            <w:pPr>
              <w:ind w:left="80"/>
              <w:spacing w:after="0"/>
              <w:rPr>
                <w:sz w:val="20"/>
                <w:szCs w:val="20"/>
                <w:color w:val="auto"/>
              </w:rPr>
            </w:pPr>
            <w:r>
              <w:rPr>
                <w:rFonts w:ascii="Arial" w:cs="Arial" w:eastAsia="Arial" w:hAnsi="Arial"/>
                <w:sz w:val="16"/>
                <w:szCs w:val="16"/>
                <w:color w:val="auto"/>
              </w:rPr>
              <w:t>●</w:t>
            </w:r>
            <w:r>
              <w:rPr>
                <w:rFonts w:ascii="Calibri" w:cs="Calibri" w:eastAsia="Calibri" w:hAnsi="Calibri"/>
                <w:sz w:val="16"/>
                <w:szCs w:val="16"/>
                <w:color w:val="auto"/>
              </w:rPr>
              <w:t>: Commitee Member</w:t>
            </w:r>
          </w:p>
        </w:tc>
        <w:tc>
          <w:tcPr>
            <w:tcW w:w="2340" w:type="dxa"/>
            <w:vAlign w:val="bottom"/>
            <w:gridSpan w:val="4"/>
          </w:tcPr>
          <w:p>
            <w:pPr>
              <w:spacing w:after="0"/>
              <w:rPr>
                <w:sz w:val="20"/>
                <w:szCs w:val="20"/>
                <w:color w:val="auto"/>
              </w:rPr>
            </w:pPr>
            <w:r>
              <w:rPr>
                <w:rFonts w:ascii="Calibri" w:cs="Calibri" w:eastAsia="Calibri" w:hAnsi="Calibri"/>
                <w:sz w:val="16"/>
                <w:szCs w:val="16"/>
                <w:b w:val="1"/>
                <w:bCs w:val="1"/>
                <w:color w:val="auto"/>
              </w:rPr>
              <w:t>C</w:t>
            </w:r>
            <w:r>
              <w:rPr>
                <w:rFonts w:ascii="Calibri" w:cs="Calibri" w:eastAsia="Calibri" w:hAnsi="Calibri"/>
                <w:sz w:val="16"/>
                <w:szCs w:val="16"/>
                <w:color w:val="auto"/>
              </w:rPr>
              <w:t>: Compensaton and Talent</w:t>
            </w:r>
          </w:p>
        </w:tc>
        <w:tc>
          <w:tcPr>
            <w:tcW w:w="1860" w:type="dxa"/>
            <w:vAlign w:val="bottom"/>
            <w:gridSpan w:val="2"/>
          </w:tcPr>
          <w:p>
            <w:pPr>
              <w:ind w:left="20"/>
              <w:spacing w:after="0"/>
              <w:rPr>
                <w:sz w:val="20"/>
                <w:szCs w:val="20"/>
                <w:color w:val="auto"/>
              </w:rPr>
            </w:pPr>
            <w:r>
              <w:rPr>
                <w:rFonts w:ascii="Calibri" w:cs="Calibri" w:eastAsia="Calibri" w:hAnsi="Calibri"/>
                <w:sz w:val="16"/>
                <w:szCs w:val="16"/>
                <w:b w:val="1"/>
                <w:bCs w:val="1"/>
                <w:color w:val="auto"/>
              </w:rPr>
              <w:t>G</w:t>
            </w:r>
            <w:r>
              <w:rPr>
                <w:rFonts w:ascii="Calibri" w:cs="Calibri" w:eastAsia="Calibri" w:hAnsi="Calibri"/>
                <w:sz w:val="16"/>
                <w:szCs w:val="16"/>
                <w:color w:val="auto"/>
              </w:rPr>
              <w:t>: Governance and</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20" w:type="dxa"/>
            <w:vAlign w:val="bottom"/>
          </w:tcPr>
          <w:p>
            <w:pPr>
              <w:spacing w:after="0"/>
              <w:rPr>
                <w:sz w:val="16"/>
                <w:szCs w:val="16"/>
                <w:color w:val="auto"/>
              </w:rPr>
            </w:pPr>
          </w:p>
        </w:tc>
        <w:tc>
          <w:tcPr>
            <w:tcW w:w="1680" w:type="dxa"/>
            <w:vAlign w:val="bottom"/>
            <w:gridSpan w:val="3"/>
          </w:tcPr>
          <w:p>
            <w:pPr>
              <w:spacing w:after="0" w:line="193" w:lineRule="exact"/>
              <w:rPr>
                <w:sz w:val="20"/>
                <w:szCs w:val="20"/>
                <w:color w:val="auto"/>
              </w:rPr>
            </w:pPr>
            <w:r>
              <w:rPr>
                <w:rFonts w:ascii="Calibri" w:cs="Calibri" w:eastAsia="Calibri" w:hAnsi="Calibri"/>
                <w:sz w:val="16"/>
                <w:szCs w:val="16"/>
                <w:color w:val="auto"/>
              </w:rPr>
              <w:t>Development Commitee</w:t>
            </w:r>
          </w:p>
        </w:tc>
        <w:tc>
          <w:tcPr>
            <w:tcW w:w="660" w:type="dxa"/>
            <w:vAlign w:val="bottom"/>
          </w:tcPr>
          <w:p>
            <w:pPr>
              <w:spacing w:after="0"/>
              <w:rPr>
                <w:sz w:val="16"/>
                <w:szCs w:val="16"/>
                <w:color w:val="auto"/>
              </w:rPr>
            </w:pPr>
          </w:p>
        </w:tc>
        <w:tc>
          <w:tcPr>
            <w:tcW w:w="18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Sustainability Commitee</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40" w:hanging="331"/>
        <w:spacing w:after="0" w:line="201" w:lineRule="auto"/>
        <w:tabs>
          <w:tab w:leader="none" w:pos="540" w:val="left"/>
        </w:tabs>
        <w:numPr>
          <w:ilvl w:val="0"/>
          <w:numId w:val="25"/>
        </w:numPr>
        <w:rPr>
          <w:rFonts w:ascii="Calibri" w:cs="Calibri" w:eastAsia="Calibri" w:hAnsi="Calibri"/>
          <w:sz w:val="29"/>
          <w:szCs w:val="29"/>
          <w:color w:val="AF0000"/>
          <w:vertAlign w:val="superscript"/>
        </w:rPr>
      </w:pPr>
      <w:r>
        <w:rPr>
          <w:rFonts w:ascii="Calibri" w:cs="Calibri" w:eastAsia="Calibri" w:hAnsi="Calibri"/>
          <w:sz w:val="16"/>
          <w:szCs w:val="16"/>
          <w:color w:val="auto"/>
        </w:rPr>
        <w:t>If elected at the Annual Meetng, Messrs. Lampropoulos and Evans and Ms. Perez would serve terms expiring in 2027.</w:t>
      </w:r>
    </w:p>
    <w:p>
      <w:pPr>
        <w:spacing w:after="0" w:line="129" w:lineRule="exact"/>
        <w:rPr>
          <w:rFonts w:ascii="Calibri" w:cs="Calibri" w:eastAsia="Calibri" w:hAnsi="Calibri"/>
          <w:sz w:val="29"/>
          <w:szCs w:val="29"/>
          <w:color w:val="AF0000"/>
          <w:vertAlign w:val="superscript"/>
        </w:rPr>
      </w:pPr>
    </w:p>
    <w:p>
      <w:pPr>
        <w:ind w:left="540" w:hanging="331"/>
        <w:spacing w:after="0" w:line="183" w:lineRule="auto"/>
        <w:tabs>
          <w:tab w:leader="none" w:pos="540" w:val="left"/>
        </w:tabs>
        <w:numPr>
          <w:ilvl w:val="0"/>
          <w:numId w:val="25"/>
        </w:numPr>
        <w:rPr>
          <w:rFonts w:ascii="Calibri" w:cs="Calibri" w:eastAsia="Calibri" w:hAnsi="Calibri"/>
          <w:sz w:val="18"/>
          <w:szCs w:val="18"/>
          <w:color w:val="AF0000"/>
          <w:vertAlign w:val="superscript"/>
        </w:rPr>
      </w:pPr>
      <w:r>
        <w:rPr>
          <w:rFonts w:ascii="Calibri" w:cs="Calibri" w:eastAsia="Calibri" w:hAnsi="Calibri"/>
          <w:sz w:val="12"/>
          <w:szCs w:val="12"/>
          <w:color w:val="auto"/>
        </w:rPr>
        <w:t>If Ms. Perez is elected at the Annual Meetng, the Board will determine her individual commitee assignments.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4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7" w:name="page8"/>
    <w:bookmarkEnd w:id="7"/>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PROXY STATEMENT SUMMARY</w:t>
      </w:r>
    </w:p>
    <w:p>
      <w:pPr>
        <w:spacing w:after="0" w:line="118"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Selected 2023 Highlights</w:t>
      </w:r>
    </w:p>
    <w:p>
      <w:pPr>
        <w:spacing w:after="0" w:line="128" w:lineRule="exact"/>
        <w:rPr>
          <w:sz w:val="20"/>
          <w:szCs w:val="20"/>
          <w:color w:val="auto"/>
        </w:rPr>
      </w:pPr>
    </w:p>
    <w:tbl>
      <w:tblPr>
        <w:tblLayout w:type="fixed"/>
        <w:tblInd w:w="220" w:type="dxa"/>
        <w:tblCellMar>
          <w:top w:w="0" w:type="dxa"/>
          <w:left w:w="0" w:type="dxa"/>
          <w:bottom w:w="0" w:type="dxa"/>
          <w:right w:w="0" w:type="dxa"/>
        </w:tblCellMar>
      </w:tblPr>
      <w:tr>
        <w:trPr>
          <w:trHeight w:val="391"/>
        </w:trPr>
        <w:tc>
          <w:tcPr>
            <w:tcW w:w="2580" w:type="dxa"/>
            <w:vAlign w:val="bottom"/>
            <w:shd w:val="clear" w:color="auto" w:fill="AF0000"/>
          </w:tcPr>
          <w:p>
            <w:pPr>
              <w:jc w:val="center"/>
              <w:spacing w:after="0"/>
              <w:rPr>
                <w:sz w:val="20"/>
                <w:szCs w:val="20"/>
                <w:color w:val="auto"/>
              </w:rPr>
            </w:pPr>
            <w:r>
              <w:rPr>
                <w:rFonts w:ascii="Calibri" w:cs="Calibri" w:eastAsia="Calibri" w:hAnsi="Calibri"/>
                <w:sz w:val="22"/>
                <w:szCs w:val="22"/>
                <w:b w:val="1"/>
                <w:bCs w:val="1"/>
                <w:color w:val="FFFFFF"/>
                <w:w w:val="97"/>
              </w:rPr>
              <w:t>Revenue</w:t>
            </w:r>
          </w:p>
        </w:tc>
        <w:tc>
          <w:tcPr>
            <w:tcW w:w="300" w:type="dxa"/>
            <w:vAlign w:val="bottom"/>
          </w:tcPr>
          <w:p>
            <w:pPr>
              <w:spacing w:after="0"/>
              <w:rPr>
                <w:sz w:val="24"/>
                <w:szCs w:val="24"/>
                <w:color w:val="auto"/>
              </w:rPr>
            </w:pPr>
          </w:p>
        </w:tc>
        <w:tc>
          <w:tcPr>
            <w:tcW w:w="2780" w:type="dxa"/>
            <w:vAlign w:val="bottom"/>
            <w:shd w:val="clear" w:color="auto" w:fill="AF0000"/>
          </w:tcPr>
          <w:p>
            <w:pPr>
              <w:jc w:val="center"/>
              <w:spacing w:after="0"/>
              <w:rPr>
                <w:sz w:val="20"/>
                <w:szCs w:val="20"/>
                <w:color w:val="auto"/>
              </w:rPr>
            </w:pPr>
            <w:r>
              <w:rPr>
                <w:rFonts w:ascii="Calibri" w:cs="Calibri" w:eastAsia="Calibri" w:hAnsi="Calibri"/>
                <w:sz w:val="22"/>
                <w:szCs w:val="22"/>
                <w:b w:val="1"/>
                <w:bCs w:val="1"/>
                <w:color w:val="FFFFFF"/>
              </w:rPr>
              <w:t>OperatngCash Flow</w:t>
            </w:r>
          </w:p>
        </w:tc>
        <w:tc>
          <w:tcPr>
            <w:tcW w:w="320" w:type="dxa"/>
            <w:vAlign w:val="bottom"/>
          </w:tcPr>
          <w:p>
            <w:pPr>
              <w:spacing w:after="0"/>
              <w:rPr>
                <w:sz w:val="24"/>
                <w:szCs w:val="24"/>
                <w:color w:val="auto"/>
              </w:rPr>
            </w:pPr>
          </w:p>
        </w:tc>
        <w:tc>
          <w:tcPr>
            <w:tcW w:w="2600" w:type="dxa"/>
            <w:vAlign w:val="bottom"/>
            <w:shd w:val="clear" w:color="auto" w:fill="AF0000"/>
          </w:tcPr>
          <w:p>
            <w:pPr>
              <w:jc w:val="center"/>
              <w:spacing w:after="0"/>
              <w:rPr>
                <w:sz w:val="20"/>
                <w:szCs w:val="20"/>
                <w:color w:val="auto"/>
              </w:rPr>
            </w:pPr>
            <w:r>
              <w:rPr>
                <w:rFonts w:ascii="Calibri" w:cs="Calibri" w:eastAsia="Calibri" w:hAnsi="Calibri"/>
                <w:sz w:val="22"/>
                <w:szCs w:val="22"/>
                <w:b w:val="1"/>
                <w:bCs w:val="1"/>
                <w:color w:val="FFFFFF"/>
                <w:w w:val="91"/>
              </w:rPr>
              <w:t xml:space="preserve">5-Year TSR </w:t>
            </w:r>
            <w:r>
              <w:rPr>
                <w:rFonts w:ascii="Calibri" w:cs="Calibri" w:eastAsia="Calibri" w:hAnsi="Calibri"/>
                <w:sz w:val="32"/>
                <w:szCs w:val="32"/>
                <w:b w:val="1"/>
                <w:bCs w:val="1"/>
                <w:color w:val="FFFFFF"/>
                <w:w w:val="91"/>
                <w:vertAlign w:val="superscript"/>
              </w:rPr>
              <w:t>(1)</w:t>
            </w:r>
          </w:p>
        </w:tc>
      </w:tr>
      <w:tr>
        <w:trPr>
          <w:trHeight w:val="258"/>
        </w:trPr>
        <w:tc>
          <w:tcPr>
            <w:tcW w:w="2580" w:type="dxa"/>
            <w:vAlign w:val="bottom"/>
          </w:tcPr>
          <w:p>
            <w:pPr>
              <w:jc w:val="center"/>
              <w:spacing w:after="0" w:line="258" w:lineRule="exact"/>
              <w:rPr>
                <w:sz w:val="20"/>
                <w:szCs w:val="20"/>
                <w:color w:val="auto"/>
              </w:rPr>
            </w:pPr>
            <w:r>
              <w:rPr>
                <w:rFonts w:ascii="Calibri" w:cs="Calibri" w:eastAsia="Calibri" w:hAnsi="Calibri"/>
                <w:sz w:val="22"/>
                <w:szCs w:val="22"/>
                <w:b w:val="1"/>
                <w:bCs w:val="1"/>
                <w:color w:val="auto"/>
                <w:w w:val="98"/>
              </w:rPr>
              <w:t>$1.257 billion</w:t>
            </w:r>
          </w:p>
        </w:tc>
        <w:tc>
          <w:tcPr>
            <w:tcW w:w="300" w:type="dxa"/>
            <w:vAlign w:val="bottom"/>
          </w:tcPr>
          <w:p>
            <w:pPr>
              <w:spacing w:after="0"/>
              <w:rPr>
                <w:sz w:val="22"/>
                <w:szCs w:val="22"/>
                <w:color w:val="auto"/>
              </w:rPr>
            </w:pPr>
          </w:p>
        </w:tc>
        <w:tc>
          <w:tcPr>
            <w:tcW w:w="2780" w:type="dxa"/>
            <w:vAlign w:val="bottom"/>
          </w:tcPr>
          <w:p>
            <w:pPr>
              <w:jc w:val="center"/>
              <w:spacing w:after="0" w:line="258" w:lineRule="exact"/>
              <w:rPr>
                <w:sz w:val="20"/>
                <w:szCs w:val="20"/>
                <w:color w:val="auto"/>
              </w:rPr>
            </w:pPr>
            <w:r>
              <w:rPr>
                <w:rFonts w:ascii="Calibri" w:cs="Calibri" w:eastAsia="Calibri" w:hAnsi="Calibri"/>
                <w:sz w:val="22"/>
                <w:szCs w:val="22"/>
                <w:b w:val="1"/>
                <w:bCs w:val="1"/>
                <w:color w:val="auto"/>
                <w:w w:val="97"/>
              </w:rPr>
              <w:t>$145 million</w:t>
            </w:r>
          </w:p>
        </w:tc>
        <w:tc>
          <w:tcPr>
            <w:tcW w:w="320" w:type="dxa"/>
            <w:vAlign w:val="bottom"/>
          </w:tcPr>
          <w:p>
            <w:pPr>
              <w:spacing w:after="0"/>
              <w:rPr>
                <w:sz w:val="22"/>
                <w:szCs w:val="22"/>
                <w:color w:val="auto"/>
              </w:rPr>
            </w:pPr>
          </w:p>
        </w:tc>
        <w:tc>
          <w:tcPr>
            <w:tcW w:w="2600" w:type="dxa"/>
            <w:vAlign w:val="bottom"/>
          </w:tcPr>
          <w:p>
            <w:pPr>
              <w:jc w:val="right"/>
              <w:ind w:right="1012"/>
              <w:spacing w:after="0" w:line="258" w:lineRule="exact"/>
              <w:rPr>
                <w:sz w:val="20"/>
                <w:szCs w:val="20"/>
                <w:color w:val="auto"/>
              </w:rPr>
            </w:pPr>
            <w:r>
              <w:rPr>
                <w:rFonts w:ascii="Calibri" w:cs="Calibri" w:eastAsia="Calibri" w:hAnsi="Calibri"/>
                <w:sz w:val="22"/>
                <w:szCs w:val="22"/>
                <w:b w:val="1"/>
                <w:bCs w:val="1"/>
                <w:color w:val="auto"/>
              </w:rPr>
              <w:t>36%</w:t>
            </w:r>
          </w:p>
        </w:tc>
      </w:tr>
    </w:tbl>
    <w:p>
      <w:pPr>
        <w:spacing w:after="0" w:line="214" w:lineRule="exact"/>
        <w:rPr>
          <w:sz w:val="20"/>
          <w:szCs w:val="20"/>
          <w:color w:val="auto"/>
        </w:rPr>
      </w:pPr>
    </w:p>
    <w:p>
      <w:pPr>
        <w:ind w:left="540" w:right="499" w:hanging="331"/>
        <w:spacing w:after="0" w:line="233" w:lineRule="auto"/>
        <w:tabs>
          <w:tab w:leader="none" w:pos="540" w:val="left"/>
        </w:tabs>
        <w:numPr>
          <w:ilvl w:val="0"/>
          <w:numId w:val="26"/>
        </w:numPr>
        <w:rPr>
          <w:rFonts w:ascii="Calibri" w:cs="Calibri" w:eastAsia="Calibri" w:hAnsi="Calibri"/>
          <w:sz w:val="14"/>
          <w:szCs w:val="14"/>
          <w:color w:val="AF0000"/>
        </w:rPr>
      </w:pPr>
      <w:r>
        <w:rPr>
          <w:rFonts w:ascii="Calibri" w:cs="Calibri" w:eastAsia="Calibri" w:hAnsi="Calibri"/>
          <w:sz w:val="14"/>
          <w:szCs w:val="14"/>
          <w:color w:val="auto"/>
        </w:rPr>
        <w:t>Refects fve-year cumulatve total return of our Common Stock, as reported on the Nasdaq Global Select Market System (</w:t>
      </w:r>
      <w:r>
        <w:rPr>
          <w:rFonts w:ascii="Calibri" w:cs="Calibri" w:eastAsia="Calibri" w:hAnsi="Calibri"/>
          <w:sz w:val="14"/>
          <w:szCs w:val="14"/>
          <w:u w:val="single" w:color="auto"/>
          <w:color w:val="AF0000"/>
        </w:rPr>
        <w:t>Nasdaq</w:t>
      </w:r>
      <w:r>
        <w:rPr>
          <w:rFonts w:ascii="Calibri" w:cs="Calibri" w:eastAsia="Calibri" w:hAnsi="Calibri"/>
          <w:sz w:val="14"/>
          <w:szCs w:val="14"/>
          <w:color w:val="auto"/>
        </w:rPr>
        <w:t>) for the period from December 31, 2018 to December 31, 2023. Past results are not necessarily an indicator of future performance.</w:t>
      </w:r>
    </w:p>
    <w:p>
      <w:pPr>
        <w:spacing w:after="0" w:line="182" w:lineRule="exact"/>
        <w:rPr>
          <w:sz w:val="20"/>
          <w:szCs w:val="20"/>
          <w:color w:val="auto"/>
        </w:rPr>
      </w:pPr>
    </w:p>
    <w:p>
      <w:pPr>
        <w:ind w:left="1600"/>
        <w:spacing w:after="0"/>
        <w:tabs>
          <w:tab w:leader="none" w:pos="5600" w:val="left"/>
        </w:tabs>
        <w:rPr>
          <w:sz w:val="20"/>
          <w:szCs w:val="20"/>
          <w:color w:val="auto"/>
        </w:rPr>
      </w:pPr>
      <w:r>
        <w:rPr>
          <w:rFonts w:ascii="Calibri" w:cs="Calibri" w:eastAsia="Calibri" w:hAnsi="Calibri"/>
          <w:sz w:val="22"/>
          <w:szCs w:val="22"/>
          <w:b w:val="1"/>
          <w:bCs w:val="1"/>
          <w:color w:val="FFFFFF"/>
        </w:rPr>
        <w:t>Environment</w:t>
      </w:r>
      <w:r>
        <w:rPr>
          <w:sz w:val="20"/>
          <w:szCs w:val="20"/>
          <w:color w:val="auto"/>
        </w:rPr>
        <w:tab/>
      </w:r>
      <w:r>
        <w:rPr>
          <w:rFonts w:ascii="Calibri" w:cs="Calibri" w:eastAsia="Calibri" w:hAnsi="Calibri"/>
          <w:sz w:val="22"/>
          <w:szCs w:val="22"/>
          <w:b w:val="1"/>
          <w:bCs w:val="1"/>
          <w:color w:val="FFFFFF"/>
        </w:rPr>
        <w:t>Foundatons for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-144145</wp:posOffset>
            </wp:positionV>
            <wp:extent cx="545211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2110" cy="16319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p>
      <w:pPr>
        <w:spacing w:after="0" w:line="1" w:lineRule="exact"/>
        <w:rPr>
          <w:sz w:val="20"/>
          <w:szCs w:val="20"/>
          <w:color w:val="auto"/>
        </w:rPr>
      </w:pPr>
    </w:p>
    <w:p>
      <w:pPr>
        <w:ind w:left="220"/>
        <w:spacing w:after="0" w:line="237" w:lineRule="auto"/>
        <w:rPr>
          <w:sz w:val="20"/>
          <w:szCs w:val="20"/>
          <w:color w:val="auto"/>
        </w:rPr>
      </w:pPr>
      <w:r>
        <w:rPr>
          <w:rFonts w:ascii="Calibri" w:cs="Calibri" w:eastAsia="Calibri" w:hAnsi="Calibri"/>
          <w:sz w:val="14"/>
          <w:szCs w:val="14"/>
          <w:color w:val="auto"/>
        </w:rPr>
        <w:t>Prioritzed reducton of environmental footprint by contnuing to implement programs to reduce waste, conserve resources and improve the areas where we do business</w:t>
      </w:r>
    </w:p>
    <w:p>
      <w:pPr>
        <w:spacing w:after="0" w:line="20" w:lineRule="exact"/>
        <w:rPr>
          <w:sz w:val="20"/>
          <w:szCs w:val="20"/>
          <w:color w:val="auto"/>
        </w:rPr>
      </w:pPr>
      <w:r>
        <w:rPr>
          <w:sz w:val="20"/>
          <w:szCs w:val="20"/>
          <w:color w:val="auto"/>
        </w:rPr>
        <w:br w:type="column"/>
      </w:r>
    </w:p>
    <w:p>
      <w:pPr>
        <w:ind w:right="479"/>
        <w:spacing w:after="0" w:line="237" w:lineRule="auto"/>
        <w:rPr>
          <w:sz w:val="20"/>
          <w:szCs w:val="20"/>
          <w:color w:val="auto"/>
        </w:rPr>
      </w:pPr>
      <w:r>
        <w:rPr>
          <w:rFonts w:ascii="Calibri" w:cs="Calibri" w:eastAsia="Calibri" w:hAnsi="Calibri"/>
          <w:sz w:val="14"/>
          <w:szCs w:val="14"/>
          <w:color w:val="auto"/>
        </w:rPr>
        <w:t>Completed the fnal year of our Foundatons for Growth Program, delivering or exceeding each of the fnancial targets outlined for the three-year period ended December 31, 2023</w:t>
      </w:r>
    </w:p>
    <w:p>
      <w:pPr>
        <w:spacing w:after="0" w:line="200" w:lineRule="exact"/>
        <w:rPr>
          <w:sz w:val="20"/>
          <w:szCs w:val="20"/>
          <w:color w:val="auto"/>
        </w:rPr>
      </w:pPr>
    </w:p>
    <w:p>
      <w:pPr>
        <w:sectPr>
          <w:pgSz w:w="11900" w:h="16838" w:orient="portrait"/>
          <w:cols w:equalWidth="0" w:num="2">
            <w:col w:w="3980" w:space="600"/>
            <w:col w:w="4439"/>
          </w:cols>
          <w:pgMar w:left="1440" w:top="504" w:right="1440" w:bottom="1440" w:gutter="0" w:footer="0" w:header="0"/>
          <w:type w:val="continuous"/>
        </w:sectPr>
      </w:pPr>
    </w:p>
    <w:p>
      <w:pPr>
        <w:spacing w:after="0" w:line="91"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Compensaton Highlights</w:t>
      </w:r>
    </w:p>
    <w:p>
      <w:pPr>
        <w:spacing w:after="0" w:line="213" w:lineRule="exact"/>
        <w:rPr>
          <w:sz w:val="20"/>
          <w:szCs w:val="20"/>
          <w:color w:val="auto"/>
        </w:rPr>
      </w:pPr>
    </w:p>
    <w:p>
      <w:pPr>
        <w:ind w:left="200" w:right="2979"/>
        <w:spacing w:after="0" w:line="233" w:lineRule="auto"/>
        <w:rPr>
          <w:sz w:val="20"/>
          <w:szCs w:val="20"/>
          <w:color w:val="auto"/>
        </w:rPr>
      </w:pPr>
      <w:r>
        <w:rPr>
          <w:rFonts w:ascii="Calibri" w:cs="Calibri" w:eastAsia="Calibri" w:hAnsi="Calibri"/>
          <w:sz w:val="18"/>
          <w:szCs w:val="18"/>
          <w:color w:val="auto"/>
        </w:rPr>
        <w:t>Consistent with our strong interest in shareholder engagement and our pay-for-performance approach, the Compensaton and Talent Development Commitee of our Board (</w:t>
      </w:r>
      <w:r>
        <w:rPr>
          <w:rFonts w:ascii="Calibri" w:cs="Calibri" w:eastAsia="Calibri" w:hAnsi="Calibri"/>
          <w:sz w:val="18"/>
          <w:szCs w:val="18"/>
          <w:u w:val="single" w:color="auto"/>
          <w:color w:val="AF0000"/>
        </w:rPr>
        <w:t>Compensaton Commitee</w:t>
      </w:r>
      <w:r>
        <w:rPr>
          <w:rFonts w:ascii="Calibri" w:cs="Calibri" w:eastAsia="Calibri" w:hAnsi="Calibri"/>
          <w:sz w:val="18"/>
          <w:szCs w:val="18"/>
          <w:color w:val="auto"/>
        </w:rPr>
        <w:t>) has contnued to refne our executve compensaton program to encourage alignment between the interests of our executves and shareholders. Shareholders have shown strong support for our executve compensaton program, with 96% of shareholders represented at our 2023 annual meetng votng in favor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-933450</wp:posOffset>
            </wp:positionV>
            <wp:extent cx="1320165" cy="1260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16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Calibri" w:cs="Calibri" w:eastAsia="Calibri" w:hAnsi="Calibri"/>
          <w:sz w:val="22"/>
          <w:szCs w:val="22"/>
          <w:b w:val="1"/>
          <w:bCs w:val="1"/>
          <w:color w:val="FFFFFF"/>
        </w:rPr>
        <w:t>We 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-144145</wp:posOffset>
            </wp:positionV>
            <wp:extent cx="545211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2110" cy="163195"/>
                    </a:xfrm>
                    <a:prstGeom prst="rect">
                      <a:avLst/>
                    </a:prstGeom>
                    <a:noFill/>
                  </pic:spPr>
                </pic:pic>
              </a:graphicData>
            </a:graphic>
          </wp:anchor>
        </w:drawing>
      </w:r>
    </w:p>
    <w:p>
      <w:pPr>
        <w:spacing w:after="0" w:line="51" w:lineRule="exact"/>
        <w:rPr>
          <w:sz w:val="20"/>
          <w:szCs w:val="20"/>
          <w:color w:val="auto"/>
        </w:rPr>
      </w:pPr>
    </w:p>
    <w:p>
      <w:pPr>
        <w:ind w:left="2640"/>
        <w:spacing w:after="0"/>
        <w:tabs>
          <w:tab w:leader="none" w:pos="7000" w:val="left"/>
        </w:tabs>
        <w:rPr>
          <w:sz w:val="20"/>
          <w:szCs w:val="20"/>
          <w:color w:val="auto"/>
        </w:rPr>
      </w:pPr>
      <w:r>
        <w:rPr>
          <w:rFonts w:ascii="Calibri" w:cs="Calibri" w:eastAsia="Calibri" w:hAnsi="Calibri"/>
          <w:sz w:val="40"/>
          <w:szCs w:val="40"/>
          <w:b w:val="1"/>
          <w:bCs w:val="1"/>
          <w:color w:val="auto"/>
        </w:rPr>
        <w:t>60%</w:t>
      </w:r>
      <w:r>
        <w:rPr>
          <w:sz w:val="20"/>
          <w:szCs w:val="20"/>
          <w:color w:val="auto"/>
        </w:rPr>
        <w:tab/>
      </w:r>
      <w:r>
        <w:rPr>
          <w:rFonts w:ascii="Calibri" w:cs="Calibri" w:eastAsia="Calibri" w:hAnsi="Calibri"/>
          <w:sz w:val="40"/>
          <w:szCs w:val="40"/>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-267335</wp:posOffset>
            </wp:positionV>
            <wp:extent cx="1405890" cy="1251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05890" cy="1251585"/>
                    </a:xfrm>
                    <a:prstGeom prst="rect">
                      <a:avLst/>
                    </a:prstGeom>
                    <a:noFill/>
                  </pic:spPr>
                </pic:pic>
              </a:graphicData>
            </a:graphic>
          </wp:anchor>
        </w:drawing>
      </w:r>
    </w:p>
    <w:p>
      <w:pPr>
        <w:spacing w:after="0" w:line="98" w:lineRule="exact"/>
        <w:rPr>
          <w:sz w:val="20"/>
          <w:szCs w:val="20"/>
          <w:color w:val="auto"/>
        </w:rPr>
      </w:pPr>
    </w:p>
    <w:p>
      <w:pPr>
        <w:ind w:left="2640"/>
        <w:spacing w:after="0"/>
        <w:tabs>
          <w:tab w:leader="none" w:pos="7000" w:val="left"/>
        </w:tabs>
        <w:rPr>
          <w:sz w:val="20"/>
          <w:szCs w:val="20"/>
          <w:color w:val="auto"/>
        </w:rPr>
      </w:pPr>
      <w:r>
        <w:rPr>
          <w:rFonts w:ascii="Calibri" w:cs="Calibri" w:eastAsia="Calibri" w:hAnsi="Calibri"/>
          <w:sz w:val="18"/>
          <w:szCs w:val="18"/>
          <w:color w:val="auto"/>
        </w:rPr>
        <w:t>60% of CEO’s target</w:t>
      </w:r>
      <w:r>
        <w:rPr>
          <w:sz w:val="20"/>
          <w:szCs w:val="20"/>
          <w:color w:val="auto"/>
        </w:rPr>
        <w:tab/>
      </w:r>
      <w:r>
        <w:rPr>
          <w:rFonts w:ascii="Calibri" w:cs="Calibri" w:eastAsia="Calibri" w:hAnsi="Calibri"/>
          <w:sz w:val="17"/>
          <w:szCs w:val="17"/>
          <w:color w:val="auto"/>
        </w:rPr>
        <w:t>60% of other named</w:t>
      </w:r>
    </w:p>
    <w:p>
      <w:pPr>
        <w:ind w:left="2640"/>
        <w:spacing w:after="0" w:line="235" w:lineRule="auto"/>
        <w:tabs>
          <w:tab w:leader="none" w:pos="7000" w:val="left"/>
        </w:tabs>
        <w:rPr>
          <w:sz w:val="20"/>
          <w:szCs w:val="20"/>
          <w:color w:val="auto"/>
        </w:rPr>
      </w:pPr>
      <w:r>
        <w:rPr>
          <w:rFonts w:ascii="Calibri" w:cs="Calibri" w:eastAsia="Calibri" w:hAnsi="Calibri"/>
          <w:sz w:val="18"/>
          <w:szCs w:val="18"/>
          <w:color w:val="auto"/>
        </w:rPr>
        <w:t>equity compensaton</w:t>
      </w:r>
      <w:r>
        <w:rPr>
          <w:sz w:val="20"/>
          <w:szCs w:val="20"/>
          <w:color w:val="auto"/>
        </w:rPr>
        <w:tab/>
      </w:r>
      <w:r>
        <w:rPr>
          <w:rFonts w:ascii="Calibri" w:cs="Calibri" w:eastAsia="Calibri" w:hAnsi="Calibri"/>
          <w:sz w:val="18"/>
          <w:szCs w:val="18"/>
          <w:color w:val="auto"/>
        </w:rPr>
        <w:t>executve ofcers’</w:t>
      </w:r>
    </w:p>
    <w:p>
      <w:pPr>
        <w:ind w:left="2640"/>
        <w:spacing w:after="0"/>
        <w:tabs>
          <w:tab w:leader="none" w:pos="7000" w:val="left"/>
        </w:tabs>
        <w:rPr>
          <w:sz w:val="20"/>
          <w:szCs w:val="20"/>
          <w:color w:val="auto"/>
        </w:rPr>
      </w:pPr>
      <w:r>
        <w:rPr>
          <w:rFonts w:ascii="Calibri" w:cs="Calibri" w:eastAsia="Calibri" w:hAnsi="Calibri"/>
          <w:sz w:val="18"/>
          <w:szCs w:val="18"/>
          <w:color w:val="auto"/>
        </w:rPr>
        <w:t>package is</w:t>
      </w:r>
      <w:r>
        <w:rPr>
          <w:sz w:val="20"/>
          <w:szCs w:val="20"/>
          <w:color w:val="auto"/>
        </w:rPr>
        <w:tab/>
      </w:r>
      <w:r>
        <w:rPr>
          <w:rFonts w:ascii="Calibri" w:cs="Calibri" w:eastAsia="Calibri" w:hAnsi="Calibri"/>
          <w:sz w:val="17"/>
          <w:szCs w:val="17"/>
          <w:color w:val="auto"/>
        </w:rPr>
        <w:t>target equity</w:t>
      </w:r>
    </w:p>
    <w:p>
      <w:pPr>
        <w:ind w:left="2640"/>
        <w:spacing w:after="0"/>
        <w:tabs>
          <w:tab w:leader="none" w:pos="7000" w:val="left"/>
        </w:tabs>
        <w:rPr>
          <w:sz w:val="20"/>
          <w:szCs w:val="20"/>
          <w:color w:val="auto"/>
        </w:rPr>
      </w:pPr>
      <w:r>
        <w:rPr>
          <w:rFonts w:ascii="Calibri" w:cs="Calibri" w:eastAsia="Calibri" w:hAnsi="Calibri"/>
          <w:sz w:val="18"/>
          <w:szCs w:val="18"/>
          <w:color w:val="auto"/>
        </w:rPr>
        <w:t>performance-based</w:t>
      </w:r>
      <w:r>
        <w:rPr>
          <w:sz w:val="20"/>
          <w:szCs w:val="20"/>
          <w:color w:val="auto"/>
        </w:rPr>
        <w:tab/>
      </w:r>
      <w:r>
        <w:rPr>
          <w:rFonts w:ascii="Calibri" w:cs="Calibri" w:eastAsia="Calibri" w:hAnsi="Calibri"/>
          <w:sz w:val="17"/>
          <w:szCs w:val="17"/>
          <w:color w:val="auto"/>
        </w:rPr>
        <w:t>compensaton package</w:t>
      </w:r>
    </w:p>
    <w:p>
      <w:pPr>
        <w:ind w:left="7020"/>
        <w:spacing w:after="0" w:line="236" w:lineRule="auto"/>
        <w:rPr>
          <w:sz w:val="20"/>
          <w:szCs w:val="20"/>
          <w:color w:val="auto"/>
        </w:rPr>
      </w:pPr>
      <w:r>
        <w:rPr>
          <w:rFonts w:ascii="Calibri" w:cs="Calibri" w:eastAsia="Calibri" w:hAnsi="Calibri"/>
          <w:sz w:val="18"/>
          <w:szCs w:val="18"/>
          <w:color w:val="auto"/>
        </w:rPr>
        <w:t>is performance-based</w:t>
      </w:r>
    </w:p>
    <w:p>
      <w:pPr>
        <w:spacing w:after="0" w:line="200" w:lineRule="exact"/>
        <w:rPr>
          <w:sz w:val="20"/>
          <w:szCs w:val="20"/>
          <w:color w:val="auto"/>
        </w:rPr>
      </w:pPr>
    </w:p>
    <w:p>
      <w:pPr>
        <w:spacing w:after="0" w:line="328" w:lineRule="exact"/>
        <w:rPr>
          <w:sz w:val="20"/>
          <w:szCs w:val="20"/>
          <w:color w:val="auto"/>
        </w:rPr>
      </w:pPr>
    </w:p>
    <w:p>
      <w:pPr>
        <w:ind w:left="200" w:right="319"/>
        <w:spacing w:after="0" w:line="235" w:lineRule="auto"/>
        <w:rPr>
          <w:sz w:val="20"/>
          <w:szCs w:val="20"/>
          <w:color w:val="auto"/>
        </w:rPr>
      </w:pPr>
      <w:r>
        <w:rPr>
          <w:rFonts w:ascii="Calibri" w:cs="Calibri" w:eastAsia="Calibri" w:hAnsi="Calibri"/>
          <w:sz w:val="18"/>
          <w:szCs w:val="18"/>
          <w:color w:val="auto"/>
        </w:rPr>
        <w:t>The Merit Medical Systems, Inc. 2018 Long-Term Incentve Plan, as amended (</w:t>
      </w:r>
      <w:r>
        <w:rPr>
          <w:rFonts w:ascii="Calibri" w:cs="Calibri" w:eastAsia="Calibri" w:hAnsi="Calibri"/>
          <w:sz w:val="18"/>
          <w:szCs w:val="18"/>
          <w:u w:val="single" w:color="auto"/>
          <w:color w:val="AF0000"/>
        </w:rPr>
        <w:t>2018 Incentve Plan</w:t>
      </w:r>
      <w:r>
        <w:rPr>
          <w:rFonts w:ascii="Calibri" w:cs="Calibri" w:eastAsia="Calibri" w:hAnsi="Calibri"/>
          <w:sz w:val="18"/>
          <w:szCs w:val="18"/>
          <w:color w:val="auto"/>
        </w:rPr>
        <w:t>), provides for the issuance of up to 6,100,000 shares of our Common Stock. Awards granted under the 2018 Incentve Plan generally have minimum vestng periods of not less than one year.</w:t>
      </w:r>
    </w:p>
    <w:p>
      <w:pPr>
        <w:spacing w:after="0" w:line="111" w:lineRule="exact"/>
        <w:rPr>
          <w:sz w:val="20"/>
          <w:szCs w:val="20"/>
          <w:color w:val="auto"/>
        </w:rPr>
      </w:pPr>
    </w:p>
    <w:p>
      <w:pPr>
        <w:ind w:left="200" w:right="379"/>
        <w:spacing w:after="0" w:line="235" w:lineRule="auto"/>
        <w:rPr>
          <w:sz w:val="20"/>
          <w:szCs w:val="20"/>
          <w:color w:val="auto"/>
        </w:rPr>
      </w:pPr>
      <w:r>
        <w:rPr>
          <w:rFonts w:ascii="Calibri" w:cs="Calibri" w:eastAsia="Calibri" w:hAnsi="Calibri"/>
          <w:sz w:val="18"/>
          <w:szCs w:val="18"/>
          <w:color w:val="auto"/>
        </w:rPr>
        <w:t>During 2020, we began a program of awarding performance-based restricted stock units under the provisions of the 2018 Incentve Plan, which tes a signifcant porton of executve equity compensaton to the achievement of operatng cash fow metrics, adjusted for the performance of our stock relatve to the Russell 2000 market index. These performance-based restricted stock units generally have a three-year performance period.</w:t>
      </w:r>
    </w:p>
    <w:p>
      <w:pPr>
        <w:spacing w:after="0" w:line="98" w:lineRule="exact"/>
        <w:rPr>
          <w:sz w:val="20"/>
          <w:szCs w:val="20"/>
          <w:color w:val="auto"/>
        </w:rPr>
      </w:pPr>
    </w:p>
    <w:p>
      <w:pPr>
        <w:ind w:left="200" w:right="259"/>
        <w:spacing w:after="0" w:line="249" w:lineRule="auto"/>
        <w:rPr>
          <w:sz w:val="20"/>
          <w:szCs w:val="20"/>
          <w:color w:val="auto"/>
        </w:rPr>
      </w:pPr>
      <w:r>
        <w:rPr>
          <w:rFonts w:ascii="Calibri" w:cs="Calibri" w:eastAsia="Calibri" w:hAnsi="Calibri"/>
          <w:sz w:val="17"/>
          <w:szCs w:val="17"/>
          <w:color w:val="auto"/>
        </w:rPr>
        <w:t>We ask that our shareholders approve, on an advisory basis, the compensaton of our Named Executve Ofcers (</w:t>
      </w:r>
      <w:r>
        <w:rPr>
          <w:rFonts w:ascii="Calibri" w:cs="Calibri" w:eastAsia="Calibri" w:hAnsi="Calibri"/>
          <w:sz w:val="17"/>
          <w:szCs w:val="17"/>
          <w:u w:val="single" w:color="auto"/>
          <w:color w:val="AF0000"/>
        </w:rPr>
        <w:t>NEOs</w:t>
      </w:r>
      <w:r>
        <w:rPr>
          <w:rFonts w:ascii="Calibri" w:cs="Calibri" w:eastAsia="Calibri" w:hAnsi="Calibri"/>
          <w:sz w:val="17"/>
          <w:szCs w:val="17"/>
          <w:color w:val="auto"/>
        </w:rPr>
        <w:t>). For additonal informaton regarding our executve compensaton practces, see “Compensaton Discussion and Analysis” in this Proxy Statement. We also ask that our shareholders approve an amendment to increase the number of shares authorized for issuance under the 2018 Incentve Plan. For additonal informaton about this amendment, see “Proposal</w:t>
      </w:r>
    </w:p>
    <w:p>
      <w:pPr>
        <w:spacing w:after="0" w:line="3" w:lineRule="exact"/>
        <w:rPr>
          <w:sz w:val="20"/>
          <w:szCs w:val="20"/>
          <w:color w:val="auto"/>
        </w:rPr>
      </w:pPr>
    </w:p>
    <w:p>
      <w:pPr>
        <w:ind w:left="200" w:right="239" w:firstLine="9"/>
        <w:spacing w:after="0" w:line="235" w:lineRule="auto"/>
        <w:tabs>
          <w:tab w:leader="none" w:pos="376"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Approval of an Amendment to the Merit Medical Systems, Inc. 2018 Long-Term Incentve Plan to Increase the Number of Shares of Common Stock Authorized for Issuance Thereunder by 3,000,000 Shares.”</w:t>
      </w:r>
    </w:p>
    <w:p>
      <w:pPr>
        <w:spacing w:after="0" w:line="200" w:lineRule="exact"/>
        <w:rPr>
          <w:sz w:val="20"/>
          <w:szCs w:val="20"/>
          <w:color w:val="auto"/>
        </w:rPr>
      </w:pPr>
    </w:p>
    <w:p>
      <w:pPr>
        <w:spacing w:after="0" w:line="325"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4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8" w:name="page9"/>
    <w:bookmarkEnd w:id="8"/>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CORPORATE GOVERNANCE AND RELATED MATTERS</w:t>
      </w:r>
    </w:p>
    <w:p>
      <w:pPr>
        <w:spacing w:after="0" w:line="158" w:lineRule="exact"/>
        <w:rPr>
          <w:sz w:val="20"/>
          <w:szCs w:val="20"/>
          <w:color w:val="auto"/>
        </w:rPr>
      </w:pPr>
    </w:p>
    <w:p>
      <w:pPr>
        <w:ind w:left="200"/>
        <w:spacing w:after="0"/>
        <w:rPr>
          <w:sz w:val="20"/>
          <w:szCs w:val="20"/>
          <w:color w:val="auto"/>
        </w:rPr>
      </w:pPr>
      <w:r>
        <w:rPr>
          <w:rFonts w:ascii="Calibri" w:cs="Calibri" w:eastAsia="Calibri" w:hAnsi="Calibri"/>
          <w:sz w:val="32"/>
          <w:szCs w:val="32"/>
          <w:b w:val="1"/>
          <w:bCs w:val="1"/>
          <w:color w:val="FFFFFF"/>
        </w:rPr>
        <w:t>CORPORATE GOVERNANCE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-221615</wp:posOffset>
            </wp:positionV>
            <wp:extent cx="545211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2110" cy="24003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180340</wp:posOffset>
            </wp:positionV>
            <wp:extent cx="27432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4320" cy="257175"/>
                    </a:xfrm>
                    <a:prstGeom prst="rect">
                      <a:avLst/>
                    </a:prstGeom>
                    <a:noFill/>
                  </pic:spPr>
                </pic:pic>
              </a:graphicData>
            </a:graphic>
          </wp:anchor>
        </w:drawing>
      </w:r>
    </w:p>
    <w:p>
      <w:pPr>
        <w:spacing w:after="0" w:line="278" w:lineRule="exact"/>
        <w:rPr>
          <w:sz w:val="20"/>
          <w:szCs w:val="20"/>
          <w:color w:val="auto"/>
        </w:rPr>
      </w:pPr>
    </w:p>
    <w:p>
      <w:pPr>
        <w:ind w:left="1000"/>
        <w:spacing w:after="0"/>
        <w:rPr>
          <w:sz w:val="20"/>
          <w:szCs w:val="20"/>
          <w:color w:val="auto"/>
        </w:rPr>
      </w:pPr>
      <w:r>
        <w:rPr>
          <w:rFonts w:ascii="Calibri" w:cs="Calibri" w:eastAsia="Calibri" w:hAnsi="Calibri"/>
          <w:sz w:val="25"/>
          <w:szCs w:val="25"/>
          <w:b w:val="1"/>
          <w:bCs w:val="1"/>
          <w:color w:val="AF0000"/>
        </w:rPr>
        <w:t>Governance Highlights</w:t>
      </w:r>
    </w:p>
    <w:p>
      <w:pPr>
        <w:spacing w:after="0" w:line="118" w:lineRule="exact"/>
        <w:rPr>
          <w:sz w:val="20"/>
          <w:szCs w:val="20"/>
          <w:color w:val="auto"/>
        </w:rPr>
      </w:pPr>
    </w:p>
    <w:p>
      <w:pPr>
        <w:ind w:left="1000" w:right="359"/>
        <w:spacing w:after="0" w:line="258" w:lineRule="auto"/>
        <w:rPr>
          <w:sz w:val="20"/>
          <w:szCs w:val="20"/>
          <w:color w:val="auto"/>
        </w:rPr>
      </w:pPr>
      <w:r>
        <w:rPr>
          <w:rFonts w:ascii="Calibri" w:cs="Calibri" w:eastAsia="Calibri" w:hAnsi="Calibri"/>
          <w:sz w:val="17"/>
          <w:szCs w:val="17"/>
          <w:color w:val="AF0000"/>
        </w:rPr>
        <w:t>The Board believes good governance is integral to achieving long-term value and is commited to governance policies and practces that beneft the Company and our shareholders. This belief is manifest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-268605</wp:posOffset>
            </wp:positionV>
            <wp:extent cx="26035" cy="3317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35" cy="331724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p>
      <w:pPr>
        <w:spacing w:after="0" w:line="111" w:lineRule="exact"/>
        <w:rPr>
          <w:sz w:val="20"/>
          <w:szCs w:val="20"/>
          <w:color w:val="auto"/>
        </w:rPr>
      </w:pPr>
    </w:p>
    <w:p>
      <w:pPr>
        <w:ind w:left="1340" w:right="20" w:hanging="332"/>
        <w:spacing w:after="0" w:line="242" w:lineRule="auto"/>
        <w:tabs>
          <w:tab w:leader="none" w:pos="1340" w:val="left"/>
        </w:tabs>
        <w:numPr>
          <w:ilvl w:val="0"/>
          <w:numId w:val="28"/>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Provided oversight and guidance to the Company’s management in the Company’s successful completon of the Foundatons for Growth Program, through which the Company achieved or exceeded the three-year goals relatng to revenue growth, operatng margin expansion and free cash fow generaton</w:t>
      </w:r>
    </w:p>
    <w:p>
      <w:pPr>
        <w:spacing w:after="0" w:line="38" w:lineRule="exact"/>
        <w:rPr>
          <w:rFonts w:ascii="Times New Roman" w:cs="Times New Roman" w:eastAsia="Times New Roman" w:hAnsi="Times New Roman"/>
          <w:sz w:val="16"/>
          <w:szCs w:val="16"/>
          <w:color w:val="AF0000"/>
        </w:rPr>
      </w:pPr>
    </w:p>
    <w:p>
      <w:pPr>
        <w:ind w:left="1340" w:right="80" w:hanging="332"/>
        <w:spacing w:after="0" w:line="239" w:lineRule="auto"/>
        <w:tabs>
          <w:tab w:leader="none" w:pos="1340" w:val="left"/>
        </w:tabs>
        <w:numPr>
          <w:ilvl w:val="0"/>
          <w:numId w:val="28"/>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Contnued enhanced focus on oversight of enterprise risk management, led by the Operatng Commitee of the Board (</w:t>
      </w:r>
      <w:r>
        <w:rPr>
          <w:rFonts w:ascii="Calibri" w:cs="Calibri" w:eastAsia="Calibri" w:hAnsi="Calibri"/>
          <w:sz w:val="16"/>
          <w:szCs w:val="16"/>
          <w:u w:val="single" w:color="auto"/>
          <w:color w:val="AF0000"/>
        </w:rPr>
        <w:t>Operatng Commitee</w:t>
      </w:r>
      <w:r>
        <w:rPr>
          <w:rFonts w:ascii="Calibri" w:cs="Calibri" w:eastAsia="Calibri" w:hAnsi="Calibri"/>
          <w:sz w:val="16"/>
          <w:szCs w:val="16"/>
          <w:color w:val="auto"/>
        </w:rPr>
        <w:t>)</w:t>
      </w:r>
    </w:p>
    <w:p>
      <w:pPr>
        <w:spacing w:after="0" w:line="50" w:lineRule="exact"/>
        <w:rPr>
          <w:rFonts w:ascii="Times New Roman" w:cs="Times New Roman" w:eastAsia="Times New Roman" w:hAnsi="Times New Roman"/>
          <w:sz w:val="16"/>
          <w:szCs w:val="16"/>
          <w:color w:val="AF0000"/>
        </w:rPr>
      </w:pPr>
    </w:p>
    <w:p>
      <w:pPr>
        <w:ind w:left="1340" w:right="180" w:hanging="332"/>
        <w:spacing w:after="0" w:line="235" w:lineRule="auto"/>
        <w:tabs>
          <w:tab w:leader="none" w:pos="1340" w:val="left"/>
        </w:tabs>
        <w:numPr>
          <w:ilvl w:val="0"/>
          <w:numId w:val="28"/>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Enhanced Board oversight of cybersecurity risk management and sustainable business practces</w:t>
      </w:r>
    </w:p>
    <w:p>
      <w:pPr>
        <w:spacing w:after="0" w:line="49" w:lineRule="exact"/>
        <w:rPr>
          <w:rFonts w:ascii="Times New Roman" w:cs="Times New Roman" w:eastAsia="Times New Roman" w:hAnsi="Times New Roman"/>
          <w:sz w:val="16"/>
          <w:szCs w:val="16"/>
          <w:color w:val="AF0000"/>
        </w:rPr>
      </w:pPr>
    </w:p>
    <w:p>
      <w:pPr>
        <w:ind w:left="1340" w:right="480" w:hanging="332"/>
        <w:spacing w:after="0" w:line="246" w:lineRule="auto"/>
        <w:tabs>
          <w:tab w:leader="none" w:pos="1340" w:val="left"/>
        </w:tabs>
        <w:numPr>
          <w:ilvl w:val="0"/>
          <w:numId w:val="28"/>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Highly independent Board – Nine of our ten Directors are independent</w:t>
      </w:r>
    </w:p>
    <w:p>
      <w:pPr>
        <w:spacing w:after="0" w:line="45" w:lineRule="exact"/>
        <w:rPr>
          <w:rFonts w:ascii="Times New Roman" w:cs="Times New Roman" w:eastAsia="Times New Roman" w:hAnsi="Times New Roman"/>
          <w:sz w:val="16"/>
          <w:szCs w:val="16"/>
          <w:color w:val="AF0000"/>
        </w:rPr>
      </w:pPr>
    </w:p>
    <w:p>
      <w:pPr>
        <w:jc w:val="both"/>
        <w:ind w:left="1340" w:hanging="332"/>
        <w:spacing w:after="0" w:line="239" w:lineRule="auto"/>
        <w:tabs>
          <w:tab w:leader="none" w:pos="1340" w:val="left"/>
        </w:tabs>
        <w:numPr>
          <w:ilvl w:val="0"/>
          <w:numId w:val="28"/>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Under the directon of the Board’s Governance and Sustainability Commitee (Governance Commitee) contnued Board refreshment practces</w:t>
      </w:r>
    </w:p>
    <w:p>
      <w:pPr>
        <w:spacing w:after="0" w:line="37" w:lineRule="exact"/>
        <w:rPr>
          <w:rFonts w:ascii="Times New Roman" w:cs="Times New Roman" w:eastAsia="Times New Roman" w:hAnsi="Times New Roman"/>
          <w:sz w:val="16"/>
          <w:szCs w:val="16"/>
          <w:color w:val="AF0000"/>
        </w:rPr>
      </w:pPr>
    </w:p>
    <w:p>
      <w:pPr>
        <w:ind w:left="1660" w:right="260" w:hanging="328"/>
        <w:spacing w:after="0" w:line="235" w:lineRule="auto"/>
        <w:tabs>
          <w:tab w:leader="none" w:pos="1660" w:val="left"/>
        </w:tabs>
        <w:numPr>
          <w:ilvl w:val="1"/>
          <w:numId w:val="28"/>
        </w:numPr>
        <w:rPr>
          <w:rFonts w:ascii="Calibri" w:cs="Calibri" w:eastAsia="Calibri" w:hAnsi="Calibri"/>
          <w:sz w:val="16"/>
          <w:szCs w:val="16"/>
          <w:color w:val="auto"/>
        </w:rPr>
      </w:pPr>
      <w:r>
        <w:rPr>
          <w:rFonts w:ascii="Calibri" w:cs="Calibri" w:eastAsia="Calibri" w:hAnsi="Calibri"/>
          <w:sz w:val="16"/>
          <w:szCs w:val="16"/>
          <w:color w:val="auto"/>
        </w:rPr>
        <w:t>Six new directors or nominees since 2019, increasing gender and racial diversity</w:t>
      </w:r>
    </w:p>
    <w:p>
      <w:pPr>
        <w:spacing w:after="0" w:line="36" w:lineRule="exact"/>
        <w:rPr>
          <w:rFonts w:ascii="Calibri" w:cs="Calibri" w:eastAsia="Calibri" w:hAnsi="Calibri"/>
          <w:sz w:val="16"/>
          <w:szCs w:val="16"/>
          <w:color w:val="auto"/>
        </w:rPr>
      </w:pPr>
    </w:p>
    <w:p>
      <w:pPr>
        <w:ind w:left="1660" w:right="60" w:hanging="328"/>
        <w:spacing w:after="0" w:line="246" w:lineRule="auto"/>
        <w:tabs>
          <w:tab w:leader="none" w:pos="1660" w:val="left"/>
        </w:tabs>
        <w:numPr>
          <w:ilvl w:val="1"/>
          <w:numId w:val="28"/>
        </w:numPr>
        <w:rPr>
          <w:rFonts w:ascii="Calibri" w:cs="Calibri" w:eastAsia="Calibri" w:hAnsi="Calibri"/>
          <w:sz w:val="16"/>
          <w:szCs w:val="16"/>
          <w:color w:val="auto"/>
        </w:rPr>
      </w:pPr>
      <w:r>
        <w:rPr>
          <w:rFonts w:ascii="Calibri" w:cs="Calibri" w:eastAsia="Calibri" w:hAnsi="Calibri"/>
          <w:sz w:val="16"/>
          <w:szCs w:val="16"/>
          <w:color w:val="auto"/>
        </w:rPr>
        <w:t>Added critcal medical industry, cybersecurity and fnancial expertse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728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2110" cy="728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330" w:right="399" w:hanging="330"/>
        <w:spacing w:after="0" w:line="239" w:lineRule="auto"/>
        <w:tabs>
          <w:tab w:leader="none" w:pos="330" w:val="left"/>
        </w:tabs>
        <w:numPr>
          <w:ilvl w:val="0"/>
          <w:numId w:val="29"/>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Developed and is providing oversight of a multfaceted succession plan in preparaton for the antcipated transiton in CEO responsibilites</w:t>
      </w:r>
    </w:p>
    <w:p>
      <w:pPr>
        <w:spacing w:after="0" w:line="46" w:lineRule="exact"/>
        <w:rPr>
          <w:rFonts w:ascii="Times New Roman" w:cs="Times New Roman" w:eastAsia="Times New Roman" w:hAnsi="Times New Roman"/>
          <w:sz w:val="16"/>
          <w:szCs w:val="16"/>
          <w:color w:val="AF0000"/>
        </w:rPr>
      </w:pPr>
    </w:p>
    <w:p>
      <w:pPr>
        <w:ind w:left="330" w:hanging="330"/>
        <w:spacing w:after="0"/>
        <w:tabs>
          <w:tab w:leader="none" w:pos="330" w:val="left"/>
        </w:tabs>
        <w:numPr>
          <w:ilvl w:val="0"/>
          <w:numId w:val="29"/>
        </w:numPr>
        <w:rPr>
          <w:rFonts w:ascii="Times New Roman" w:cs="Times New Roman" w:eastAsia="Times New Roman" w:hAnsi="Times New Roman"/>
          <w:sz w:val="18"/>
          <w:szCs w:val="18"/>
          <w:color w:val="AF0000"/>
        </w:rPr>
      </w:pPr>
      <w:r>
        <w:rPr>
          <w:rFonts w:ascii="Calibri" w:cs="Calibri" w:eastAsia="Calibri" w:hAnsi="Calibri"/>
          <w:sz w:val="16"/>
          <w:szCs w:val="16"/>
          <w:color w:val="auto"/>
        </w:rPr>
        <w:t>Strong and actve lead independent director</w:t>
      </w:r>
    </w:p>
    <w:p>
      <w:pPr>
        <w:spacing w:after="0" w:line="45" w:lineRule="exact"/>
        <w:rPr>
          <w:rFonts w:ascii="Times New Roman" w:cs="Times New Roman" w:eastAsia="Times New Roman" w:hAnsi="Times New Roman"/>
          <w:sz w:val="18"/>
          <w:szCs w:val="18"/>
          <w:color w:val="AF0000"/>
        </w:rPr>
      </w:pPr>
    </w:p>
    <w:p>
      <w:pPr>
        <w:ind w:left="330" w:hanging="330"/>
        <w:spacing w:after="0"/>
        <w:tabs>
          <w:tab w:leader="none" w:pos="330" w:val="left"/>
        </w:tabs>
        <w:numPr>
          <w:ilvl w:val="0"/>
          <w:numId w:val="29"/>
        </w:numPr>
        <w:rPr>
          <w:rFonts w:ascii="Times New Roman" w:cs="Times New Roman" w:eastAsia="Times New Roman" w:hAnsi="Times New Roman"/>
          <w:sz w:val="18"/>
          <w:szCs w:val="18"/>
          <w:color w:val="AF0000"/>
        </w:rPr>
      </w:pPr>
      <w:r>
        <w:rPr>
          <w:rFonts w:ascii="Calibri" w:cs="Calibri" w:eastAsia="Calibri" w:hAnsi="Calibri"/>
          <w:sz w:val="16"/>
          <w:szCs w:val="16"/>
          <w:color w:val="auto"/>
        </w:rPr>
        <w:t>Majority votng for all directors</w:t>
      </w:r>
    </w:p>
    <w:p>
      <w:pPr>
        <w:spacing w:after="0" w:line="35" w:lineRule="exact"/>
        <w:rPr>
          <w:rFonts w:ascii="Times New Roman" w:cs="Times New Roman" w:eastAsia="Times New Roman" w:hAnsi="Times New Roman"/>
          <w:sz w:val="18"/>
          <w:szCs w:val="18"/>
          <w:color w:val="AF0000"/>
        </w:rPr>
      </w:pPr>
    </w:p>
    <w:p>
      <w:pPr>
        <w:ind w:left="330" w:right="499" w:hanging="330"/>
        <w:spacing w:after="0" w:line="246" w:lineRule="auto"/>
        <w:tabs>
          <w:tab w:leader="none" w:pos="330" w:val="left"/>
        </w:tabs>
        <w:numPr>
          <w:ilvl w:val="0"/>
          <w:numId w:val="29"/>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Average Board tenure of independent directors is less than fve and one-half years</w:t>
      </w:r>
    </w:p>
    <w:p>
      <w:pPr>
        <w:spacing w:after="0" w:line="45" w:lineRule="exact"/>
        <w:rPr>
          <w:rFonts w:ascii="Times New Roman" w:cs="Times New Roman" w:eastAsia="Times New Roman" w:hAnsi="Times New Roman"/>
          <w:sz w:val="16"/>
          <w:szCs w:val="16"/>
          <w:color w:val="AF0000"/>
        </w:rPr>
      </w:pPr>
    </w:p>
    <w:p>
      <w:pPr>
        <w:ind w:left="330" w:right="579" w:hanging="330"/>
        <w:spacing w:after="0" w:line="237" w:lineRule="auto"/>
        <w:tabs>
          <w:tab w:leader="none" w:pos="330" w:val="left"/>
        </w:tabs>
        <w:numPr>
          <w:ilvl w:val="0"/>
          <w:numId w:val="29"/>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Completed the third phase of a three-year evaluaton cycle focused on assessing and enhancing the efectveness of the Board and its commitees and members</w:t>
      </w:r>
    </w:p>
    <w:p>
      <w:pPr>
        <w:spacing w:after="0" w:line="50" w:lineRule="exact"/>
        <w:rPr>
          <w:rFonts w:ascii="Times New Roman" w:cs="Times New Roman" w:eastAsia="Times New Roman" w:hAnsi="Times New Roman"/>
          <w:sz w:val="16"/>
          <w:szCs w:val="16"/>
          <w:color w:val="AF0000"/>
        </w:rPr>
      </w:pPr>
    </w:p>
    <w:p>
      <w:pPr>
        <w:ind w:left="330" w:hanging="330"/>
        <w:spacing w:after="0"/>
        <w:tabs>
          <w:tab w:leader="none" w:pos="330" w:val="left"/>
        </w:tabs>
        <w:numPr>
          <w:ilvl w:val="0"/>
          <w:numId w:val="29"/>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Enhanced Insider Trading Policy</w:t>
      </w:r>
    </w:p>
    <w:p>
      <w:pPr>
        <w:spacing w:after="0" w:line="34" w:lineRule="exact"/>
        <w:rPr>
          <w:rFonts w:ascii="Times New Roman" w:cs="Times New Roman" w:eastAsia="Times New Roman" w:hAnsi="Times New Roman"/>
          <w:sz w:val="16"/>
          <w:szCs w:val="16"/>
          <w:color w:val="AF0000"/>
        </w:rPr>
      </w:pPr>
    </w:p>
    <w:p>
      <w:pPr>
        <w:ind w:left="330" w:hanging="330"/>
        <w:spacing w:after="0"/>
        <w:tabs>
          <w:tab w:leader="none" w:pos="330" w:val="left"/>
        </w:tabs>
        <w:numPr>
          <w:ilvl w:val="0"/>
          <w:numId w:val="29"/>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Regular executve sessions of independent directors</w:t>
      </w:r>
    </w:p>
    <w:p>
      <w:pPr>
        <w:spacing w:after="0" w:line="47" w:lineRule="exact"/>
        <w:rPr>
          <w:rFonts w:ascii="Times New Roman" w:cs="Times New Roman" w:eastAsia="Times New Roman" w:hAnsi="Times New Roman"/>
          <w:sz w:val="16"/>
          <w:szCs w:val="16"/>
          <w:color w:val="AF0000"/>
        </w:rPr>
      </w:pPr>
    </w:p>
    <w:p>
      <w:pPr>
        <w:ind w:left="330" w:hanging="330"/>
        <w:spacing w:after="0"/>
        <w:tabs>
          <w:tab w:leader="none" w:pos="330" w:val="left"/>
        </w:tabs>
        <w:numPr>
          <w:ilvl w:val="0"/>
          <w:numId w:val="29"/>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Annual independent director evaluaton of CEO</w:t>
      </w:r>
    </w:p>
    <w:p>
      <w:pPr>
        <w:spacing w:after="0" w:line="49" w:lineRule="exact"/>
        <w:rPr>
          <w:rFonts w:ascii="Times New Roman" w:cs="Times New Roman" w:eastAsia="Times New Roman" w:hAnsi="Times New Roman"/>
          <w:sz w:val="16"/>
          <w:szCs w:val="16"/>
          <w:color w:val="AF0000"/>
        </w:rPr>
      </w:pPr>
    </w:p>
    <w:p>
      <w:pPr>
        <w:ind w:left="330" w:right="799" w:hanging="330"/>
        <w:spacing w:after="0" w:line="235" w:lineRule="auto"/>
        <w:tabs>
          <w:tab w:leader="none" w:pos="330" w:val="left"/>
        </w:tabs>
        <w:numPr>
          <w:ilvl w:val="0"/>
          <w:numId w:val="29"/>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Comprehensive code of ethics and corporate governance guidelines</w:t>
      </w:r>
    </w:p>
    <w:p>
      <w:pPr>
        <w:spacing w:after="0" w:line="47" w:lineRule="exact"/>
        <w:rPr>
          <w:rFonts w:ascii="Times New Roman" w:cs="Times New Roman" w:eastAsia="Times New Roman" w:hAnsi="Times New Roman"/>
          <w:sz w:val="16"/>
          <w:szCs w:val="16"/>
          <w:color w:val="AF0000"/>
        </w:rPr>
      </w:pPr>
    </w:p>
    <w:p>
      <w:pPr>
        <w:ind w:left="330" w:hanging="330"/>
        <w:spacing w:after="0"/>
        <w:tabs>
          <w:tab w:leader="none" w:pos="330" w:val="left"/>
        </w:tabs>
        <w:numPr>
          <w:ilvl w:val="0"/>
          <w:numId w:val="29"/>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Robust stock ownership guidelines for directors and</w:t>
      </w:r>
    </w:p>
    <w:p>
      <w:pPr>
        <w:spacing w:after="0" w:line="7" w:lineRule="exact"/>
        <w:rPr>
          <w:rFonts w:ascii="Times New Roman" w:cs="Times New Roman" w:eastAsia="Times New Roman" w:hAnsi="Times New Roman"/>
          <w:sz w:val="16"/>
          <w:szCs w:val="16"/>
          <w:color w:val="AF0000"/>
        </w:rPr>
      </w:pPr>
    </w:p>
    <w:p>
      <w:pPr>
        <w:ind w:left="330"/>
        <w:spacing w:after="0"/>
        <w:rPr>
          <w:rFonts w:ascii="Times New Roman" w:cs="Times New Roman" w:eastAsia="Times New Roman" w:hAnsi="Times New Roman"/>
          <w:sz w:val="16"/>
          <w:szCs w:val="16"/>
          <w:color w:val="AF0000"/>
        </w:rPr>
      </w:pPr>
      <w:r>
        <w:rPr>
          <w:rFonts w:ascii="Calibri" w:cs="Calibri" w:eastAsia="Calibri" w:hAnsi="Calibri"/>
          <w:sz w:val="16"/>
          <w:szCs w:val="16"/>
          <w:color w:val="auto"/>
        </w:rPr>
        <w:t>CEO</w:t>
      </w:r>
    </w:p>
    <w:p>
      <w:pPr>
        <w:spacing w:after="0" w:line="48" w:lineRule="exact"/>
        <w:rPr>
          <w:rFonts w:ascii="Times New Roman" w:cs="Times New Roman" w:eastAsia="Times New Roman" w:hAnsi="Times New Roman"/>
          <w:sz w:val="16"/>
          <w:szCs w:val="16"/>
          <w:color w:val="AF0000"/>
        </w:rPr>
      </w:pPr>
    </w:p>
    <w:p>
      <w:pPr>
        <w:ind w:left="330" w:right="559" w:hanging="330"/>
        <w:spacing w:after="0" w:line="235" w:lineRule="auto"/>
        <w:tabs>
          <w:tab w:leader="none" w:pos="330" w:val="left"/>
        </w:tabs>
        <w:numPr>
          <w:ilvl w:val="0"/>
          <w:numId w:val="29"/>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No shareholder rights plan (“poison pill”) or dual class capitalizaton structure</w:t>
      </w:r>
    </w:p>
    <w:p>
      <w:pPr>
        <w:spacing w:after="0" w:line="58" w:lineRule="exact"/>
        <w:rPr>
          <w:rFonts w:ascii="Times New Roman" w:cs="Times New Roman" w:eastAsia="Times New Roman" w:hAnsi="Times New Roman"/>
          <w:sz w:val="16"/>
          <w:szCs w:val="16"/>
          <w:color w:val="AF0000"/>
        </w:rPr>
      </w:pPr>
    </w:p>
    <w:p>
      <w:pPr>
        <w:ind w:left="330" w:hanging="330"/>
        <w:spacing w:after="0"/>
        <w:tabs>
          <w:tab w:leader="none" w:pos="330" w:val="left"/>
        </w:tabs>
        <w:numPr>
          <w:ilvl w:val="0"/>
          <w:numId w:val="29"/>
        </w:numPr>
        <w:rPr>
          <w:rFonts w:ascii="Times New Roman" w:cs="Times New Roman" w:eastAsia="Times New Roman" w:hAnsi="Times New Roman"/>
          <w:sz w:val="18"/>
          <w:szCs w:val="18"/>
          <w:color w:val="AF0000"/>
        </w:rPr>
      </w:pPr>
      <w:r>
        <w:rPr>
          <w:rFonts w:ascii="Calibri" w:cs="Calibri" w:eastAsia="Calibri" w:hAnsi="Calibri"/>
          <w:sz w:val="16"/>
          <w:szCs w:val="16"/>
          <w:color w:val="auto"/>
        </w:rPr>
        <w:t>Annual “say-on-pay” advisory votes</w:t>
      </w:r>
    </w:p>
    <w:p>
      <w:pPr>
        <w:spacing w:after="0" w:line="200" w:lineRule="exact"/>
        <w:rPr>
          <w:sz w:val="20"/>
          <w:szCs w:val="20"/>
          <w:color w:val="auto"/>
        </w:rPr>
      </w:pPr>
    </w:p>
    <w:p>
      <w:pPr>
        <w:sectPr>
          <w:pgSz w:w="11900" w:h="16838" w:orient="portrait"/>
          <w:cols w:equalWidth="0" w:num="2">
            <w:col w:w="4680" w:space="270"/>
            <w:col w:w="4069"/>
          </w:cols>
          <w:pgMar w:left="1440" w:top="504" w:right="1440" w:bottom="1440" w:gutter="0" w:footer="0" w:header="0"/>
          <w:type w:val="continuous"/>
        </w:sectPr>
      </w:pPr>
    </w:p>
    <w:p>
      <w:pPr>
        <w:spacing w:after="0" w:line="163" w:lineRule="exact"/>
        <w:rPr>
          <w:sz w:val="20"/>
          <w:szCs w:val="20"/>
          <w:color w:val="auto"/>
        </w:rPr>
      </w:pPr>
    </w:p>
    <w:p>
      <w:pPr>
        <w:jc w:val="center"/>
        <w:ind w:left="300"/>
        <w:spacing w:after="0"/>
        <w:rPr>
          <w:sz w:val="20"/>
          <w:szCs w:val="20"/>
          <w:color w:val="auto"/>
        </w:rPr>
      </w:pPr>
      <w:r>
        <w:rPr>
          <w:rFonts w:ascii="Calibri" w:cs="Calibri" w:eastAsia="Calibri" w:hAnsi="Calibri"/>
          <w:sz w:val="21"/>
          <w:szCs w:val="21"/>
          <w:b w:val="1"/>
          <w:bCs w:val="1"/>
          <w:color w:val="AF0000"/>
        </w:rPr>
        <w:t xml:space="preserve">PROPOSAL 1: </w:t>
      </w:r>
      <w:r>
        <w:rPr>
          <w:rFonts w:ascii="Calibri" w:cs="Calibri" w:eastAsia="Calibri" w:hAnsi="Calibri"/>
          <w:sz w:val="21"/>
          <w:szCs w:val="21"/>
          <w:b w:val="1"/>
          <w:bCs w:val="1"/>
          <w:color w:val="000000"/>
        </w:rPr>
        <w:t>Electon of Three Nominees for Director</w:t>
      </w:r>
    </w:p>
    <w:p>
      <w:pPr>
        <w:spacing w:after="0" w:line="109" w:lineRule="exact"/>
        <w:rPr>
          <w:sz w:val="20"/>
          <w:szCs w:val="20"/>
          <w:color w:val="auto"/>
        </w:rPr>
      </w:pPr>
    </w:p>
    <w:p>
      <w:pPr>
        <w:ind w:left="360"/>
        <w:spacing w:after="0" w:line="245" w:lineRule="auto"/>
        <w:rPr>
          <w:sz w:val="20"/>
          <w:szCs w:val="20"/>
          <w:color w:val="auto"/>
        </w:rPr>
      </w:pPr>
      <w:r>
        <w:rPr>
          <w:rFonts w:ascii="Calibri" w:cs="Calibri" w:eastAsia="Calibri" w:hAnsi="Calibri"/>
          <w:sz w:val="14"/>
          <w:szCs w:val="14"/>
          <w:color w:val="auto"/>
        </w:rPr>
        <w:t>The Board of Directors recommends that you vote FOR all three director nominees. These individuals bring a range of relevant experiences and overall diversity of perspectves that is essental to good governance and leadership of our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alibri" w:cs="Calibri" w:eastAsia="Calibri" w:hAnsi="Calibri"/>
          <w:sz w:val="14"/>
          <w:szCs w:val="14"/>
          <w:color w:val="auto"/>
        </w:rPr>
        <w:t>The Board recommends a</w:t>
      </w:r>
    </w:p>
    <w:p>
      <w:pPr>
        <w:spacing w:after="0"/>
        <w:rPr>
          <w:sz w:val="20"/>
          <w:szCs w:val="20"/>
          <w:color w:val="auto"/>
        </w:rPr>
      </w:pPr>
      <w:r>
        <w:rPr>
          <w:rFonts w:ascii="Calibri" w:cs="Calibri" w:eastAsia="Calibri" w:hAnsi="Calibri"/>
          <w:sz w:val="20"/>
          <w:szCs w:val="20"/>
          <w:b w:val="1"/>
          <w:bCs w:val="1"/>
          <w:color w:val="AF0000"/>
        </w:rPr>
        <w:t>Vote FOR all nominees</w:t>
      </w:r>
    </w:p>
    <w:p>
      <w:pPr>
        <w:spacing w:after="0" w:line="309" w:lineRule="exact"/>
        <w:rPr>
          <w:sz w:val="20"/>
          <w:szCs w:val="20"/>
          <w:color w:val="auto"/>
        </w:rPr>
      </w:pPr>
    </w:p>
    <w:p>
      <w:pPr>
        <w:sectPr>
          <w:pgSz w:w="11900" w:h="16838" w:orient="portrait"/>
          <w:cols w:equalWidth="0" w:num="2">
            <w:col w:w="5200" w:space="320"/>
            <w:col w:w="3499"/>
          </w:cols>
          <w:pgMar w:left="1440" w:top="504" w:right="1440" w:bottom="1440" w:gutter="0" w:footer="0" w:header="0"/>
          <w:type w:val="continuous"/>
        </w:sectPr>
      </w:pPr>
    </w:p>
    <w:p>
      <w:pPr>
        <w:spacing w:after="0" w:line="146" w:lineRule="exact"/>
        <w:rPr>
          <w:sz w:val="20"/>
          <w:szCs w:val="20"/>
          <w:color w:val="auto"/>
        </w:rPr>
      </w:pPr>
    </w:p>
    <w:p>
      <w:pPr>
        <w:ind w:left="200" w:right="219"/>
        <w:spacing w:after="0" w:line="235" w:lineRule="auto"/>
        <w:rPr>
          <w:sz w:val="20"/>
          <w:szCs w:val="20"/>
          <w:color w:val="auto"/>
        </w:rPr>
      </w:pPr>
      <w:r>
        <w:rPr>
          <w:rFonts w:ascii="Calibri" w:cs="Calibri" w:eastAsia="Calibri" w:hAnsi="Calibri"/>
          <w:sz w:val="18"/>
          <w:szCs w:val="18"/>
          <w:color w:val="auto"/>
        </w:rPr>
        <w:t>At the Annual Meetng, shareholders will be asked to consider the nominatons of three directors to serve untl our 2027 Annual Meetng of Shareholders and untl their successors are duly elected and qualifed. If any of the below nominees becomes unavailable to serve, proxies solicited by this Proxy Statement will be voted for other persons designated by the Board in their stead.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4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9" w:name="page10"/>
    <w:bookmarkEnd w:id="9"/>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CORPORATE GOVERNANCE AND RELATED MATTERS</w:t>
      </w:r>
    </w:p>
    <w:p>
      <w:pPr>
        <w:spacing w:after="0" w:line="131"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Classifcaton of Board of Directors</w:t>
      </w:r>
    </w:p>
    <w:p>
      <w:pPr>
        <w:spacing w:after="0" w:line="177" w:lineRule="exact"/>
        <w:rPr>
          <w:sz w:val="20"/>
          <w:szCs w:val="20"/>
          <w:color w:val="auto"/>
        </w:rPr>
      </w:pPr>
    </w:p>
    <w:p>
      <w:pPr>
        <w:ind w:left="200" w:right="219"/>
        <w:spacing w:after="0" w:line="234" w:lineRule="auto"/>
        <w:rPr>
          <w:sz w:val="20"/>
          <w:szCs w:val="20"/>
          <w:color w:val="auto"/>
        </w:rPr>
      </w:pPr>
      <w:r>
        <w:rPr>
          <w:rFonts w:ascii="Calibri" w:cs="Calibri" w:eastAsia="Calibri" w:hAnsi="Calibri"/>
          <w:sz w:val="18"/>
          <w:szCs w:val="18"/>
          <w:color w:val="auto"/>
        </w:rPr>
        <w:t>Our Amended and Restated Artcles of Incorporaton (</w:t>
      </w:r>
      <w:r>
        <w:rPr>
          <w:rFonts w:ascii="Calibri" w:cs="Calibri" w:eastAsia="Calibri" w:hAnsi="Calibri"/>
          <w:sz w:val="18"/>
          <w:szCs w:val="18"/>
          <w:u w:val="single" w:color="auto"/>
          <w:color w:val="AF0000"/>
        </w:rPr>
        <w:t>Artcles of Incorporaton</w:t>
      </w:r>
      <w:r>
        <w:rPr>
          <w:rFonts w:ascii="Calibri" w:cs="Calibri" w:eastAsia="Calibri" w:hAnsi="Calibri"/>
          <w:sz w:val="18"/>
          <w:szCs w:val="18"/>
          <w:color w:val="auto"/>
        </w:rPr>
        <w:t>) provide for a classifed, or “staggered,” board of directors. Our Board is divided into three classes, with directors in each class serving a three-year term. Our Third Amended and Restated Bylaws (</w:t>
      </w:r>
      <w:r>
        <w:rPr>
          <w:rFonts w:ascii="Calibri" w:cs="Calibri" w:eastAsia="Calibri" w:hAnsi="Calibri"/>
          <w:sz w:val="18"/>
          <w:szCs w:val="18"/>
          <w:u w:val="single" w:color="auto"/>
          <w:color w:val="AF0000"/>
        </w:rPr>
        <w:t>Bylaws</w:t>
      </w:r>
      <w:r>
        <w:rPr>
          <w:rFonts w:ascii="Calibri" w:cs="Calibri" w:eastAsia="Calibri" w:hAnsi="Calibri"/>
          <w:sz w:val="18"/>
          <w:szCs w:val="18"/>
          <w:color w:val="auto"/>
        </w:rPr>
        <w:t>) provide that the number of directors serving in each class shall be as nearly equal in size as possible. Accordingly, approximately one-third of our directors’ terms expire at each annual meetng of shareholders. Based upon the existng classifcaton of the Board, the terms of Fred P. Lampropoulos, Stephen C. Evans and A. Scot Anderson are scheduled to expire in connecton with our Annual Meetng. Because Mr. Anderson has reached the age at which our Corporate Governance Guidelines (</w:t>
      </w:r>
      <w:r>
        <w:rPr>
          <w:rFonts w:ascii="Calibri" w:cs="Calibri" w:eastAsia="Calibri" w:hAnsi="Calibri"/>
          <w:sz w:val="18"/>
          <w:szCs w:val="18"/>
          <w:u w:val="single" w:color="auto"/>
          <w:color w:val="AF0000"/>
        </w:rPr>
        <w:t>Governance Guidelines</w:t>
      </w:r>
      <w:r>
        <w:rPr>
          <w:rFonts w:ascii="Calibri" w:cs="Calibri" w:eastAsia="Calibri" w:hAnsi="Calibri"/>
          <w:sz w:val="18"/>
          <w:szCs w:val="18"/>
          <w:color w:val="auto"/>
        </w:rPr>
        <w:t>) require him to submit his resignaton from the Board, the Board did not nominate him for re-electon as a director. Accordingly, Mr. Anderson’s service as a director will conclude at the Annual Meetng. The Board has nominated Fred P. Lampropoulos, Stephen C. Evans and Silvia M. Perez for electon at the Annual Meetng to serve new three-year terms.</w:t>
      </w:r>
    </w:p>
    <w:p>
      <w:pPr>
        <w:spacing w:after="0" w:line="175"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Size of the Board of Directors</w:t>
      </w:r>
    </w:p>
    <w:p>
      <w:pPr>
        <w:spacing w:after="0" w:line="177"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Our Bylaws permit the Board to set the number of directors to a number not less than three and not more than eleven.</w:t>
      </w:r>
    </w:p>
    <w:p>
      <w:pPr>
        <w:spacing w:after="0" w:line="8"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In 2023, the Board adopted a resoluton setng the number of directors at ten, which is the current 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6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10" w:name="page11"/>
    <w:bookmarkEnd w:id="10"/>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CORPORATE GOVERNANCE AND RELATED MATTERS</w:t>
      </w:r>
    </w:p>
    <w:p>
      <w:pPr>
        <w:spacing w:after="0" w:line="158"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Nominees for Electon as Directors</w:t>
      </w:r>
    </w:p>
    <w:p>
      <w:pPr>
        <w:spacing w:after="0" w:line="186" w:lineRule="exact"/>
        <w:rPr>
          <w:sz w:val="20"/>
          <w:szCs w:val="20"/>
          <w:color w:val="auto"/>
        </w:rPr>
      </w:pPr>
    </w:p>
    <w:p>
      <w:pPr>
        <w:ind w:left="200" w:right="259"/>
        <w:spacing w:after="0" w:line="235" w:lineRule="auto"/>
        <w:rPr>
          <w:sz w:val="20"/>
          <w:szCs w:val="20"/>
          <w:color w:val="auto"/>
        </w:rPr>
      </w:pPr>
      <w:r>
        <w:rPr>
          <w:rFonts w:ascii="Calibri" w:cs="Calibri" w:eastAsia="Calibri" w:hAnsi="Calibri"/>
          <w:sz w:val="18"/>
          <w:szCs w:val="18"/>
          <w:color w:val="auto"/>
        </w:rPr>
        <w:t>Our Board and its Governance Commitee believe that the following nominees possess the experience and qualifcatons that directors of the Company should possess, and that the experience and qualifcatons of each nominee complement the experience and qualifcatons of the other directors. The experience and qualifcatons of each nominee, including informaton regarding the experience and qualifcatons that led the Board to conclude that she or he should be nominated to serve as a director of the Company, are set forth below:</w:t>
      </w:r>
    </w:p>
    <w:p>
      <w:pPr>
        <w:sectPr>
          <w:pgSz w:w="11900" w:h="16838" w:orient="portrait"/>
          <w:cols w:equalWidth="0" w:num="1">
            <w:col w:w="9019"/>
          </w:cols>
          <w:pgMar w:left="1440" w:top="504" w:right="1440" w:bottom="1440" w:gutter="0" w:footer="0" w:header="0"/>
        </w:sectPr>
      </w:pPr>
    </w:p>
    <w:p>
      <w:pPr>
        <w:spacing w:after="0" w:line="357" w:lineRule="exact"/>
        <w:rPr>
          <w:sz w:val="20"/>
          <w:szCs w:val="20"/>
          <w:color w:val="auto"/>
        </w:rPr>
      </w:pPr>
    </w:p>
    <w:p>
      <w:pPr>
        <w:ind w:left="340"/>
        <w:spacing w:after="0"/>
        <w:rPr>
          <w:sz w:val="20"/>
          <w:szCs w:val="20"/>
          <w:color w:val="auto"/>
        </w:rPr>
      </w:pPr>
      <w:r>
        <w:rPr>
          <w:rFonts w:ascii="Calibri" w:cs="Calibri" w:eastAsia="Calibri" w:hAnsi="Calibri"/>
          <w:sz w:val="20"/>
          <w:szCs w:val="20"/>
          <w:b w:val="1"/>
          <w:bCs w:val="1"/>
          <w:color w:val="AF0000"/>
        </w:rPr>
        <w:t>FRED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-132715</wp:posOffset>
            </wp:positionV>
            <wp:extent cx="1139825" cy="1525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39825" cy="1525905"/>
                    </a:xfrm>
                    <a:prstGeom prst="rect">
                      <a:avLst/>
                    </a:prstGeom>
                    <a:noFill/>
                  </pic:spPr>
                </pic:pic>
              </a:graphicData>
            </a:graphic>
          </wp:anchor>
        </w:drawing>
      </w:r>
    </w:p>
    <w:p>
      <w:pPr>
        <w:ind w:left="340"/>
        <w:spacing w:after="0" w:line="225" w:lineRule="auto"/>
        <w:rPr>
          <w:sz w:val="20"/>
          <w:szCs w:val="20"/>
          <w:color w:val="auto"/>
        </w:rPr>
      </w:pPr>
      <w:r>
        <w:rPr>
          <w:rFonts w:ascii="Calibri" w:cs="Calibri" w:eastAsia="Calibri" w:hAnsi="Calibri"/>
          <w:sz w:val="20"/>
          <w:szCs w:val="20"/>
          <w:b w:val="1"/>
          <w:bCs w:val="1"/>
          <w:color w:val="AF0000"/>
        </w:rPr>
        <w:t>LAMPROPOULOS</w:t>
      </w:r>
    </w:p>
    <w:p>
      <w:pPr>
        <w:spacing w:after="0" w:line="114" w:lineRule="exact"/>
        <w:rPr>
          <w:sz w:val="20"/>
          <w:szCs w:val="20"/>
          <w:color w:val="auto"/>
        </w:rPr>
      </w:pPr>
    </w:p>
    <w:p>
      <w:pPr>
        <w:ind w:left="340" w:right="2460"/>
        <w:spacing w:after="0" w:line="245" w:lineRule="auto"/>
        <w:rPr>
          <w:sz w:val="20"/>
          <w:szCs w:val="20"/>
          <w:color w:val="auto"/>
        </w:rPr>
      </w:pPr>
      <w:r>
        <w:rPr>
          <w:rFonts w:ascii="Calibri" w:cs="Calibri" w:eastAsia="Calibri" w:hAnsi="Calibri"/>
          <w:sz w:val="14"/>
          <w:szCs w:val="14"/>
          <w:b w:val="1"/>
          <w:bCs w:val="1"/>
          <w:color w:val="auto"/>
        </w:rPr>
        <w:t>Chair, President, Chief Executve Ofcer</w:t>
      </w:r>
    </w:p>
    <w:p>
      <w:pPr>
        <w:spacing w:after="0" w:line="163"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Age: </w:t>
      </w:r>
      <w:r>
        <w:rPr>
          <w:rFonts w:ascii="Calibri" w:cs="Calibri" w:eastAsia="Calibri" w:hAnsi="Calibri"/>
          <w:sz w:val="14"/>
          <w:szCs w:val="14"/>
          <w:color w:val="auto"/>
        </w:rPr>
        <w:t>74</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Director Since: </w:t>
      </w:r>
      <w:r>
        <w:rPr>
          <w:rFonts w:ascii="Calibri" w:cs="Calibri" w:eastAsia="Calibri" w:hAnsi="Calibri"/>
          <w:sz w:val="14"/>
          <w:szCs w:val="14"/>
          <w:color w:val="auto"/>
        </w:rPr>
        <w:t>July 1987</w:t>
      </w:r>
    </w:p>
    <w:p>
      <w:pPr>
        <w:ind w:left="340"/>
        <w:spacing w:after="0" w:line="227" w:lineRule="auto"/>
        <w:rPr>
          <w:sz w:val="20"/>
          <w:szCs w:val="20"/>
          <w:color w:val="auto"/>
        </w:rPr>
      </w:pPr>
      <w:r>
        <w:rPr>
          <w:rFonts w:ascii="Calibri" w:cs="Calibri" w:eastAsia="Calibri" w:hAnsi="Calibri"/>
          <w:sz w:val="14"/>
          <w:szCs w:val="14"/>
          <w:b w:val="1"/>
          <w:bCs w:val="1"/>
          <w:color w:val="auto"/>
        </w:rPr>
        <w:t xml:space="preserve">Commitees: </w:t>
      </w:r>
      <w:r>
        <w:rPr>
          <w:rFonts w:ascii="Calibri" w:cs="Calibri" w:eastAsia="Calibri" w:hAnsi="Calibri"/>
          <w:sz w:val="14"/>
          <w:szCs w:val="14"/>
          <w:color w:val="auto"/>
        </w:rPr>
        <w:t>Operatng</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Other Public Boards: </w:t>
      </w:r>
      <w:r>
        <w:rPr>
          <w:rFonts w:ascii="Calibri" w:cs="Calibri" w:eastAsia="Calibri" w:hAnsi="Calibri"/>
          <w:sz w:val="14"/>
          <w:szCs w:val="14"/>
          <w:color w:val="auto"/>
        </w:rPr>
        <w:t>None</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Term Expires: </w:t>
      </w:r>
      <w:r>
        <w:rPr>
          <w:rFonts w:ascii="Calibri" w:cs="Calibri" w:eastAsia="Calibri" w:hAnsi="Calibri"/>
          <w:sz w:val="14"/>
          <w:szCs w:val="14"/>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595630</wp:posOffset>
            </wp:positionV>
            <wp:extent cx="2606040" cy="37630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604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80"/>
        <w:spacing w:after="0"/>
        <w:rPr>
          <w:sz w:val="20"/>
          <w:szCs w:val="20"/>
          <w:color w:val="auto"/>
        </w:rPr>
      </w:pPr>
      <w:r>
        <w:rPr>
          <w:rFonts w:ascii="Calibri" w:cs="Calibri" w:eastAsia="Calibri" w:hAnsi="Calibri"/>
          <w:sz w:val="14"/>
          <w:szCs w:val="14"/>
          <w:b w:val="1"/>
          <w:bCs w:val="1"/>
          <w:color w:val="AF0000"/>
        </w:rPr>
        <w:t>Career Highlights</w:t>
      </w:r>
    </w:p>
    <w:p>
      <w:pPr>
        <w:spacing w:after="0" w:line="87" w:lineRule="exact"/>
        <w:rPr>
          <w:sz w:val="20"/>
          <w:szCs w:val="20"/>
          <w:color w:val="auto"/>
        </w:rPr>
      </w:pPr>
    </w:p>
    <w:p>
      <w:pPr>
        <w:ind w:left="500" w:hanging="129"/>
        <w:spacing w:after="0" w:line="219" w:lineRule="auto"/>
        <w:tabs>
          <w:tab w:leader="none" w:pos="500" w:val="left"/>
        </w:tabs>
        <w:numPr>
          <w:ilvl w:val="0"/>
          <w:numId w:val="30"/>
        </w:numPr>
        <w:rPr>
          <w:rFonts w:ascii="Times New Roman" w:cs="Times New Roman" w:eastAsia="Times New Roman" w:hAnsi="Times New Roman"/>
          <w:sz w:val="18"/>
          <w:szCs w:val="18"/>
          <w:color w:val="AF0000"/>
        </w:rPr>
      </w:pPr>
      <w:r>
        <w:rPr>
          <w:rFonts w:ascii="Calibri" w:cs="Calibri" w:eastAsia="Calibri" w:hAnsi="Calibri"/>
          <w:sz w:val="14"/>
          <w:szCs w:val="14"/>
          <w:color w:val="auto"/>
        </w:rPr>
        <w:t>Chair of the Board, Chief Executve Ofcer (CEO) and President of the Company since its formaton in 1987</w:t>
      </w:r>
    </w:p>
    <w:p>
      <w:pPr>
        <w:spacing w:after="0" w:line="87" w:lineRule="exact"/>
        <w:rPr>
          <w:rFonts w:ascii="Times New Roman" w:cs="Times New Roman" w:eastAsia="Times New Roman" w:hAnsi="Times New Roman"/>
          <w:sz w:val="18"/>
          <w:szCs w:val="18"/>
          <w:color w:val="AF0000"/>
        </w:rPr>
      </w:pPr>
    </w:p>
    <w:p>
      <w:pPr>
        <w:ind w:left="500" w:right="200" w:hanging="129"/>
        <w:spacing w:after="0" w:line="219" w:lineRule="auto"/>
        <w:tabs>
          <w:tab w:leader="none" w:pos="500" w:val="left"/>
        </w:tabs>
        <w:numPr>
          <w:ilvl w:val="0"/>
          <w:numId w:val="30"/>
        </w:numPr>
        <w:rPr>
          <w:rFonts w:ascii="Times New Roman" w:cs="Times New Roman" w:eastAsia="Times New Roman" w:hAnsi="Times New Roman"/>
          <w:sz w:val="18"/>
          <w:szCs w:val="18"/>
          <w:color w:val="AF0000"/>
        </w:rPr>
      </w:pPr>
      <w:r>
        <w:rPr>
          <w:rFonts w:ascii="Calibri" w:cs="Calibri" w:eastAsia="Calibri" w:hAnsi="Calibri"/>
          <w:sz w:val="14"/>
          <w:szCs w:val="14"/>
          <w:color w:val="auto"/>
        </w:rPr>
        <w:t>Chair of the Board and President of Utah Medical Products, Inc. (medical device manufacturer), 1983 to 1987</w:t>
      </w:r>
    </w:p>
    <w:p>
      <w:pPr>
        <w:spacing w:after="0" w:line="87" w:lineRule="exact"/>
        <w:rPr>
          <w:rFonts w:ascii="Times New Roman" w:cs="Times New Roman" w:eastAsia="Times New Roman" w:hAnsi="Times New Roman"/>
          <w:sz w:val="18"/>
          <w:szCs w:val="18"/>
          <w:color w:val="AF0000"/>
        </w:rPr>
      </w:pPr>
    </w:p>
    <w:p>
      <w:pPr>
        <w:ind w:left="500" w:right="140" w:hanging="129"/>
        <w:spacing w:after="0" w:line="210" w:lineRule="auto"/>
        <w:tabs>
          <w:tab w:leader="none" w:pos="500" w:val="left"/>
        </w:tabs>
        <w:numPr>
          <w:ilvl w:val="0"/>
          <w:numId w:val="30"/>
        </w:numPr>
        <w:rPr>
          <w:rFonts w:ascii="Times New Roman" w:cs="Times New Roman" w:eastAsia="Times New Roman" w:hAnsi="Times New Roman"/>
          <w:sz w:val="18"/>
          <w:szCs w:val="18"/>
          <w:color w:val="AF0000"/>
        </w:rPr>
      </w:pPr>
      <w:r>
        <w:rPr>
          <w:rFonts w:ascii="Calibri" w:cs="Calibri" w:eastAsia="Calibri" w:hAnsi="Calibri"/>
          <w:sz w:val="14"/>
          <w:szCs w:val="14"/>
          <w:color w:val="auto"/>
        </w:rPr>
        <w:t>Filed more than 300 domestc and internatonal patents and applicatons on medical devices</w:t>
      </w:r>
    </w:p>
    <w:p>
      <w:pPr>
        <w:spacing w:after="0" w:line="50" w:lineRule="exact"/>
        <w:rPr>
          <w:rFonts w:ascii="Times New Roman" w:cs="Times New Roman" w:eastAsia="Times New Roman" w:hAnsi="Times New Roman"/>
          <w:sz w:val="18"/>
          <w:szCs w:val="18"/>
          <w:color w:val="AF0000"/>
        </w:rPr>
      </w:pPr>
    </w:p>
    <w:p>
      <w:pPr>
        <w:ind w:left="500" w:hanging="129"/>
        <w:spacing w:after="0"/>
        <w:tabs>
          <w:tab w:leader="none" w:pos="500" w:val="left"/>
        </w:tabs>
        <w:numPr>
          <w:ilvl w:val="0"/>
          <w:numId w:val="30"/>
        </w:numPr>
        <w:rPr>
          <w:rFonts w:ascii="Times New Roman" w:cs="Times New Roman" w:eastAsia="Times New Roman" w:hAnsi="Times New Roman"/>
          <w:sz w:val="18"/>
          <w:szCs w:val="18"/>
          <w:color w:val="AF0000"/>
        </w:rPr>
      </w:pPr>
      <w:r>
        <w:rPr>
          <w:rFonts w:ascii="Calibri" w:cs="Calibri" w:eastAsia="Calibri" w:hAnsi="Calibri"/>
          <w:sz w:val="14"/>
          <w:szCs w:val="14"/>
          <w:color w:val="auto"/>
        </w:rPr>
        <w:t>Serves on multple community and advisory boards</w:t>
      </w:r>
    </w:p>
    <w:p>
      <w:pPr>
        <w:spacing w:after="0" w:line="100" w:lineRule="exact"/>
        <w:rPr>
          <w:rFonts w:ascii="Times New Roman" w:cs="Times New Roman" w:eastAsia="Times New Roman" w:hAnsi="Times New Roman"/>
          <w:sz w:val="18"/>
          <w:szCs w:val="18"/>
          <w:color w:val="AF0000"/>
        </w:rPr>
      </w:pPr>
    </w:p>
    <w:p>
      <w:pPr>
        <w:ind w:left="500" w:right="100" w:hanging="129"/>
        <w:spacing w:after="0" w:line="227" w:lineRule="auto"/>
        <w:tabs>
          <w:tab w:leader="none" w:pos="500" w:val="left"/>
        </w:tabs>
        <w:numPr>
          <w:ilvl w:val="0"/>
          <w:numId w:val="30"/>
        </w:numPr>
        <w:rPr>
          <w:rFonts w:ascii="Times New Roman" w:cs="Times New Roman" w:eastAsia="Times New Roman" w:hAnsi="Times New Roman"/>
          <w:sz w:val="18"/>
          <w:szCs w:val="18"/>
          <w:color w:val="AF0000"/>
        </w:rPr>
      </w:pPr>
      <w:r>
        <w:rPr>
          <w:rFonts w:ascii="Calibri" w:cs="Calibri" w:eastAsia="Calibri" w:hAnsi="Calibri"/>
          <w:sz w:val="14"/>
          <w:szCs w:val="14"/>
          <w:color w:val="auto"/>
        </w:rPr>
        <w:t>Recipient of numerous community and industry awards, including the 2019 Salt Lake Chamber of Commerce “Giant in our City” and 2003 and 2018 Utah Governor’s Medal for Science and Technology</w:t>
      </w:r>
    </w:p>
    <w:p>
      <w:pPr>
        <w:spacing w:after="0" w:line="115" w:lineRule="exact"/>
        <w:rPr>
          <w:sz w:val="20"/>
          <w:szCs w:val="20"/>
          <w:color w:val="auto"/>
        </w:rPr>
      </w:pPr>
    </w:p>
    <w:p>
      <w:pPr>
        <w:ind w:left="380"/>
        <w:spacing w:after="0"/>
        <w:rPr>
          <w:sz w:val="20"/>
          <w:szCs w:val="20"/>
          <w:color w:val="auto"/>
        </w:rPr>
      </w:pPr>
      <w:r>
        <w:rPr>
          <w:rFonts w:ascii="Calibri" w:cs="Calibri" w:eastAsia="Calibri" w:hAnsi="Calibri"/>
          <w:sz w:val="14"/>
          <w:szCs w:val="14"/>
          <w:b w:val="1"/>
          <w:bCs w:val="1"/>
          <w:color w:val="AF0000"/>
        </w:rPr>
        <w:t>Qualifcatons of Partcular Relevance to Merit</w:t>
      </w:r>
    </w:p>
    <w:p>
      <w:pPr>
        <w:spacing w:after="0" w:line="33" w:lineRule="exact"/>
        <w:rPr>
          <w:sz w:val="20"/>
          <w:szCs w:val="20"/>
          <w:color w:val="auto"/>
        </w:rPr>
      </w:pPr>
    </w:p>
    <w:p>
      <w:pPr>
        <w:ind w:left="380" w:right="40"/>
        <w:spacing w:after="0" w:line="239" w:lineRule="auto"/>
        <w:rPr>
          <w:sz w:val="20"/>
          <w:szCs w:val="20"/>
          <w:color w:val="auto"/>
        </w:rPr>
      </w:pPr>
      <w:r>
        <w:rPr>
          <w:rFonts w:ascii="Calibri" w:cs="Calibri" w:eastAsia="Calibri" w:hAnsi="Calibri"/>
          <w:sz w:val="14"/>
          <w:szCs w:val="14"/>
          <w:color w:val="auto"/>
        </w:rPr>
        <w:t>The Board believes the Company benefts immensely from Mr. Lampropoulos’ experience as founder, President and CEO. He plays an essental role in communicatng the expectatons, advice, concerns and encouragement of the Board to our employees. Mr. Lampropoulos has a deep knowledge and understanding of the Company, as well as the industry and markets in which our products compete. Mr. Lampropoulos also performs an essental functon as the Chair of the Board, providing decisive leadership and directon to the actvites and deliberatons of the Board. The Board also believes</w:t>
      </w:r>
    </w:p>
    <w:p>
      <w:pPr>
        <w:spacing w:after="0" w:line="13" w:lineRule="exact"/>
        <w:rPr>
          <w:sz w:val="20"/>
          <w:szCs w:val="20"/>
          <w:color w:val="auto"/>
        </w:rPr>
      </w:pPr>
    </w:p>
    <w:p>
      <w:pPr>
        <w:ind w:left="380" w:right="60"/>
        <w:spacing w:after="0" w:line="237" w:lineRule="auto"/>
        <w:rPr>
          <w:sz w:val="20"/>
          <w:szCs w:val="20"/>
          <w:color w:val="auto"/>
        </w:rPr>
      </w:pPr>
      <w:r>
        <w:rPr>
          <w:rFonts w:ascii="Calibri" w:cs="Calibri" w:eastAsia="Calibri" w:hAnsi="Calibri"/>
          <w:sz w:val="14"/>
          <w:szCs w:val="14"/>
          <w:color w:val="auto"/>
        </w:rPr>
        <w:t>Mr. Lampropoulos’ leadership, drive and determinaton are signifcant factors in our growth and development and contnue to be tremendous assets to the Company and its shareholders.</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F0000"/>
        </w:rPr>
        <w:t>REAR ADMIRAL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-132715</wp:posOffset>
            </wp:positionV>
            <wp:extent cx="1036955" cy="1560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36955" cy="1560195"/>
                    </a:xfrm>
                    <a:prstGeom prst="rect">
                      <a:avLst/>
                    </a:prstGeom>
                    <a:noFill/>
                  </pic:spPr>
                </pic:pic>
              </a:graphicData>
            </a:graphic>
          </wp:anchor>
        </w:drawing>
      </w:r>
    </w:p>
    <w:p>
      <w:pPr>
        <w:spacing w:after="0" w:line="225" w:lineRule="auto"/>
        <w:rPr>
          <w:sz w:val="20"/>
          <w:szCs w:val="20"/>
          <w:color w:val="auto"/>
        </w:rPr>
      </w:pPr>
      <w:r>
        <w:rPr>
          <w:rFonts w:ascii="Calibri" w:cs="Calibri" w:eastAsia="Calibri" w:hAnsi="Calibri"/>
          <w:sz w:val="20"/>
          <w:szCs w:val="20"/>
          <w:b w:val="1"/>
          <w:bCs w:val="1"/>
          <w:color w:val="AF0000"/>
        </w:rPr>
        <w:t>STEPHEN C. EVANS</w:t>
      </w:r>
    </w:p>
    <w:p>
      <w:pPr>
        <w:spacing w:after="0" w:line="11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Independent Director</w:t>
      </w:r>
    </w:p>
    <w:p>
      <w:pPr>
        <w:spacing w:after="0" w:line="16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Age</w:t>
      </w:r>
      <w:r>
        <w:rPr>
          <w:rFonts w:ascii="Calibri" w:cs="Calibri" w:eastAsia="Calibri" w:hAnsi="Calibri"/>
          <w:sz w:val="14"/>
          <w:szCs w:val="14"/>
          <w:color w:val="auto"/>
        </w:rPr>
        <w:t>: 59</w:t>
      </w:r>
    </w:p>
    <w:p>
      <w:pPr>
        <w:spacing w:after="0" w:line="5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Director Since: </w:t>
      </w:r>
      <w:r>
        <w:rPr>
          <w:rFonts w:ascii="Calibri" w:cs="Calibri" w:eastAsia="Calibri" w:hAnsi="Calibri"/>
          <w:sz w:val="14"/>
          <w:szCs w:val="14"/>
          <w:color w:val="auto"/>
        </w:rPr>
        <w:t>June 2021</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Commitees: </w:t>
      </w:r>
      <w:r>
        <w:rPr>
          <w:rFonts w:ascii="Calibri" w:cs="Calibri" w:eastAsia="Calibri" w:hAnsi="Calibri"/>
          <w:sz w:val="14"/>
          <w:szCs w:val="14"/>
          <w:color w:val="auto"/>
        </w:rPr>
        <w:t>Audit,</w:t>
      </w:r>
    </w:p>
    <w:p>
      <w:pPr>
        <w:spacing w:after="0" w:line="227" w:lineRule="auto"/>
        <w:rPr>
          <w:sz w:val="20"/>
          <w:szCs w:val="20"/>
          <w:color w:val="auto"/>
        </w:rPr>
      </w:pPr>
      <w:r>
        <w:rPr>
          <w:rFonts w:ascii="Calibri" w:cs="Calibri" w:eastAsia="Calibri" w:hAnsi="Calibri"/>
          <w:sz w:val="14"/>
          <w:szCs w:val="14"/>
          <w:color w:val="auto"/>
        </w:rPr>
        <w:t>Compensaton</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Other Public Boards: </w:t>
      </w:r>
      <w:r>
        <w:rPr>
          <w:rFonts w:ascii="Calibri" w:cs="Calibri" w:eastAsia="Calibri" w:hAnsi="Calibri"/>
          <w:sz w:val="14"/>
          <w:szCs w:val="14"/>
          <w:color w:val="auto"/>
        </w:rPr>
        <w:t>Alarm.com</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color w:val="auto"/>
        </w:rPr>
        <w:t>Holdings, Inc.</w:t>
      </w:r>
    </w:p>
    <w:p>
      <w:pPr>
        <w:spacing w:after="0" w:line="227" w:lineRule="auto"/>
        <w:rPr>
          <w:sz w:val="20"/>
          <w:szCs w:val="20"/>
          <w:color w:val="auto"/>
        </w:rPr>
      </w:pPr>
      <w:r>
        <w:rPr>
          <w:rFonts w:ascii="Calibri" w:cs="Calibri" w:eastAsia="Calibri" w:hAnsi="Calibri"/>
          <w:sz w:val="14"/>
          <w:szCs w:val="14"/>
          <w:b w:val="1"/>
          <w:bCs w:val="1"/>
          <w:color w:val="auto"/>
        </w:rPr>
        <w:t xml:space="preserve">Educaton: </w:t>
      </w:r>
      <w:r>
        <w:rPr>
          <w:rFonts w:ascii="Calibri" w:cs="Calibri" w:eastAsia="Calibri" w:hAnsi="Calibri"/>
          <w:sz w:val="14"/>
          <w:szCs w:val="14"/>
          <w:color w:val="auto"/>
        </w:rPr>
        <w:t>M.A., U.S. Naval War</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color w:val="auto"/>
        </w:rPr>
        <w:t>College (Natonal Security</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color w:val="auto"/>
        </w:rPr>
        <w:t>Afairs), B.A., The Citadel</w:t>
      </w:r>
    </w:p>
    <w:p>
      <w:pPr>
        <w:spacing w:after="0" w:line="227" w:lineRule="auto"/>
        <w:rPr>
          <w:sz w:val="20"/>
          <w:szCs w:val="20"/>
          <w:color w:val="auto"/>
        </w:rPr>
      </w:pPr>
      <w:r>
        <w:rPr>
          <w:rFonts w:ascii="Calibri" w:cs="Calibri" w:eastAsia="Calibri" w:hAnsi="Calibri"/>
          <w:sz w:val="14"/>
          <w:szCs w:val="14"/>
          <w:b w:val="1"/>
          <w:bCs w:val="1"/>
          <w:color w:val="auto"/>
        </w:rPr>
        <w:t xml:space="preserve">Term Expires: </w:t>
      </w:r>
      <w:r>
        <w:rPr>
          <w:rFonts w:ascii="Calibri" w:cs="Calibri" w:eastAsia="Calibri" w:hAnsi="Calibri"/>
          <w:sz w:val="14"/>
          <w:szCs w:val="14"/>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132715</wp:posOffset>
            </wp:positionV>
            <wp:extent cx="2631440" cy="37630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31440" cy="3763010"/>
                    </a:xfrm>
                    <a:prstGeom prst="rect">
                      <a:avLst/>
                    </a:prstGeom>
                    <a:noFill/>
                  </pic:spPr>
                </pic:pic>
              </a:graphicData>
            </a:graphic>
          </wp:anchor>
        </w:drawing>
      </w:r>
    </w:p>
    <w:p>
      <w:pPr>
        <w:spacing w:after="0" w:line="268" w:lineRule="exact"/>
        <w:rPr>
          <w:sz w:val="20"/>
          <w:szCs w:val="20"/>
          <w:color w:val="auto"/>
        </w:rPr>
      </w:pPr>
    </w:p>
    <w:p>
      <w:pPr>
        <w:ind w:left="40"/>
        <w:spacing w:after="0"/>
        <w:rPr>
          <w:sz w:val="20"/>
          <w:szCs w:val="20"/>
          <w:color w:val="auto"/>
        </w:rPr>
      </w:pPr>
      <w:r>
        <w:rPr>
          <w:rFonts w:ascii="Calibri" w:cs="Calibri" w:eastAsia="Calibri" w:hAnsi="Calibri"/>
          <w:sz w:val="14"/>
          <w:szCs w:val="14"/>
          <w:b w:val="1"/>
          <w:bCs w:val="1"/>
          <w:color w:val="AF0000"/>
        </w:rPr>
        <w:t>Career Highlights</w:t>
      </w:r>
    </w:p>
    <w:p>
      <w:pPr>
        <w:spacing w:after="0" w:line="46" w:lineRule="exact"/>
        <w:rPr>
          <w:sz w:val="20"/>
          <w:szCs w:val="20"/>
          <w:color w:val="auto"/>
        </w:rPr>
      </w:pPr>
    </w:p>
    <w:p>
      <w:pPr>
        <w:ind w:left="160" w:right="399" w:hanging="127"/>
        <w:spacing w:after="0" w:line="239" w:lineRule="auto"/>
        <w:tabs>
          <w:tab w:leader="none" w:pos="160" w:val="left"/>
        </w:tabs>
        <w:numPr>
          <w:ilvl w:val="0"/>
          <w:numId w:val="31"/>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Served in the United States Navy, most recently as Special Advisor to the Commander, Naval Operatons, before retring in 2020. During more than 20 years of service in the United States Navy, Admiral Evans held a variety of leadership positons, including Senior Advisor, Deputy U.S. Military, NATO Military Commitee; Commander, George H. W. Bush Carrier Strike Group; and Commander, Naval Service Training Command</w:t>
      </w:r>
    </w:p>
    <w:p>
      <w:pPr>
        <w:spacing w:after="0" w:line="64" w:lineRule="exact"/>
        <w:rPr>
          <w:rFonts w:ascii="Times New Roman" w:cs="Times New Roman" w:eastAsia="Times New Roman" w:hAnsi="Times New Roman"/>
          <w:sz w:val="14"/>
          <w:szCs w:val="14"/>
          <w:color w:val="AF0000"/>
        </w:rPr>
      </w:pPr>
    </w:p>
    <w:p>
      <w:pPr>
        <w:ind w:left="160" w:right="479" w:hanging="127"/>
        <w:spacing w:after="0" w:line="237" w:lineRule="auto"/>
        <w:tabs>
          <w:tab w:leader="none" w:pos="160" w:val="left"/>
        </w:tabs>
        <w:numPr>
          <w:ilvl w:val="0"/>
          <w:numId w:val="31"/>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Served on diplomatc missions in over 64 countries, delivering results in internatonal diplomacy and military relatons to establish enduring, productve global partnerships</w:t>
      </w:r>
    </w:p>
    <w:p>
      <w:pPr>
        <w:spacing w:after="0" w:line="59" w:lineRule="exact"/>
        <w:rPr>
          <w:rFonts w:ascii="Times New Roman" w:cs="Times New Roman" w:eastAsia="Times New Roman" w:hAnsi="Times New Roman"/>
          <w:sz w:val="14"/>
          <w:szCs w:val="14"/>
          <w:color w:val="AF0000"/>
        </w:rPr>
      </w:pPr>
    </w:p>
    <w:p>
      <w:pPr>
        <w:ind w:left="160" w:hanging="127"/>
        <w:spacing w:after="0"/>
        <w:tabs>
          <w:tab w:leader="none" w:pos="160" w:val="left"/>
        </w:tabs>
        <w:numPr>
          <w:ilvl w:val="0"/>
          <w:numId w:val="31"/>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Commanded U.S. naval forces in six operatonal theaters</w:t>
      </w:r>
    </w:p>
    <w:p>
      <w:pPr>
        <w:spacing w:after="0" w:line="46" w:lineRule="exact"/>
        <w:rPr>
          <w:rFonts w:ascii="Times New Roman" w:cs="Times New Roman" w:eastAsia="Times New Roman" w:hAnsi="Times New Roman"/>
          <w:sz w:val="14"/>
          <w:szCs w:val="14"/>
          <w:color w:val="AF0000"/>
        </w:rPr>
      </w:pPr>
    </w:p>
    <w:p>
      <w:pPr>
        <w:ind w:left="160" w:right="459" w:hanging="127"/>
        <w:spacing w:after="0" w:line="245" w:lineRule="auto"/>
        <w:tabs>
          <w:tab w:leader="none" w:pos="160" w:val="left"/>
        </w:tabs>
        <w:numPr>
          <w:ilvl w:val="0"/>
          <w:numId w:val="31"/>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Served in a senior strategic advisory role to the 75th Secretary of the Navy</w:t>
      </w:r>
    </w:p>
    <w:p>
      <w:pPr>
        <w:spacing w:after="0" w:line="42" w:lineRule="exact"/>
        <w:rPr>
          <w:rFonts w:ascii="Times New Roman" w:cs="Times New Roman" w:eastAsia="Times New Roman" w:hAnsi="Times New Roman"/>
          <w:sz w:val="14"/>
          <w:szCs w:val="14"/>
          <w:color w:val="AF0000"/>
        </w:rPr>
      </w:pPr>
    </w:p>
    <w:p>
      <w:pPr>
        <w:ind w:left="160" w:right="499" w:hanging="127"/>
        <w:spacing w:after="0" w:line="237" w:lineRule="auto"/>
        <w:tabs>
          <w:tab w:leader="none" w:pos="160" w:val="left"/>
        </w:tabs>
        <w:numPr>
          <w:ilvl w:val="0"/>
          <w:numId w:val="31"/>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Represented the U.S. in deliberatons and actons of NATO, providing counsel to Heads of State in Europe and around the world</w:t>
      </w:r>
    </w:p>
    <w:p>
      <w:pPr>
        <w:spacing w:after="0" w:line="114" w:lineRule="exact"/>
        <w:rPr>
          <w:sz w:val="20"/>
          <w:szCs w:val="20"/>
          <w:color w:val="auto"/>
        </w:rPr>
      </w:pPr>
    </w:p>
    <w:p>
      <w:pPr>
        <w:ind w:left="40"/>
        <w:spacing w:after="0"/>
        <w:rPr>
          <w:sz w:val="20"/>
          <w:szCs w:val="20"/>
          <w:color w:val="auto"/>
        </w:rPr>
      </w:pPr>
      <w:r>
        <w:rPr>
          <w:rFonts w:ascii="Calibri" w:cs="Calibri" w:eastAsia="Calibri" w:hAnsi="Calibri"/>
          <w:sz w:val="14"/>
          <w:szCs w:val="14"/>
          <w:b w:val="1"/>
          <w:bCs w:val="1"/>
          <w:color w:val="AF0000"/>
        </w:rPr>
        <w:t>Qualifcatons of Partcular Relevance to Merit</w:t>
      </w:r>
    </w:p>
    <w:p>
      <w:pPr>
        <w:spacing w:after="0" w:line="33" w:lineRule="exact"/>
        <w:rPr>
          <w:sz w:val="20"/>
          <w:szCs w:val="20"/>
          <w:color w:val="auto"/>
        </w:rPr>
      </w:pPr>
    </w:p>
    <w:p>
      <w:pPr>
        <w:ind w:left="40" w:right="279"/>
        <w:spacing w:after="0"/>
        <w:rPr>
          <w:sz w:val="20"/>
          <w:szCs w:val="20"/>
          <w:color w:val="auto"/>
        </w:rPr>
      </w:pPr>
      <w:r>
        <w:rPr>
          <w:rFonts w:ascii="Calibri" w:cs="Calibri" w:eastAsia="Calibri" w:hAnsi="Calibri"/>
          <w:sz w:val="14"/>
          <w:szCs w:val="14"/>
          <w:color w:val="auto"/>
        </w:rPr>
        <w:t>Admiral Evans possesses extensive experience in handling complex, internatonal relatonships. His prior leadership experiences, partcularly within the last two decades, involved extensive cybersecurity oversight, and he has broad experience in antcipatng and identfying cyber risks and digital vulnerabilites. Admiral Evans’ cybersecurity experience is of partcular importance to the Company as we seek to secure our informaton technology and build secure and efectve informaton systems and to assess and mitgate potental cybersecurity risk. Admiral Evans has extensive insight on geo-politcal maters, and the Board believes that, together with his experience in handling global partnerships, he can provide valuable counsel to the Company as it seeks to expand its operatons and sales eforts across the globe.</w:t>
      </w:r>
    </w:p>
    <w:p>
      <w:pPr>
        <w:spacing w:after="0" w:line="200" w:lineRule="exact"/>
        <w:rPr>
          <w:sz w:val="20"/>
          <w:szCs w:val="20"/>
          <w:color w:val="auto"/>
        </w:rPr>
      </w:pPr>
    </w:p>
    <w:p>
      <w:pPr>
        <w:sectPr>
          <w:pgSz w:w="11900" w:h="16838" w:orient="portrait"/>
          <w:cols w:equalWidth="0" w:num="2">
            <w:col w:w="4140" w:space="640"/>
            <w:col w:w="4239"/>
          </w:cols>
          <w:pgMar w:left="1440" w:top="504"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74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11" w:name="page12"/>
    <w:bookmarkEnd w:id="11"/>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CORPORATE GOVERNANCE AND RELATED MATTERS</w:t>
      </w:r>
    </w:p>
    <w:p>
      <w:pPr>
        <w:spacing w:after="0" w:line="200" w:lineRule="exact"/>
        <w:rPr>
          <w:sz w:val="20"/>
          <w:szCs w:val="20"/>
          <w:color w:val="auto"/>
        </w:rPr>
      </w:pPr>
    </w:p>
    <w:p>
      <w:pPr>
        <w:spacing w:after="0" w:line="302" w:lineRule="exact"/>
        <w:rPr>
          <w:sz w:val="20"/>
          <w:szCs w:val="20"/>
          <w:color w:val="auto"/>
        </w:rPr>
      </w:pPr>
    </w:p>
    <w:p>
      <w:pPr>
        <w:ind w:left="340"/>
        <w:spacing w:after="0"/>
        <w:rPr>
          <w:sz w:val="20"/>
          <w:szCs w:val="20"/>
          <w:color w:val="auto"/>
        </w:rPr>
      </w:pPr>
      <w:r>
        <w:rPr>
          <w:rFonts w:ascii="Calibri" w:cs="Calibri" w:eastAsia="Calibri" w:hAnsi="Calibri"/>
          <w:sz w:val="20"/>
          <w:szCs w:val="20"/>
          <w:b w:val="1"/>
          <w:bCs w:val="1"/>
          <w:color w:val="AF0000"/>
        </w:rPr>
        <w:t>SILVIA M.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-132715</wp:posOffset>
            </wp:positionV>
            <wp:extent cx="1174115" cy="11741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74115" cy="1174115"/>
                    </a:xfrm>
                    <a:prstGeom prst="rect">
                      <a:avLst/>
                    </a:prstGeom>
                    <a:noFill/>
                  </pic:spPr>
                </pic:pic>
              </a:graphicData>
            </a:graphic>
          </wp:anchor>
        </w:drawing>
      </w:r>
    </w:p>
    <w:p>
      <w:pPr>
        <w:spacing w:after="0" w:line="80" w:lineRule="exact"/>
        <w:rPr>
          <w:sz w:val="20"/>
          <w:szCs w:val="20"/>
          <w:color w:val="auto"/>
        </w:rPr>
      </w:pPr>
    </w:p>
    <w:p>
      <w:pPr>
        <w:ind w:left="340" w:right="7399"/>
        <w:spacing w:after="0" w:line="245" w:lineRule="auto"/>
        <w:rPr>
          <w:sz w:val="20"/>
          <w:szCs w:val="20"/>
          <w:color w:val="auto"/>
        </w:rPr>
      </w:pPr>
      <w:r>
        <w:rPr>
          <w:rFonts w:ascii="Calibri" w:cs="Calibri" w:eastAsia="Calibri" w:hAnsi="Calibri"/>
          <w:sz w:val="14"/>
          <w:szCs w:val="14"/>
          <w:b w:val="1"/>
          <w:bCs w:val="1"/>
          <w:color w:val="auto"/>
        </w:rPr>
        <w:t>Independent Director Nominee</w:t>
      </w:r>
    </w:p>
    <w:p>
      <w:pPr>
        <w:spacing w:after="0" w:line="163"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Age: </w:t>
      </w:r>
      <w:r>
        <w:rPr>
          <w:rFonts w:ascii="Calibri" w:cs="Calibri" w:eastAsia="Calibri" w:hAnsi="Calibri"/>
          <w:sz w:val="14"/>
          <w:szCs w:val="14"/>
          <w:color w:val="auto"/>
        </w:rPr>
        <w:t>57</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New Nominee</w:t>
      </w:r>
    </w:p>
    <w:p>
      <w:pPr>
        <w:ind w:left="340"/>
        <w:spacing w:after="0" w:line="227" w:lineRule="auto"/>
        <w:rPr>
          <w:sz w:val="20"/>
          <w:szCs w:val="20"/>
          <w:color w:val="auto"/>
        </w:rPr>
      </w:pPr>
      <w:r>
        <w:rPr>
          <w:rFonts w:ascii="Calibri" w:cs="Calibri" w:eastAsia="Calibri" w:hAnsi="Calibri"/>
          <w:sz w:val="14"/>
          <w:szCs w:val="14"/>
          <w:b w:val="1"/>
          <w:bCs w:val="1"/>
          <w:color w:val="auto"/>
        </w:rPr>
        <w:t xml:space="preserve">Other Public Boards: </w:t>
      </w:r>
      <w:r>
        <w:rPr>
          <w:rFonts w:ascii="Calibri" w:cs="Calibri" w:eastAsia="Calibri" w:hAnsi="Calibri"/>
          <w:sz w:val="14"/>
          <w:szCs w:val="14"/>
          <w:color w:val="auto"/>
        </w:rPr>
        <w:t>None</w:t>
      </w:r>
    </w:p>
    <w:p>
      <w:pPr>
        <w:spacing w:after="0" w:line="6" w:lineRule="exact"/>
        <w:rPr>
          <w:sz w:val="20"/>
          <w:szCs w:val="20"/>
          <w:color w:val="auto"/>
        </w:rPr>
      </w:pPr>
    </w:p>
    <w:p>
      <w:pPr>
        <w:ind w:left="340" w:right="6639"/>
        <w:spacing w:after="0" w:line="241" w:lineRule="auto"/>
        <w:rPr>
          <w:sz w:val="20"/>
          <w:szCs w:val="20"/>
          <w:color w:val="auto"/>
        </w:rPr>
      </w:pPr>
      <w:r>
        <w:rPr>
          <w:rFonts w:ascii="Calibri" w:cs="Calibri" w:eastAsia="Calibri" w:hAnsi="Calibri"/>
          <w:sz w:val="14"/>
          <w:szCs w:val="14"/>
          <w:b w:val="1"/>
          <w:bCs w:val="1"/>
          <w:color w:val="auto"/>
        </w:rPr>
        <w:t xml:space="preserve">Educaton: </w:t>
      </w:r>
      <w:r>
        <w:rPr>
          <w:rFonts w:ascii="Calibri" w:cs="Calibri" w:eastAsia="Calibri" w:hAnsi="Calibri"/>
          <w:sz w:val="14"/>
          <w:szCs w:val="14"/>
          <w:color w:val="auto"/>
        </w:rPr>
        <w:t>Pharmaceutcal</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Chemist, University of the Republic (Uruguay); Industrial Pharmacist, Federal University of Parana (Brazil)</w:t>
      </w:r>
    </w:p>
    <w:p>
      <w:pPr>
        <w:spacing w:after="0" w:line="177"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Term Expires: </w:t>
      </w:r>
      <w:r>
        <w:rPr>
          <w:rFonts w:ascii="Calibri" w:cs="Calibri" w:eastAsia="Calibri" w:hAnsi="Calibri"/>
          <w:sz w:val="14"/>
          <w:szCs w:val="14"/>
          <w:color w:val="auto"/>
        </w:rPr>
        <w:t>New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132715</wp:posOffset>
            </wp:positionV>
            <wp:extent cx="2640330" cy="3677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40330" cy="3677285"/>
                    </a:xfrm>
                    <a:prstGeom prst="rect">
                      <a:avLst/>
                    </a:prstGeom>
                    <a:noFill/>
                  </pic:spPr>
                </pic:pic>
              </a:graphicData>
            </a:graphic>
          </wp:anchor>
        </w:drawing>
      </w:r>
    </w:p>
    <w:p>
      <w:pPr>
        <w:spacing w:after="0" w:line="270"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F0000"/>
        </w:rPr>
        <w:t>Career Highlights</w:t>
      </w:r>
    </w:p>
    <w:p>
      <w:pPr>
        <w:spacing w:after="0" w:line="77" w:lineRule="exact"/>
        <w:rPr>
          <w:sz w:val="20"/>
          <w:szCs w:val="20"/>
          <w:color w:val="auto"/>
        </w:rPr>
      </w:pPr>
    </w:p>
    <w:p>
      <w:pPr>
        <w:ind w:left="500" w:right="4819" w:hanging="131"/>
        <w:spacing w:after="0" w:line="231" w:lineRule="auto"/>
        <w:tabs>
          <w:tab w:leader="none" w:pos="500" w:val="left"/>
        </w:tabs>
        <w:numPr>
          <w:ilvl w:val="0"/>
          <w:numId w:val="32"/>
        </w:numPr>
        <w:rPr>
          <w:rFonts w:ascii="Times New Roman" w:cs="Times New Roman" w:eastAsia="Times New Roman" w:hAnsi="Times New Roman"/>
          <w:sz w:val="18"/>
          <w:szCs w:val="18"/>
          <w:color w:val="AF0000"/>
        </w:rPr>
      </w:pPr>
      <w:r>
        <w:rPr>
          <w:rFonts w:ascii="Calibri" w:cs="Calibri" w:eastAsia="Calibri" w:hAnsi="Calibri"/>
          <w:sz w:val="14"/>
          <w:szCs w:val="14"/>
          <w:color w:val="auto"/>
        </w:rPr>
        <w:t>President and General Manager of Commercial Branding and Transportaton business, a $2.6 billion revenue division of 3M Company, a multnatonal NYSE-listed company operatng in the felds of healthcare, consumer goods and worker safety, 2023 to present</w:t>
      </w:r>
    </w:p>
    <w:p>
      <w:pPr>
        <w:spacing w:after="0" w:line="87" w:lineRule="exact"/>
        <w:rPr>
          <w:rFonts w:ascii="Times New Roman" w:cs="Times New Roman" w:eastAsia="Times New Roman" w:hAnsi="Times New Roman"/>
          <w:sz w:val="18"/>
          <w:szCs w:val="18"/>
          <w:color w:val="AF0000"/>
        </w:rPr>
      </w:pPr>
    </w:p>
    <w:p>
      <w:pPr>
        <w:ind w:left="500" w:right="4939" w:hanging="131"/>
        <w:spacing w:after="0" w:line="221" w:lineRule="auto"/>
        <w:tabs>
          <w:tab w:leader="none" w:pos="500" w:val="left"/>
        </w:tabs>
        <w:numPr>
          <w:ilvl w:val="0"/>
          <w:numId w:val="32"/>
        </w:numPr>
        <w:rPr>
          <w:rFonts w:ascii="Times New Roman" w:cs="Times New Roman" w:eastAsia="Times New Roman" w:hAnsi="Times New Roman"/>
          <w:sz w:val="18"/>
          <w:szCs w:val="18"/>
          <w:color w:val="AF0000"/>
        </w:rPr>
      </w:pPr>
      <w:r>
        <w:rPr>
          <w:rFonts w:ascii="Calibri" w:cs="Calibri" w:eastAsia="Calibri" w:hAnsi="Calibri"/>
          <w:sz w:val="14"/>
          <w:szCs w:val="14"/>
          <w:color w:val="auto"/>
        </w:rPr>
        <w:t>President and General Manager of Commercial Solutons Division of 3M Company, an approximate $1.8 billion division, 2020 to 2023</w:t>
      </w:r>
    </w:p>
    <w:p>
      <w:pPr>
        <w:spacing w:after="0" w:line="102" w:lineRule="exact"/>
        <w:rPr>
          <w:rFonts w:ascii="Times New Roman" w:cs="Times New Roman" w:eastAsia="Times New Roman" w:hAnsi="Times New Roman"/>
          <w:sz w:val="18"/>
          <w:szCs w:val="18"/>
          <w:color w:val="AF0000"/>
        </w:rPr>
      </w:pPr>
    </w:p>
    <w:p>
      <w:pPr>
        <w:ind w:left="500" w:right="4919" w:hanging="131"/>
        <w:spacing w:after="0" w:line="221" w:lineRule="auto"/>
        <w:tabs>
          <w:tab w:leader="none" w:pos="500" w:val="left"/>
        </w:tabs>
        <w:numPr>
          <w:ilvl w:val="0"/>
          <w:numId w:val="32"/>
        </w:numPr>
        <w:rPr>
          <w:rFonts w:ascii="Times New Roman" w:cs="Times New Roman" w:eastAsia="Times New Roman" w:hAnsi="Times New Roman"/>
          <w:sz w:val="18"/>
          <w:szCs w:val="18"/>
          <w:color w:val="AF0000"/>
        </w:rPr>
      </w:pPr>
      <w:r>
        <w:rPr>
          <w:rFonts w:ascii="Calibri" w:cs="Calibri" w:eastAsia="Calibri" w:hAnsi="Calibri"/>
          <w:sz w:val="14"/>
          <w:szCs w:val="14"/>
          <w:color w:val="auto"/>
        </w:rPr>
        <w:t>Interim President of Acelity acquisiton, overseeing the integraton of Acelity into 3M Company, which was the largest acquisiton in the history of 3M Company, 2019 to 2020</w:t>
      </w:r>
    </w:p>
    <w:p>
      <w:pPr>
        <w:spacing w:after="0" w:line="88" w:lineRule="exact"/>
        <w:rPr>
          <w:rFonts w:ascii="Times New Roman" w:cs="Times New Roman" w:eastAsia="Times New Roman" w:hAnsi="Times New Roman"/>
          <w:sz w:val="18"/>
          <w:szCs w:val="18"/>
          <w:color w:val="AF0000"/>
        </w:rPr>
      </w:pPr>
    </w:p>
    <w:p>
      <w:pPr>
        <w:ind w:left="500" w:right="4939" w:hanging="131"/>
        <w:spacing w:after="0" w:line="219" w:lineRule="auto"/>
        <w:tabs>
          <w:tab w:leader="none" w:pos="500" w:val="left"/>
        </w:tabs>
        <w:numPr>
          <w:ilvl w:val="0"/>
          <w:numId w:val="32"/>
        </w:numPr>
        <w:rPr>
          <w:rFonts w:ascii="Times New Roman" w:cs="Times New Roman" w:eastAsia="Times New Roman" w:hAnsi="Times New Roman"/>
          <w:sz w:val="18"/>
          <w:szCs w:val="18"/>
          <w:color w:val="AF0000"/>
        </w:rPr>
      </w:pPr>
      <w:r>
        <w:rPr>
          <w:rFonts w:ascii="Calibri" w:cs="Calibri" w:eastAsia="Calibri" w:hAnsi="Calibri"/>
          <w:sz w:val="14"/>
          <w:szCs w:val="14"/>
          <w:color w:val="auto"/>
        </w:rPr>
        <w:t>Various leadership roles within the healthcare business of 3M Company, both domestc and internatonal, 1994 to 2019</w:t>
      </w:r>
    </w:p>
    <w:p>
      <w:pPr>
        <w:spacing w:after="0" w:line="87" w:lineRule="exact"/>
        <w:rPr>
          <w:rFonts w:ascii="Times New Roman" w:cs="Times New Roman" w:eastAsia="Times New Roman" w:hAnsi="Times New Roman"/>
          <w:sz w:val="18"/>
          <w:szCs w:val="18"/>
          <w:color w:val="AF0000"/>
        </w:rPr>
      </w:pPr>
    </w:p>
    <w:p>
      <w:pPr>
        <w:ind w:left="500" w:right="5499" w:hanging="131"/>
        <w:spacing w:after="0" w:line="219" w:lineRule="auto"/>
        <w:tabs>
          <w:tab w:leader="none" w:pos="500" w:val="left"/>
        </w:tabs>
        <w:numPr>
          <w:ilvl w:val="0"/>
          <w:numId w:val="32"/>
        </w:numPr>
        <w:rPr>
          <w:rFonts w:ascii="Times New Roman" w:cs="Times New Roman" w:eastAsia="Times New Roman" w:hAnsi="Times New Roman"/>
          <w:sz w:val="18"/>
          <w:szCs w:val="18"/>
          <w:color w:val="AF0000"/>
        </w:rPr>
      </w:pPr>
      <w:r>
        <w:rPr>
          <w:rFonts w:ascii="Calibri" w:cs="Calibri" w:eastAsia="Calibri" w:hAnsi="Calibri"/>
          <w:sz w:val="14"/>
          <w:szCs w:val="14"/>
          <w:color w:val="auto"/>
        </w:rPr>
        <w:t>Obtained Six Sigma Black Belt and Master Black Belt Certfcatons</w:t>
      </w:r>
    </w:p>
    <w:p>
      <w:pPr>
        <w:spacing w:after="0" w:line="101"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F0000"/>
        </w:rPr>
        <w:t>Qualifcatons of Partcular Relevance to Merit</w:t>
      </w:r>
    </w:p>
    <w:p>
      <w:pPr>
        <w:spacing w:after="0" w:line="22"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Ms. Perez brings a 20-plus year career in the healthcare industry</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with a broad backgrounding spanning clinical, regulatory,</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operatons, marketng, and business leadership.  The Board</w:t>
      </w:r>
    </w:p>
    <w:p>
      <w:pPr>
        <w:ind w:left="380"/>
        <w:spacing w:after="0" w:line="227" w:lineRule="auto"/>
        <w:rPr>
          <w:sz w:val="20"/>
          <w:szCs w:val="20"/>
          <w:color w:val="auto"/>
        </w:rPr>
      </w:pPr>
      <w:r>
        <w:rPr>
          <w:rFonts w:ascii="Calibri" w:cs="Calibri" w:eastAsia="Calibri" w:hAnsi="Calibri"/>
          <w:sz w:val="14"/>
          <w:szCs w:val="14"/>
          <w:color w:val="auto"/>
        </w:rPr>
        <w:t>believes her broad experience and proven track record of</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leadership success will enable her to provide valuable industry</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and organizatonal perspectve to the Board and the Company’s</w:t>
      </w:r>
    </w:p>
    <w:p>
      <w:pPr>
        <w:ind w:left="380"/>
        <w:spacing w:after="0" w:line="227" w:lineRule="auto"/>
        <w:rPr>
          <w:sz w:val="20"/>
          <w:szCs w:val="20"/>
          <w:color w:val="auto"/>
        </w:rPr>
      </w:pPr>
      <w:r>
        <w:rPr>
          <w:rFonts w:ascii="Calibri" w:cs="Calibri" w:eastAsia="Calibri" w:hAnsi="Calibri"/>
          <w:sz w:val="14"/>
          <w:szCs w:val="14"/>
          <w:color w:val="auto"/>
        </w:rPr>
        <w:t>management team. The Board also believes Ms. Perez’s frst-</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hand experience with post-acquisiton business integraton will</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aid the Company in its strategic merger and acquisiton</w:t>
      </w:r>
    </w:p>
    <w:p>
      <w:pPr>
        <w:ind w:left="380"/>
        <w:spacing w:after="0" w:line="227" w:lineRule="auto"/>
        <w:rPr>
          <w:sz w:val="20"/>
          <w:szCs w:val="20"/>
          <w:color w:val="auto"/>
        </w:rPr>
      </w:pPr>
      <w:r>
        <w:rPr>
          <w:rFonts w:ascii="Calibri" w:cs="Calibri" w:eastAsia="Calibri" w:hAnsi="Calibri"/>
          <w:sz w:val="14"/>
          <w:szCs w:val="14"/>
          <w:color w:val="auto"/>
        </w:rPr>
        <w:t>endeavors.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8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12" w:name="page13"/>
    <w:bookmarkEnd w:id="12"/>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CORPORATE GOVERNANCE AND RELATED MATTERS</w:t>
      </w:r>
    </w:p>
    <w:p>
      <w:pPr>
        <w:spacing w:after="0" w:line="158"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Directors Whose Terms of Ofce Contnue</w:t>
      </w:r>
    </w:p>
    <w:p>
      <w:pPr>
        <w:spacing w:after="0" w:line="186" w:lineRule="exact"/>
        <w:rPr>
          <w:sz w:val="20"/>
          <w:szCs w:val="20"/>
          <w:color w:val="auto"/>
        </w:rPr>
      </w:pPr>
    </w:p>
    <w:p>
      <w:pPr>
        <w:ind w:left="200" w:right="279"/>
        <w:spacing w:after="0" w:line="254" w:lineRule="auto"/>
        <w:rPr>
          <w:sz w:val="20"/>
          <w:szCs w:val="20"/>
          <w:color w:val="auto"/>
        </w:rPr>
      </w:pPr>
      <w:r>
        <w:rPr>
          <w:rFonts w:ascii="Calibri" w:cs="Calibri" w:eastAsia="Calibri" w:hAnsi="Calibri"/>
          <w:sz w:val="17"/>
          <w:szCs w:val="17"/>
          <w:color w:val="auto"/>
        </w:rPr>
        <w:t>In its regular discussions regarding Board compositon, our Governance Commitee works with the Board to determine the appropriate mix of professional experience, areas of expertse, educatonal background and other qualifcatons that are partcularly desirable for our directors to possess in light of our current and future business strategies.</w:t>
      </w:r>
    </w:p>
    <w:p>
      <w:pPr>
        <w:spacing w:after="0" w:line="165" w:lineRule="exact"/>
        <w:rPr>
          <w:sz w:val="20"/>
          <w:szCs w:val="20"/>
          <w:color w:val="auto"/>
        </w:rPr>
      </w:pPr>
    </w:p>
    <w:p>
      <w:pPr>
        <w:jc w:val="both"/>
        <w:ind w:left="200" w:right="339"/>
        <w:spacing w:after="0" w:line="235" w:lineRule="auto"/>
        <w:rPr>
          <w:sz w:val="20"/>
          <w:szCs w:val="20"/>
          <w:color w:val="auto"/>
        </w:rPr>
      </w:pPr>
      <w:r>
        <w:rPr>
          <w:rFonts w:ascii="Calibri" w:cs="Calibri" w:eastAsia="Calibri" w:hAnsi="Calibri"/>
          <w:sz w:val="18"/>
          <w:szCs w:val="18"/>
          <w:color w:val="auto"/>
        </w:rPr>
        <w:t>The Board believes that its current members have the right combinaton of experience and qualifcatons to contnue to lead the Company to success. Informaton regarding the specifc experience, qualifcatons, atributes and skills that led the Board and the Governance Commitee to conclude that each contnuing director should serve on the Board are set forth below:</w:t>
      </w:r>
    </w:p>
    <w:p>
      <w:pPr>
        <w:spacing w:after="0" w:line="181" w:lineRule="exact"/>
        <w:rPr>
          <w:sz w:val="20"/>
          <w:szCs w:val="20"/>
          <w:color w:val="auto"/>
        </w:rPr>
      </w:pPr>
    </w:p>
    <w:p>
      <w:pPr>
        <w:ind w:left="340"/>
        <w:spacing w:after="0"/>
        <w:tabs>
          <w:tab w:leader="none" w:pos="4760" w:val="left"/>
        </w:tabs>
        <w:rPr>
          <w:sz w:val="20"/>
          <w:szCs w:val="20"/>
          <w:color w:val="auto"/>
        </w:rPr>
      </w:pPr>
      <w:r>
        <w:rPr>
          <w:rFonts w:ascii="Calibri" w:cs="Calibri" w:eastAsia="Calibri" w:hAnsi="Calibri"/>
          <w:sz w:val="20"/>
          <w:szCs w:val="20"/>
          <w:b w:val="1"/>
          <w:bCs w:val="1"/>
          <w:color w:val="AF0000"/>
        </w:rPr>
        <w:t>LONNY J. CARPENTER</w:t>
      </w:r>
      <w:r>
        <w:rPr>
          <w:sz w:val="20"/>
          <w:szCs w:val="20"/>
          <w:color w:val="auto"/>
        </w:rPr>
        <w:tab/>
      </w:r>
      <w:r>
        <w:rPr>
          <w:rFonts w:ascii="Calibri" w:cs="Calibri" w:eastAsia="Calibri" w:hAnsi="Calibri"/>
          <w:sz w:val="19"/>
          <w:szCs w:val="19"/>
          <w:b w:val="1"/>
          <w:bCs w:val="1"/>
          <w:color w:val="AF0000"/>
        </w:rPr>
        <w:t>DAVID K.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-132715</wp:posOffset>
            </wp:positionV>
            <wp:extent cx="1071880" cy="13887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71880" cy="138874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-132715</wp:posOffset>
            </wp:positionV>
            <wp:extent cx="1097280" cy="1431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97280" cy="1431290"/>
                    </a:xfrm>
                    <a:prstGeom prst="rect">
                      <a:avLst/>
                    </a:prstGeom>
                    <a:noFill/>
                  </pic:spPr>
                </pic:pic>
              </a:graphicData>
            </a:graphic>
          </wp:anchor>
        </w:drawing>
      </w:r>
    </w:p>
    <w:p>
      <w:pPr>
        <w:spacing w:after="0" w:line="79" w:lineRule="exact"/>
        <w:rPr>
          <w:sz w:val="20"/>
          <w:szCs w:val="20"/>
          <w:color w:val="auto"/>
        </w:rPr>
      </w:pPr>
    </w:p>
    <w:p>
      <w:pPr>
        <w:ind w:left="340"/>
        <w:spacing w:after="0"/>
        <w:tabs>
          <w:tab w:leader="none" w:pos="4760" w:val="left"/>
        </w:tabs>
        <w:rPr>
          <w:sz w:val="20"/>
          <w:szCs w:val="20"/>
          <w:color w:val="auto"/>
        </w:rPr>
      </w:pPr>
      <w:r>
        <w:rPr>
          <w:rFonts w:ascii="Calibri" w:cs="Calibri" w:eastAsia="Calibri" w:hAnsi="Calibri"/>
          <w:sz w:val="14"/>
          <w:szCs w:val="14"/>
          <w:b w:val="1"/>
          <w:bCs w:val="1"/>
          <w:color w:val="auto"/>
        </w:rPr>
        <w:t>Independent Director</w:t>
      </w:r>
      <w:r>
        <w:rPr>
          <w:sz w:val="20"/>
          <w:szCs w:val="20"/>
          <w:color w:val="auto"/>
        </w:rPr>
        <w:tab/>
      </w:r>
      <w:r>
        <w:rPr>
          <w:rFonts w:ascii="Calibri" w:cs="Calibri" w:eastAsia="Calibri" w:hAnsi="Calibri"/>
          <w:sz w:val="14"/>
          <w:szCs w:val="14"/>
          <w:b w:val="1"/>
          <w:bCs w:val="1"/>
          <w:color w:val="auto"/>
        </w:rPr>
        <w:t>Independent Director</w:t>
      </w:r>
    </w:p>
    <w:p>
      <w:pPr>
        <w:spacing w:after="0" w:line="180" w:lineRule="exact"/>
        <w:rPr>
          <w:sz w:val="20"/>
          <w:szCs w:val="20"/>
          <w:color w:val="auto"/>
        </w:rPr>
      </w:pPr>
    </w:p>
    <w:p>
      <w:pPr>
        <w:ind w:left="340"/>
        <w:spacing w:after="0"/>
        <w:tabs>
          <w:tab w:leader="none" w:pos="4760" w:val="left"/>
        </w:tabs>
        <w:rPr>
          <w:sz w:val="20"/>
          <w:szCs w:val="20"/>
          <w:color w:val="auto"/>
        </w:rPr>
      </w:pPr>
      <w:r>
        <w:rPr>
          <w:rFonts w:ascii="Calibri" w:cs="Calibri" w:eastAsia="Calibri" w:hAnsi="Calibri"/>
          <w:sz w:val="14"/>
          <w:szCs w:val="14"/>
          <w:b w:val="1"/>
          <w:bCs w:val="1"/>
          <w:color w:val="auto"/>
        </w:rPr>
        <w:t xml:space="preserve">Age: </w:t>
      </w:r>
      <w:r>
        <w:rPr>
          <w:rFonts w:ascii="Calibri" w:cs="Calibri" w:eastAsia="Calibri" w:hAnsi="Calibri"/>
          <w:sz w:val="14"/>
          <w:szCs w:val="14"/>
          <w:color w:val="auto"/>
        </w:rPr>
        <w:t>62</w:t>
      </w:r>
      <w:r>
        <w:rPr>
          <w:sz w:val="20"/>
          <w:szCs w:val="20"/>
          <w:color w:val="auto"/>
        </w:rPr>
        <w:tab/>
      </w:r>
      <w:r>
        <w:rPr>
          <w:rFonts w:ascii="Calibri" w:cs="Calibri" w:eastAsia="Calibri" w:hAnsi="Calibri"/>
          <w:sz w:val="14"/>
          <w:szCs w:val="14"/>
          <w:b w:val="1"/>
          <w:bCs w:val="1"/>
          <w:color w:val="auto"/>
        </w:rPr>
        <w:t xml:space="preserve">Age: </w:t>
      </w:r>
      <w:r>
        <w:rPr>
          <w:rFonts w:ascii="Calibri" w:cs="Calibri" w:eastAsia="Calibri" w:hAnsi="Calibri"/>
          <w:sz w:val="14"/>
          <w:szCs w:val="14"/>
          <w:color w:val="auto"/>
        </w:rPr>
        <w:t>63</w:t>
      </w:r>
    </w:p>
    <w:p>
      <w:pPr>
        <w:ind w:left="340"/>
        <w:spacing w:after="0" w:line="227" w:lineRule="auto"/>
        <w:tabs>
          <w:tab w:leader="none" w:pos="4760" w:val="left"/>
        </w:tabs>
        <w:rPr>
          <w:sz w:val="20"/>
          <w:szCs w:val="20"/>
          <w:color w:val="auto"/>
        </w:rPr>
      </w:pPr>
      <w:r>
        <w:rPr>
          <w:rFonts w:ascii="Calibri" w:cs="Calibri" w:eastAsia="Calibri" w:hAnsi="Calibri"/>
          <w:sz w:val="14"/>
          <w:szCs w:val="14"/>
          <w:b w:val="1"/>
          <w:bCs w:val="1"/>
          <w:color w:val="auto"/>
        </w:rPr>
        <w:t xml:space="preserve">Director Since: </w:t>
      </w:r>
      <w:r>
        <w:rPr>
          <w:rFonts w:ascii="Calibri" w:cs="Calibri" w:eastAsia="Calibri" w:hAnsi="Calibri"/>
          <w:sz w:val="14"/>
          <w:szCs w:val="14"/>
          <w:color w:val="auto"/>
        </w:rPr>
        <w:t>June 2020</w:t>
      </w:r>
      <w:r>
        <w:rPr>
          <w:sz w:val="20"/>
          <w:szCs w:val="20"/>
          <w:color w:val="auto"/>
        </w:rPr>
        <w:tab/>
      </w:r>
      <w:r>
        <w:rPr>
          <w:rFonts w:ascii="Calibri" w:cs="Calibri" w:eastAsia="Calibri" w:hAnsi="Calibri"/>
          <w:sz w:val="14"/>
          <w:szCs w:val="14"/>
          <w:b w:val="1"/>
          <w:bCs w:val="1"/>
          <w:color w:val="auto"/>
        </w:rPr>
        <w:t xml:space="preserve">Director Since: </w:t>
      </w:r>
      <w:r>
        <w:rPr>
          <w:rFonts w:ascii="Calibri" w:cs="Calibri" w:eastAsia="Calibri" w:hAnsi="Calibri"/>
          <w:sz w:val="14"/>
          <w:szCs w:val="14"/>
          <w:color w:val="auto"/>
        </w:rPr>
        <w:t>June 2020</w:t>
      </w:r>
    </w:p>
    <w:p>
      <w:pPr>
        <w:spacing w:after="0" w:line="5" w:lineRule="exact"/>
        <w:rPr>
          <w:sz w:val="20"/>
          <w:szCs w:val="20"/>
          <w:color w:val="auto"/>
        </w:rPr>
      </w:pPr>
    </w:p>
    <w:p>
      <w:pPr>
        <w:ind w:left="340"/>
        <w:spacing w:after="0"/>
        <w:tabs>
          <w:tab w:leader="none" w:pos="4760" w:val="left"/>
        </w:tabs>
        <w:rPr>
          <w:sz w:val="20"/>
          <w:szCs w:val="20"/>
          <w:color w:val="auto"/>
        </w:rPr>
      </w:pPr>
      <w:r>
        <w:rPr>
          <w:rFonts w:ascii="Calibri" w:cs="Calibri" w:eastAsia="Calibri" w:hAnsi="Calibri"/>
          <w:sz w:val="14"/>
          <w:szCs w:val="14"/>
          <w:b w:val="1"/>
          <w:bCs w:val="1"/>
          <w:color w:val="auto"/>
        </w:rPr>
        <w:t xml:space="preserve">Commitees: </w:t>
      </w:r>
      <w:r>
        <w:rPr>
          <w:rFonts w:ascii="Calibri" w:cs="Calibri" w:eastAsia="Calibri" w:hAnsi="Calibri"/>
          <w:sz w:val="14"/>
          <w:szCs w:val="14"/>
          <w:color w:val="auto"/>
        </w:rPr>
        <w:t>Operatng (Chair),</w:t>
      </w:r>
      <w:r>
        <w:rPr>
          <w:sz w:val="20"/>
          <w:szCs w:val="20"/>
          <w:color w:val="auto"/>
        </w:rPr>
        <w:tab/>
      </w:r>
      <w:r>
        <w:rPr>
          <w:rFonts w:ascii="Calibri" w:cs="Calibri" w:eastAsia="Calibri" w:hAnsi="Calibri"/>
          <w:sz w:val="14"/>
          <w:szCs w:val="14"/>
          <w:b w:val="1"/>
          <w:bCs w:val="1"/>
          <w:color w:val="auto"/>
        </w:rPr>
        <w:t xml:space="preserve">Commitees: </w:t>
      </w:r>
      <w:r>
        <w:rPr>
          <w:rFonts w:ascii="Calibri" w:cs="Calibri" w:eastAsia="Calibri" w:hAnsi="Calibri"/>
          <w:sz w:val="14"/>
          <w:szCs w:val="14"/>
          <w:color w:val="auto"/>
        </w:rPr>
        <w:t>Governance and</w:t>
      </w:r>
    </w:p>
    <w:p>
      <w:pPr>
        <w:spacing w:after="0" w:line="5" w:lineRule="exact"/>
        <w:rPr>
          <w:sz w:val="20"/>
          <w:szCs w:val="20"/>
          <w:color w:val="auto"/>
        </w:rPr>
      </w:pPr>
    </w:p>
    <w:p>
      <w:pPr>
        <w:ind w:left="340"/>
        <w:spacing w:after="0"/>
        <w:tabs>
          <w:tab w:leader="none" w:pos="4760" w:val="left"/>
        </w:tabs>
        <w:rPr>
          <w:sz w:val="20"/>
          <w:szCs w:val="20"/>
          <w:color w:val="auto"/>
        </w:rPr>
      </w:pPr>
      <w:r>
        <w:rPr>
          <w:rFonts w:ascii="Calibri" w:cs="Calibri" w:eastAsia="Calibri" w:hAnsi="Calibri"/>
          <w:sz w:val="14"/>
          <w:szCs w:val="14"/>
          <w:color w:val="auto"/>
        </w:rPr>
        <w:t>Compensaton, Finance</w:t>
      </w:r>
      <w:r>
        <w:rPr>
          <w:sz w:val="20"/>
          <w:szCs w:val="20"/>
          <w:color w:val="auto"/>
        </w:rPr>
        <w:tab/>
      </w:r>
      <w:r>
        <w:rPr>
          <w:rFonts w:ascii="Calibri" w:cs="Calibri" w:eastAsia="Calibri" w:hAnsi="Calibri"/>
          <w:sz w:val="14"/>
          <w:szCs w:val="14"/>
          <w:color w:val="auto"/>
        </w:rPr>
        <w:t>Sustainability, Operatng</w:t>
      </w:r>
    </w:p>
    <w:p>
      <w:pPr>
        <w:spacing w:after="0" w:line="5" w:lineRule="exact"/>
        <w:rPr>
          <w:sz w:val="20"/>
          <w:szCs w:val="20"/>
          <w:color w:val="auto"/>
        </w:rPr>
      </w:pPr>
    </w:p>
    <w:p>
      <w:pPr>
        <w:ind w:left="340"/>
        <w:spacing w:after="0"/>
        <w:tabs>
          <w:tab w:leader="none" w:pos="4760" w:val="left"/>
        </w:tabs>
        <w:rPr>
          <w:sz w:val="20"/>
          <w:szCs w:val="20"/>
          <w:color w:val="auto"/>
        </w:rPr>
      </w:pPr>
      <w:r>
        <w:rPr>
          <w:rFonts w:ascii="Calibri" w:cs="Calibri" w:eastAsia="Calibri" w:hAnsi="Calibri"/>
          <w:sz w:val="14"/>
          <w:szCs w:val="14"/>
          <w:b w:val="1"/>
          <w:bCs w:val="1"/>
          <w:color w:val="auto"/>
        </w:rPr>
        <w:t xml:space="preserve">Other Public Boards: </w:t>
      </w:r>
      <w:r>
        <w:rPr>
          <w:rFonts w:ascii="Calibri" w:cs="Calibri" w:eastAsia="Calibri" w:hAnsi="Calibri"/>
          <w:sz w:val="14"/>
          <w:szCs w:val="14"/>
          <w:color w:val="auto"/>
        </w:rPr>
        <w:t>Novanta</w:t>
      </w:r>
      <w:r>
        <w:rPr>
          <w:sz w:val="20"/>
          <w:szCs w:val="20"/>
          <w:color w:val="auto"/>
        </w:rPr>
        <w:tab/>
      </w:r>
      <w:r>
        <w:rPr>
          <w:rFonts w:ascii="Calibri" w:cs="Calibri" w:eastAsia="Calibri" w:hAnsi="Calibri"/>
          <w:sz w:val="14"/>
          <w:szCs w:val="14"/>
          <w:b w:val="1"/>
          <w:bCs w:val="1"/>
          <w:color w:val="auto"/>
        </w:rPr>
        <w:t xml:space="preserve">Other Public Boards: </w:t>
      </w:r>
      <w:r>
        <w:rPr>
          <w:rFonts w:ascii="Calibri" w:cs="Calibri" w:eastAsia="Calibri" w:hAnsi="Calibri"/>
          <w:sz w:val="14"/>
          <w:szCs w:val="14"/>
          <w:color w:val="auto"/>
        </w:rPr>
        <w:t>None</w:t>
      </w:r>
    </w:p>
    <w:p>
      <w:pPr>
        <w:ind w:left="340"/>
        <w:spacing w:after="0" w:line="227" w:lineRule="auto"/>
        <w:tabs>
          <w:tab w:leader="none" w:pos="4760" w:val="left"/>
        </w:tabs>
        <w:rPr>
          <w:sz w:val="20"/>
          <w:szCs w:val="20"/>
          <w:color w:val="auto"/>
        </w:rPr>
      </w:pPr>
      <w:r>
        <w:rPr>
          <w:rFonts w:ascii="Calibri" w:cs="Calibri" w:eastAsia="Calibri" w:hAnsi="Calibri"/>
          <w:sz w:val="14"/>
          <w:szCs w:val="14"/>
          <w:color w:val="auto"/>
        </w:rPr>
        <w:t>Inc.</w:t>
      </w:r>
      <w:r>
        <w:rPr>
          <w:sz w:val="20"/>
          <w:szCs w:val="20"/>
          <w:color w:val="auto"/>
        </w:rPr>
        <w:tab/>
      </w:r>
      <w:r>
        <w:rPr>
          <w:rFonts w:ascii="Calibri" w:cs="Calibri" w:eastAsia="Calibri" w:hAnsi="Calibri"/>
          <w:sz w:val="14"/>
          <w:szCs w:val="14"/>
          <w:b w:val="1"/>
          <w:bCs w:val="1"/>
          <w:color w:val="auto"/>
        </w:rPr>
        <w:t xml:space="preserve">Educaton: </w:t>
      </w:r>
      <w:r>
        <w:rPr>
          <w:rFonts w:ascii="Calibri" w:cs="Calibri" w:eastAsia="Calibri" w:hAnsi="Calibri"/>
          <w:sz w:val="14"/>
          <w:szCs w:val="14"/>
          <w:color w:val="auto"/>
        </w:rPr>
        <w:t>B.S., Grace College</w:t>
      </w:r>
    </w:p>
    <w:p>
      <w:pPr>
        <w:spacing w:after="0" w:line="5" w:lineRule="exact"/>
        <w:rPr>
          <w:sz w:val="20"/>
          <w:szCs w:val="20"/>
          <w:color w:val="auto"/>
        </w:rPr>
      </w:pPr>
    </w:p>
    <w:p>
      <w:pPr>
        <w:ind w:left="340"/>
        <w:spacing w:after="0"/>
        <w:tabs>
          <w:tab w:leader="none" w:pos="4780" w:val="left"/>
        </w:tabs>
        <w:rPr>
          <w:sz w:val="20"/>
          <w:szCs w:val="20"/>
          <w:color w:val="auto"/>
        </w:rPr>
      </w:pPr>
      <w:r>
        <w:rPr>
          <w:rFonts w:ascii="Calibri" w:cs="Calibri" w:eastAsia="Calibri" w:hAnsi="Calibri"/>
          <w:sz w:val="14"/>
          <w:szCs w:val="14"/>
          <w:b w:val="1"/>
          <w:bCs w:val="1"/>
          <w:color w:val="auto"/>
        </w:rPr>
        <w:t xml:space="preserve">Educaton: </w:t>
      </w:r>
      <w:r>
        <w:rPr>
          <w:rFonts w:ascii="Calibri" w:cs="Calibri" w:eastAsia="Calibri" w:hAnsi="Calibri"/>
          <w:sz w:val="14"/>
          <w:szCs w:val="14"/>
          <w:color w:val="auto"/>
        </w:rPr>
        <w:t>B.S., United States</w:t>
      </w:r>
      <w:r>
        <w:rPr>
          <w:sz w:val="20"/>
          <w:szCs w:val="20"/>
          <w:color w:val="auto"/>
        </w:rPr>
        <w:tab/>
      </w:r>
      <w:r>
        <w:rPr>
          <w:rFonts w:ascii="Calibri" w:cs="Calibri" w:eastAsia="Calibri" w:hAnsi="Calibri"/>
          <w:sz w:val="14"/>
          <w:szCs w:val="14"/>
          <w:b w:val="1"/>
          <w:bCs w:val="1"/>
          <w:color w:val="auto"/>
        </w:rPr>
        <w:t xml:space="preserve">Term Expires: </w:t>
      </w:r>
      <w:r>
        <w:rPr>
          <w:rFonts w:ascii="Calibri" w:cs="Calibri" w:eastAsia="Calibri" w:hAnsi="Calibri"/>
          <w:sz w:val="14"/>
          <w:szCs w:val="14"/>
          <w:color w:val="auto"/>
        </w:rPr>
        <w:t>2026</w:t>
      </w:r>
    </w:p>
    <w:p>
      <w:pPr>
        <w:spacing w:after="0" w:line="6" w:lineRule="exact"/>
        <w:rPr>
          <w:sz w:val="20"/>
          <w:szCs w:val="20"/>
          <w:color w:val="auto"/>
        </w:rPr>
      </w:pPr>
    </w:p>
    <w:p>
      <w:pPr>
        <w:ind w:left="340" w:right="6839"/>
        <w:spacing w:after="0" w:line="233" w:lineRule="auto"/>
        <w:rPr>
          <w:sz w:val="20"/>
          <w:szCs w:val="20"/>
          <w:color w:val="auto"/>
        </w:rPr>
      </w:pPr>
      <w:r>
        <w:rPr>
          <w:rFonts w:ascii="Calibri" w:cs="Calibri" w:eastAsia="Calibri" w:hAnsi="Calibri"/>
          <w:sz w:val="14"/>
          <w:szCs w:val="14"/>
          <w:color w:val="auto"/>
        </w:rPr>
        <w:t xml:space="preserve">Military Academy at West Point </w:t>
      </w:r>
      <w:r>
        <w:rPr>
          <w:rFonts w:ascii="Calibri" w:cs="Calibri" w:eastAsia="Calibri" w:hAnsi="Calibri"/>
          <w:sz w:val="14"/>
          <w:szCs w:val="14"/>
          <w:b w:val="1"/>
          <w:bCs w:val="1"/>
          <w:color w:val="auto"/>
        </w:rPr>
        <w:t xml:space="preserve">Term Expires: </w:t>
      </w:r>
      <w:r>
        <w:rPr>
          <w:rFonts w:ascii="Calibri" w:cs="Calibri" w:eastAsia="Calibri" w:hAnsi="Calibri"/>
          <w:sz w:val="14"/>
          <w:szCs w:val="14"/>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321310</wp:posOffset>
            </wp:positionV>
            <wp:extent cx="5452110" cy="33947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339471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F0000"/>
        </w:rPr>
        <w:t>Career Highlights</w:t>
      </w:r>
    </w:p>
    <w:p>
      <w:pPr>
        <w:spacing w:after="0" w:line="58" w:lineRule="exact"/>
        <w:rPr>
          <w:sz w:val="20"/>
          <w:szCs w:val="20"/>
          <w:color w:val="auto"/>
        </w:rPr>
      </w:pPr>
    </w:p>
    <w:p>
      <w:pPr>
        <w:ind w:left="500" w:right="60" w:hanging="129"/>
        <w:spacing w:after="0" w:line="236" w:lineRule="auto"/>
        <w:tabs>
          <w:tab w:leader="none" w:pos="500" w:val="left"/>
        </w:tabs>
        <w:numPr>
          <w:ilvl w:val="0"/>
          <w:numId w:val="33"/>
        </w:numPr>
        <w:rPr>
          <w:rFonts w:ascii="Times New Roman" w:cs="Times New Roman" w:eastAsia="Times New Roman" w:hAnsi="Times New Roman"/>
          <w:sz w:val="13"/>
          <w:szCs w:val="13"/>
          <w:color w:val="AF0000"/>
        </w:rPr>
      </w:pPr>
      <w:r>
        <w:rPr>
          <w:rFonts w:ascii="Calibri" w:cs="Calibri" w:eastAsia="Calibri" w:hAnsi="Calibri"/>
          <w:sz w:val="13"/>
          <w:szCs w:val="13"/>
          <w:color w:val="auto"/>
        </w:rPr>
        <w:t>Member of the Board of Directors (Lead Independent Director) of Novanta Inc., a manufacturer of precision photonic and moton control components and subsystems, 2018 to present</w:t>
      </w:r>
    </w:p>
    <w:p>
      <w:pPr>
        <w:spacing w:after="0" w:line="58" w:lineRule="exact"/>
        <w:rPr>
          <w:rFonts w:ascii="Times New Roman" w:cs="Times New Roman" w:eastAsia="Times New Roman" w:hAnsi="Times New Roman"/>
          <w:sz w:val="13"/>
          <w:szCs w:val="13"/>
          <w:color w:val="AF0000"/>
        </w:rPr>
      </w:pPr>
    </w:p>
    <w:p>
      <w:pPr>
        <w:ind w:left="500" w:right="20" w:hanging="129"/>
        <w:spacing w:after="0" w:line="245" w:lineRule="auto"/>
        <w:tabs>
          <w:tab w:leader="none" w:pos="500" w:val="left"/>
        </w:tabs>
        <w:numPr>
          <w:ilvl w:val="0"/>
          <w:numId w:val="33"/>
        </w:numPr>
        <w:rPr>
          <w:rFonts w:ascii="Times New Roman" w:cs="Times New Roman" w:eastAsia="Times New Roman" w:hAnsi="Times New Roman"/>
          <w:sz w:val="13"/>
          <w:szCs w:val="13"/>
          <w:color w:val="AF0000"/>
        </w:rPr>
      </w:pPr>
      <w:r>
        <w:rPr>
          <w:rFonts w:ascii="Calibri" w:cs="Calibri" w:eastAsia="Calibri" w:hAnsi="Calibri"/>
          <w:sz w:val="13"/>
          <w:szCs w:val="13"/>
          <w:color w:val="auto"/>
        </w:rPr>
        <w:t>Member of the Board of Directors of Orchid Orthopedics Solutons (a privately-owned orthopedic medical device outsourcing company), 2019 to present</w:t>
      </w:r>
    </w:p>
    <w:p>
      <w:pPr>
        <w:spacing w:after="0" w:line="54" w:lineRule="exact"/>
        <w:rPr>
          <w:rFonts w:ascii="Times New Roman" w:cs="Times New Roman" w:eastAsia="Times New Roman" w:hAnsi="Times New Roman"/>
          <w:sz w:val="13"/>
          <w:szCs w:val="13"/>
          <w:color w:val="AF0000"/>
        </w:rPr>
      </w:pPr>
    </w:p>
    <w:p>
      <w:pPr>
        <w:ind w:left="500" w:right="320" w:hanging="129"/>
        <w:spacing w:after="0" w:line="245" w:lineRule="auto"/>
        <w:tabs>
          <w:tab w:leader="none" w:pos="500" w:val="left"/>
        </w:tabs>
        <w:numPr>
          <w:ilvl w:val="0"/>
          <w:numId w:val="33"/>
        </w:numPr>
        <w:rPr>
          <w:rFonts w:ascii="Times New Roman" w:cs="Times New Roman" w:eastAsia="Times New Roman" w:hAnsi="Times New Roman"/>
          <w:sz w:val="13"/>
          <w:szCs w:val="13"/>
          <w:color w:val="AF0000"/>
        </w:rPr>
      </w:pPr>
      <w:r>
        <w:rPr>
          <w:rFonts w:ascii="Calibri" w:cs="Calibri" w:eastAsia="Calibri" w:hAnsi="Calibri"/>
          <w:sz w:val="13"/>
          <w:szCs w:val="13"/>
          <w:color w:val="auto"/>
        </w:rPr>
        <w:t>Member of the Board of Directors of The Boler Company, (a privately-owned auto part manufacturing company), 2019 to present</w:t>
      </w:r>
    </w:p>
    <w:p>
      <w:pPr>
        <w:spacing w:after="0" w:line="54" w:lineRule="exact"/>
        <w:rPr>
          <w:rFonts w:ascii="Times New Roman" w:cs="Times New Roman" w:eastAsia="Times New Roman" w:hAnsi="Times New Roman"/>
          <w:sz w:val="13"/>
          <w:szCs w:val="13"/>
          <w:color w:val="AF0000"/>
        </w:rPr>
      </w:pPr>
    </w:p>
    <w:p>
      <w:pPr>
        <w:ind w:left="500" w:right="400" w:hanging="129"/>
        <w:spacing w:after="0" w:line="232" w:lineRule="auto"/>
        <w:tabs>
          <w:tab w:leader="none" w:pos="500" w:val="left"/>
        </w:tabs>
        <w:numPr>
          <w:ilvl w:val="0"/>
          <w:numId w:val="33"/>
        </w:numPr>
        <w:rPr>
          <w:rFonts w:ascii="Times New Roman" w:cs="Times New Roman" w:eastAsia="Times New Roman" w:hAnsi="Times New Roman"/>
          <w:sz w:val="13"/>
          <w:szCs w:val="13"/>
          <w:color w:val="AF0000"/>
        </w:rPr>
      </w:pPr>
      <w:r>
        <w:rPr>
          <w:rFonts w:ascii="Calibri" w:cs="Calibri" w:eastAsia="Calibri" w:hAnsi="Calibri"/>
          <w:sz w:val="13"/>
          <w:szCs w:val="13"/>
          <w:color w:val="auto"/>
        </w:rPr>
        <w:t>Group President, Global Quality and Business Operatons of Stryker Corporaton, 2016 to 2019</w:t>
      </w:r>
    </w:p>
    <w:p>
      <w:pPr>
        <w:spacing w:after="0" w:line="57" w:lineRule="exact"/>
        <w:rPr>
          <w:rFonts w:ascii="Times New Roman" w:cs="Times New Roman" w:eastAsia="Times New Roman" w:hAnsi="Times New Roman"/>
          <w:sz w:val="13"/>
          <w:szCs w:val="13"/>
          <w:color w:val="AF0000"/>
        </w:rPr>
      </w:pPr>
    </w:p>
    <w:p>
      <w:pPr>
        <w:ind w:left="500" w:hanging="129"/>
        <w:spacing w:after="0" w:line="245" w:lineRule="auto"/>
        <w:tabs>
          <w:tab w:leader="none" w:pos="500" w:val="left"/>
        </w:tabs>
        <w:numPr>
          <w:ilvl w:val="0"/>
          <w:numId w:val="33"/>
        </w:numPr>
        <w:rPr>
          <w:rFonts w:ascii="Times New Roman" w:cs="Times New Roman" w:eastAsia="Times New Roman" w:hAnsi="Times New Roman"/>
          <w:sz w:val="13"/>
          <w:szCs w:val="13"/>
          <w:color w:val="AF0000"/>
        </w:rPr>
      </w:pPr>
      <w:r>
        <w:rPr>
          <w:rFonts w:ascii="Calibri" w:cs="Calibri" w:eastAsia="Calibri" w:hAnsi="Calibri"/>
          <w:sz w:val="13"/>
          <w:szCs w:val="13"/>
          <w:color w:val="auto"/>
        </w:rPr>
        <w:t>Group President, Global Quality and Operatons of Stryker, 2011 to 2016</w:t>
      </w:r>
    </w:p>
    <w:p>
      <w:pPr>
        <w:spacing w:after="0" w:line="54" w:lineRule="exact"/>
        <w:rPr>
          <w:rFonts w:ascii="Times New Roman" w:cs="Times New Roman" w:eastAsia="Times New Roman" w:hAnsi="Times New Roman"/>
          <w:sz w:val="13"/>
          <w:szCs w:val="13"/>
          <w:color w:val="AF0000"/>
        </w:rPr>
      </w:pPr>
    </w:p>
    <w:p>
      <w:pPr>
        <w:ind w:left="500" w:right="180" w:hanging="129"/>
        <w:spacing w:after="0" w:line="245" w:lineRule="auto"/>
        <w:tabs>
          <w:tab w:leader="none" w:pos="500" w:val="left"/>
        </w:tabs>
        <w:numPr>
          <w:ilvl w:val="0"/>
          <w:numId w:val="33"/>
        </w:numPr>
        <w:rPr>
          <w:rFonts w:ascii="Times New Roman" w:cs="Times New Roman" w:eastAsia="Times New Roman" w:hAnsi="Times New Roman"/>
          <w:sz w:val="13"/>
          <w:szCs w:val="13"/>
          <w:color w:val="AF0000"/>
        </w:rPr>
      </w:pPr>
      <w:r>
        <w:rPr>
          <w:rFonts w:ascii="Calibri" w:cs="Calibri" w:eastAsia="Calibri" w:hAnsi="Calibri"/>
          <w:sz w:val="13"/>
          <w:szCs w:val="13"/>
          <w:color w:val="auto"/>
        </w:rPr>
        <w:t>President, Instruments and Medical Division of Stryker, 2006 to 2008</w:t>
      </w:r>
    </w:p>
    <w:p>
      <w:pPr>
        <w:spacing w:after="0" w:line="40" w:lineRule="exact"/>
        <w:rPr>
          <w:rFonts w:ascii="Times New Roman" w:cs="Times New Roman" w:eastAsia="Times New Roman" w:hAnsi="Times New Roman"/>
          <w:sz w:val="13"/>
          <w:szCs w:val="13"/>
          <w:color w:val="AF0000"/>
        </w:rPr>
      </w:pPr>
    </w:p>
    <w:p>
      <w:pPr>
        <w:ind w:left="500" w:right="300" w:hanging="129"/>
        <w:spacing w:after="0" w:line="245" w:lineRule="auto"/>
        <w:tabs>
          <w:tab w:leader="none" w:pos="500" w:val="left"/>
        </w:tabs>
        <w:numPr>
          <w:ilvl w:val="0"/>
          <w:numId w:val="33"/>
        </w:numPr>
        <w:rPr>
          <w:rFonts w:ascii="Times New Roman" w:cs="Times New Roman" w:eastAsia="Times New Roman" w:hAnsi="Times New Roman"/>
          <w:sz w:val="13"/>
          <w:szCs w:val="13"/>
          <w:color w:val="AF0000"/>
        </w:rPr>
      </w:pPr>
      <w:r>
        <w:rPr>
          <w:rFonts w:ascii="Calibri" w:cs="Calibri" w:eastAsia="Calibri" w:hAnsi="Calibri"/>
          <w:sz w:val="13"/>
          <w:szCs w:val="13"/>
          <w:color w:val="auto"/>
        </w:rPr>
        <w:t>Captain in the U.S. Army and helicopter pilot having served in leadership roles for the 101st Airborne Division</w:t>
      </w:r>
    </w:p>
    <w:p>
      <w:pPr>
        <w:spacing w:after="0" w:line="100"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F0000"/>
        </w:rPr>
        <w:t>Qualifcatons of Partcular Relevance to Merit</w:t>
      </w:r>
    </w:p>
    <w:p>
      <w:pPr>
        <w:spacing w:after="0" w:line="45" w:lineRule="exact"/>
        <w:rPr>
          <w:sz w:val="20"/>
          <w:szCs w:val="20"/>
          <w:color w:val="auto"/>
        </w:rPr>
      </w:pPr>
    </w:p>
    <w:p>
      <w:pPr>
        <w:ind w:left="380"/>
        <w:spacing w:after="0" w:line="242" w:lineRule="auto"/>
        <w:rPr>
          <w:sz w:val="20"/>
          <w:szCs w:val="20"/>
          <w:color w:val="auto"/>
        </w:rPr>
      </w:pPr>
      <w:r>
        <w:rPr>
          <w:rFonts w:ascii="Calibri" w:cs="Calibri" w:eastAsia="Calibri" w:hAnsi="Calibri"/>
          <w:sz w:val="13"/>
          <w:szCs w:val="13"/>
          <w:color w:val="auto"/>
        </w:rPr>
        <w:t>The Board believes Mr. Carpenter’s broad business background and experience in setng enterprise-wide directon, experience in quality, manufacturing, procurement and logistcs strategies from his tenure at Stryker provide the Board with practcal, real-world knowledge and guidance and have strengthened the Company’s efciency and cost-reducton initatves. Mr. Carpenter’s business background and experience have been partcularly benefcial to the Company in the course of his leadership of the Operatng Commitee and the development of our Foundatons for Growth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left="7"/>
        <w:spacing w:after="0"/>
        <w:rPr>
          <w:sz w:val="20"/>
          <w:szCs w:val="20"/>
          <w:color w:val="auto"/>
        </w:rPr>
      </w:pPr>
      <w:r>
        <w:rPr>
          <w:rFonts w:ascii="Calibri" w:cs="Calibri" w:eastAsia="Calibri" w:hAnsi="Calibri"/>
          <w:sz w:val="18"/>
          <w:szCs w:val="18"/>
          <w:b w:val="1"/>
          <w:bCs w:val="1"/>
          <w:color w:val="AF0000"/>
        </w:rPr>
        <w:t>Career Highlights</w:t>
      </w:r>
    </w:p>
    <w:p>
      <w:pPr>
        <w:spacing w:after="0" w:line="58" w:lineRule="exact"/>
        <w:rPr>
          <w:sz w:val="20"/>
          <w:szCs w:val="20"/>
          <w:color w:val="auto"/>
        </w:rPr>
      </w:pPr>
    </w:p>
    <w:p>
      <w:pPr>
        <w:ind w:left="127" w:right="599" w:hanging="127"/>
        <w:spacing w:after="0" w:line="232" w:lineRule="auto"/>
        <w:tabs>
          <w:tab w:leader="none" w:pos="127" w:val="left"/>
        </w:tabs>
        <w:numPr>
          <w:ilvl w:val="0"/>
          <w:numId w:val="34"/>
        </w:numPr>
        <w:rPr>
          <w:rFonts w:ascii="Times New Roman" w:cs="Times New Roman" w:eastAsia="Times New Roman" w:hAnsi="Times New Roman"/>
          <w:sz w:val="13"/>
          <w:szCs w:val="13"/>
          <w:color w:val="AF0000"/>
        </w:rPr>
      </w:pPr>
      <w:r>
        <w:rPr>
          <w:rFonts w:ascii="Calibri" w:cs="Calibri" w:eastAsia="Calibri" w:hAnsi="Calibri"/>
          <w:sz w:val="13"/>
          <w:szCs w:val="13"/>
          <w:color w:val="auto"/>
        </w:rPr>
        <w:t>Board Chair, Corin Group LTD, a privately-held global orthopedic enabling technology company, 2020 to present</w:t>
      </w:r>
    </w:p>
    <w:p>
      <w:pPr>
        <w:spacing w:after="0" w:line="57" w:lineRule="exact"/>
        <w:rPr>
          <w:rFonts w:ascii="Times New Roman" w:cs="Times New Roman" w:eastAsia="Times New Roman" w:hAnsi="Times New Roman"/>
          <w:sz w:val="13"/>
          <w:szCs w:val="13"/>
          <w:color w:val="AF0000"/>
        </w:rPr>
      </w:pPr>
    </w:p>
    <w:p>
      <w:pPr>
        <w:ind w:left="127" w:right="719" w:hanging="127"/>
        <w:spacing w:after="0" w:line="245" w:lineRule="auto"/>
        <w:tabs>
          <w:tab w:leader="none" w:pos="127" w:val="left"/>
        </w:tabs>
        <w:numPr>
          <w:ilvl w:val="0"/>
          <w:numId w:val="34"/>
        </w:numPr>
        <w:rPr>
          <w:rFonts w:ascii="Times New Roman" w:cs="Times New Roman" w:eastAsia="Times New Roman" w:hAnsi="Times New Roman"/>
          <w:sz w:val="13"/>
          <w:szCs w:val="13"/>
          <w:color w:val="AF0000"/>
        </w:rPr>
      </w:pPr>
      <w:r>
        <w:rPr>
          <w:rFonts w:ascii="Calibri" w:cs="Calibri" w:eastAsia="Calibri" w:hAnsi="Calibri"/>
          <w:sz w:val="13"/>
          <w:szCs w:val="13"/>
          <w:color w:val="auto"/>
        </w:rPr>
        <w:t>Board member and Operatons Commitee Chair of Health Outcomes Performance Company (HoPCo), a privately-owned musculoskeletal and value-based care company focused on transforming the patent care experience and improving the practce of medicine, 2020 to present</w:t>
      </w:r>
    </w:p>
    <w:p>
      <w:pPr>
        <w:spacing w:after="0" w:line="40" w:lineRule="exact"/>
        <w:rPr>
          <w:rFonts w:ascii="Times New Roman" w:cs="Times New Roman" w:eastAsia="Times New Roman" w:hAnsi="Times New Roman"/>
          <w:sz w:val="13"/>
          <w:szCs w:val="13"/>
          <w:color w:val="AF0000"/>
        </w:rPr>
      </w:pPr>
    </w:p>
    <w:p>
      <w:pPr>
        <w:ind w:left="127" w:right="459" w:hanging="127"/>
        <w:spacing w:after="0" w:line="245" w:lineRule="auto"/>
        <w:tabs>
          <w:tab w:leader="none" w:pos="127" w:val="left"/>
        </w:tabs>
        <w:numPr>
          <w:ilvl w:val="0"/>
          <w:numId w:val="34"/>
        </w:numPr>
        <w:rPr>
          <w:rFonts w:ascii="Times New Roman" w:cs="Times New Roman" w:eastAsia="Times New Roman" w:hAnsi="Times New Roman"/>
          <w:sz w:val="13"/>
          <w:szCs w:val="13"/>
          <w:color w:val="AF0000"/>
        </w:rPr>
      </w:pPr>
      <w:r>
        <w:rPr>
          <w:rFonts w:ascii="Calibri" w:cs="Calibri" w:eastAsia="Calibri" w:hAnsi="Calibri"/>
          <w:sz w:val="13"/>
          <w:szCs w:val="13"/>
          <w:color w:val="auto"/>
        </w:rPr>
        <w:t>Senior Advisor, Permira, a leading global private equity investment frm</w:t>
      </w:r>
    </w:p>
    <w:p>
      <w:pPr>
        <w:spacing w:after="0" w:line="54" w:lineRule="exact"/>
        <w:rPr>
          <w:rFonts w:ascii="Times New Roman" w:cs="Times New Roman" w:eastAsia="Times New Roman" w:hAnsi="Times New Roman"/>
          <w:sz w:val="13"/>
          <w:szCs w:val="13"/>
          <w:color w:val="AF0000"/>
        </w:rPr>
      </w:pPr>
    </w:p>
    <w:p>
      <w:pPr>
        <w:ind w:left="127" w:hanging="127"/>
        <w:spacing w:after="0"/>
        <w:tabs>
          <w:tab w:leader="none" w:pos="127" w:val="left"/>
        </w:tabs>
        <w:numPr>
          <w:ilvl w:val="0"/>
          <w:numId w:val="34"/>
        </w:numPr>
        <w:rPr>
          <w:rFonts w:ascii="Times New Roman" w:cs="Times New Roman" w:eastAsia="Times New Roman" w:hAnsi="Times New Roman"/>
          <w:sz w:val="13"/>
          <w:szCs w:val="13"/>
          <w:color w:val="AF0000"/>
        </w:rPr>
      </w:pPr>
      <w:r>
        <w:rPr>
          <w:rFonts w:ascii="Calibri" w:cs="Calibri" w:eastAsia="Calibri" w:hAnsi="Calibri"/>
          <w:sz w:val="13"/>
          <w:szCs w:val="13"/>
          <w:color w:val="auto"/>
        </w:rPr>
        <w:t>Group President, Orthopaedics, Stryker, 2012 to 2019</w:t>
      </w:r>
    </w:p>
    <w:p>
      <w:pPr>
        <w:spacing w:after="0" w:line="43" w:lineRule="exact"/>
        <w:rPr>
          <w:rFonts w:ascii="Times New Roman" w:cs="Times New Roman" w:eastAsia="Times New Roman" w:hAnsi="Times New Roman"/>
          <w:sz w:val="13"/>
          <w:szCs w:val="13"/>
          <w:color w:val="AF0000"/>
        </w:rPr>
      </w:pPr>
    </w:p>
    <w:p>
      <w:pPr>
        <w:ind w:left="127" w:right="599" w:hanging="127"/>
        <w:spacing w:after="0" w:line="245" w:lineRule="auto"/>
        <w:tabs>
          <w:tab w:leader="none" w:pos="127" w:val="left"/>
        </w:tabs>
        <w:numPr>
          <w:ilvl w:val="0"/>
          <w:numId w:val="34"/>
        </w:numPr>
        <w:rPr>
          <w:rFonts w:ascii="Times New Roman" w:cs="Times New Roman" w:eastAsia="Times New Roman" w:hAnsi="Times New Roman"/>
          <w:sz w:val="13"/>
          <w:szCs w:val="13"/>
          <w:color w:val="AF0000"/>
        </w:rPr>
      </w:pPr>
      <w:r>
        <w:rPr>
          <w:rFonts w:ascii="Calibri" w:cs="Calibri" w:eastAsia="Calibri" w:hAnsi="Calibri"/>
          <w:sz w:val="13"/>
          <w:szCs w:val="13"/>
          <w:color w:val="auto"/>
        </w:rPr>
        <w:t>U.S. President and Worldwide President of Johnson &amp; Johnson’s DePuy Orthopaedics, 2007 to 2011</w:t>
      </w:r>
    </w:p>
    <w:p>
      <w:pPr>
        <w:spacing w:after="0" w:line="100" w:lineRule="exact"/>
        <w:rPr>
          <w:sz w:val="20"/>
          <w:szCs w:val="20"/>
          <w:color w:val="auto"/>
        </w:rPr>
      </w:pPr>
    </w:p>
    <w:p>
      <w:pPr>
        <w:ind w:left="7"/>
        <w:spacing w:after="0"/>
        <w:rPr>
          <w:sz w:val="20"/>
          <w:szCs w:val="20"/>
          <w:color w:val="auto"/>
        </w:rPr>
      </w:pPr>
      <w:r>
        <w:rPr>
          <w:rFonts w:ascii="Calibri" w:cs="Calibri" w:eastAsia="Calibri" w:hAnsi="Calibri"/>
          <w:sz w:val="18"/>
          <w:szCs w:val="18"/>
          <w:b w:val="1"/>
          <w:bCs w:val="1"/>
          <w:color w:val="AF0000"/>
        </w:rPr>
        <w:t>Qualifcatons of Partcular Relevance to Merit</w:t>
      </w:r>
    </w:p>
    <w:p>
      <w:pPr>
        <w:spacing w:after="0" w:line="45" w:lineRule="exact"/>
        <w:rPr>
          <w:sz w:val="20"/>
          <w:szCs w:val="20"/>
          <w:color w:val="auto"/>
        </w:rPr>
      </w:pPr>
    </w:p>
    <w:p>
      <w:pPr>
        <w:ind w:left="7" w:right="279"/>
        <w:spacing w:after="0" w:line="243" w:lineRule="auto"/>
        <w:rPr>
          <w:sz w:val="20"/>
          <w:szCs w:val="20"/>
          <w:color w:val="auto"/>
        </w:rPr>
      </w:pPr>
      <w:r>
        <w:rPr>
          <w:rFonts w:ascii="Calibri" w:cs="Calibri" w:eastAsia="Calibri" w:hAnsi="Calibri"/>
          <w:sz w:val="13"/>
          <w:szCs w:val="13"/>
          <w:color w:val="auto"/>
        </w:rPr>
        <w:t>Mr. Floyd possesses more than 35 years of experience as a leader in the life sciences industry, including serving as president and CEO within several leading medical technology companies. Additonally, the Board believes Mr. Floyd’s nearly 20 years of general management experience provide the Board with expertse on a broad range of maters, including mergers and acquisitons, strategic planning, global business and operatons, corporate governance and product commercializaton. The Board believes Mr. Floyd’s industry and management experience have been partcularly benefcial through his service on the Operatng Commitee and his guidance in the Company’s development of its Foundatons for Growth program.</w:t>
      </w:r>
    </w:p>
    <w:p>
      <w:pPr>
        <w:spacing w:after="0" w:line="790" w:lineRule="exact"/>
        <w:rPr>
          <w:sz w:val="20"/>
          <w:szCs w:val="20"/>
          <w:color w:val="auto"/>
        </w:rPr>
      </w:pPr>
    </w:p>
    <w:p>
      <w:pPr>
        <w:sectPr>
          <w:pgSz w:w="11900" w:h="16838" w:orient="portrait"/>
          <w:cols w:equalWidth="0" w:num="2">
            <w:col w:w="4140" w:space="673"/>
            <w:col w:w="4207"/>
          </w:cols>
          <w:pgMar w:left="1440" w:top="5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4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13" w:name="page14"/>
    <w:bookmarkEnd w:id="13"/>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CORPORATE GOVERNANCE AND RELATED MATTERS</w:t>
      </w:r>
    </w:p>
    <w:p>
      <w:pPr>
        <w:spacing w:after="0" w:line="124" w:lineRule="exact"/>
        <w:rPr>
          <w:sz w:val="20"/>
          <w:szCs w:val="20"/>
          <w:color w:val="auto"/>
        </w:rPr>
      </w:pPr>
    </w:p>
    <w:p>
      <w:pPr>
        <w:ind w:left="340"/>
        <w:spacing w:after="0"/>
        <w:rPr>
          <w:sz w:val="20"/>
          <w:szCs w:val="20"/>
          <w:color w:val="auto"/>
        </w:rPr>
      </w:pPr>
      <w:r>
        <w:rPr>
          <w:rFonts w:ascii="Calibri" w:cs="Calibri" w:eastAsia="Calibri" w:hAnsi="Calibri"/>
          <w:sz w:val="20"/>
          <w:szCs w:val="20"/>
          <w:b w:val="1"/>
          <w:bCs w:val="1"/>
          <w:color w:val="AF0000"/>
        </w:rPr>
        <w:t>THOMAS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-132715</wp:posOffset>
            </wp:positionV>
            <wp:extent cx="1097280" cy="1465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97280" cy="1465580"/>
                    </a:xfrm>
                    <a:prstGeom prst="rect">
                      <a:avLst/>
                    </a:prstGeom>
                    <a:noFill/>
                  </pic:spPr>
                </pic:pic>
              </a:graphicData>
            </a:graphic>
          </wp:anchor>
        </w:drawing>
      </w:r>
    </w:p>
    <w:p>
      <w:pPr>
        <w:ind w:left="340"/>
        <w:spacing w:after="0" w:line="238" w:lineRule="auto"/>
        <w:rPr>
          <w:sz w:val="20"/>
          <w:szCs w:val="20"/>
          <w:color w:val="auto"/>
        </w:rPr>
      </w:pPr>
      <w:r>
        <w:rPr>
          <w:rFonts w:ascii="Calibri" w:cs="Calibri" w:eastAsia="Calibri" w:hAnsi="Calibri"/>
          <w:sz w:val="20"/>
          <w:szCs w:val="20"/>
          <w:b w:val="1"/>
          <w:bCs w:val="1"/>
          <w:color w:val="AF0000"/>
        </w:rPr>
        <w:t>GUNDERSON</w:t>
      </w:r>
    </w:p>
    <w:p>
      <w:pPr>
        <w:spacing w:after="0" w:line="100"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Independent Director</w:t>
      </w:r>
    </w:p>
    <w:p>
      <w:pPr>
        <w:spacing w:after="0" w:line="167"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Age</w:t>
      </w:r>
      <w:r>
        <w:rPr>
          <w:rFonts w:ascii="Calibri" w:cs="Calibri" w:eastAsia="Calibri" w:hAnsi="Calibri"/>
          <w:sz w:val="14"/>
          <w:szCs w:val="14"/>
          <w:color w:val="auto"/>
        </w:rPr>
        <w:t>: 73</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Director Since: </w:t>
      </w:r>
      <w:r>
        <w:rPr>
          <w:rFonts w:ascii="Calibri" w:cs="Calibri" w:eastAsia="Calibri" w:hAnsi="Calibri"/>
          <w:sz w:val="14"/>
          <w:szCs w:val="14"/>
          <w:color w:val="auto"/>
        </w:rPr>
        <w:t>May 2017</w:t>
      </w:r>
    </w:p>
    <w:p>
      <w:pPr>
        <w:spacing w:after="0" w:line="6" w:lineRule="exact"/>
        <w:rPr>
          <w:sz w:val="20"/>
          <w:szCs w:val="20"/>
          <w:color w:val="auto"/>
        </w:rPr>
      </w:pPr>
    </w:p>
    <w:p>
      <w:pPr>
        <w:ind w:left="340" w:right="2100"/>
        <w:spacing w:after="0" w:line="233" w:lineRule="auto"/>
        <w:rPr>
          <w:sz w:val="20"/>
          <w:szCs w:val="20"/>
          <w:color w:val="auto"/>
        </w:rPr>
      </w:pPr>
      <w:r>
        <w:rPr>
          <w:rFonts w:ascii="Calibri" w:cs="Calibri" w:eastAsia="Calibri" w:hAnsi="Calibri"/>
          <w:sz w:val="14"/>
          <w:szCs w:val="14"/>
          <w:b w:val="1"/>
          <w:bCs w:val="1"/>
          <w:color w:val="auto"/>
        </w:rPr>
        <w:t xml:space="preserve">Commitees: </w:t>
      </w:r>
      <w:r>
        <w:rPr>
          <w:rFonts w:ascii="Calibri" w:cs="Calibri" w:eastAsia="Calibri" w:hAnsi="Calibri"/>
          <w:sz w:val="14"/>
          <w:szCs w:val="14"/>
          <w:color w:val="auto"/>
        </w:rPr>
        <w:t>Finance (Chair),</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Audit</w:t>
      </w:r>
    </w:p>
    <w:p>
      <w:pPr>
        <w:spacing w:after="0" w:line="6" w:lineRule="exact"/>
        <w:rPr>
          <w:sz w:val="20"/>
          <w:szCs w:val="20"/>
          <w:color w:val="auto"/>
        </w:rPr>
      </w:pPr>
    </w:p>
    <w:p>
      <w:pPr>
        <w:ind w:left="340" w:right="1900"/>
        <w:spacing w:after="0" w:line="239" w:lineRule="auto"/>
        <w:rPr>
          <w:sz w:val="20"/>
          <w:szCs w:val="20"/>
          <w:color w:val="auto"/>
        </w:rPr>
      </w:pPr>
      <w:r>
        <w:rPr>
          <w:rFonts w:ascii="Calibri" w:cs="Calibri" w:eastAsia="Calibri" w:hAnsi="Calibri"/>
          <w:sz w:val="14"/>
          <w:szCs w:val="14"/>
          <w:b w:val="1"/>
          <w:bCs w:val="1"/>
          <w:color w:val="auto"/>
        </w:rPr>
        <w:t xml:space="preserve">Other Public Boards: </w:t>
      </w:r>
      <w:r>
        <w:rPr>
          <w:rFonts w:ascii="Calibri" w:cs="Calibri" w:eastAsia="Calibri" w:hAnsi="Calibri"/>
          <w:sz w:val="14"/>
          <w:szCs w:val="14"/>
          <w:color w:val="auto"/>
        </w:rPr>
        <w:t xml:space="preserve">TransMedics Group, Inc. </w:t>
      </w:r>
      <w:r>
        <w:rPr>
          <w:rFonts w:ascii="Calibri" w:cs="Calibri" w:eastAsia="Calibri" w:hAnsi="Calibri"/>
          <w:sz w:val="14"/>
          <w:szCs w:val="14"/>
          <w:b w:val="1"/>
          <w:bCs w:val="1"/>
          <w:color w:val="auto"/>
        </w:rPr>
        <w:t xml:space="preserve">Educaton: </w:t>
      </w:r>
      <w:r>
        <w:rPr>
          <w:rFonts w:ascii="Calibri" w:cs="Calibri" w:eastAsia="Calibri" w:hAnsi="Calibri"/>
          <w:sz w:val="14"/>
          <w:szCs w:val="14"/>
          <w:color w:val="auto"/>
        </w:rPr>
        <w:t>B.A. (biology focus),</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Carleton College; M.S. (cell biology), University of Minnesota; M.B.A., University of St. Thomas</w:t>
      </w:r>
    </w:p>
    <w:p>
      <w:pPr>
        <w:spacing w:after="0" w:line="9"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Term Expires: </w:t>
      </w:r>
      <w:r>
        <w:rPr>
          <w:rFonts w:ascii="Calibri" w:cs="Calibri" w:eastAsia="Calibri" w:hAnsi="Calibri"/>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124460</wp:posOffset>
            </wp:positionV>
            <wp:extent cx="2606040" cy="44145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6040" cy="4414520"/>
                    </a:xfrm>
                    <a:prstGeom prst="rect">
                      <a:avLst/>
                    </a:prstGeom>
                    <a:noFill/>
                  </pic:spPr>
                </pic:pic>
              </a:graphicData>
            </a:graphic>
          </wp:anchor>
        </w:drawing>
      </w:r>
    </w:p>
    <w:p>
      <w:pPr>
        <w:spacing w:after="0" w:line="256"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F0000"/>
        </w:rPr>
        <w:t>Career Highlights</w:t>
      </w:r>
    </w:p>
    <w:p>
      <w:pPr>
        <w:spacing w:after="0" w:line="50" w:lineRule="exact"/>
        <w:rPr>
          <w:sz w:val="20"/>
          <w:szCs w:val="20"/>
          <w:color w:val="auto"/>
        </w:rPr>
      </w:pPr>
    </w:p>
    <w:p>
      <w:pPr>
        <w:ind w:left="500" w:right="40" w:hanging="129"/>
        <w:spacing w:after="0" w:line="239" w:lineRule="auto"/>
        <w:tabs>
          <w:tab w:leader="none" w:pos="500" w:val="left"/>
        </w:tabs>
        <w:numPr>
          <w:ilvl w:val="0"/>
          <w:numId w:val="35"/>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Member of the Board of Directors of TransMedics Group, Inc., a medical technology company focused on developing organ transplant therapy for end-stage organ failure patents, 2019 to present</w:t>
      </w:r>
    </w:p>
    <w:p>
      <w:pPr>
        <w:spacing w:after="0" w:line="48" w:lineRule="exact"/>
        <w:rPr>
          <w:rFonts w:ascii="Times New Roman" w:cs="Times New Roman" w:eastAsia="Times New Roman" w:hAnsi="Times New Roman"/>
          <w:sz w:val="14"/>
          <w:szCs w:val="14"/>
          <w:color w:val="AF0000"/>
        </w:rPr>
      </w:pPr>
    </w:p>
    <w:p>
      <w:pPr>
        <w:ind w:left="500" w:right="100" w:hanging="129"/>
        <w:spacing w:after="0" w:line="245" w:lineRule="auto"/>
        <w:tabs>
          <w:tab w:leader="none" w:pos="500" w:val="left"/>
        </w:tabs>
        <w:numPr>
          <w:ilvl w:val="0"/>
          <w:numId w:val="35"/>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Vice Chair of the Board of Directors of the Minneapolis Heart Insttute Foundaton, (Director from 2011 to present, Chair from 2015 to 2020)</w:t>
      </w:r>
    </w:p>
    <w:p>
      <w:pPr>
        <w:spacing w:after="0" w:line="43" w:lineRule="exact"/>
        <w:rPr>
          <w:rFonts w:ascii="Times New Roman" w:cs="Times New Roman" w:eastAsia="Times New Roman" w:hAnsi="Times New Roman"/>
          <w:sz w:val="14"/>
          <w:szCs w:val="14"/>
          <w:color w:val="AF0000"/>
        </w:rPr>
      </w:pPr>
    </w:p>
    <w:p>
      <w:pPr>
        <w:jc w:val="both"/>
        <w:ind w:left="500" w:right="440" w:hanging="129"/>
        <w:spacing w:after="0" w:line="245" w:lineRule="auto"/>
        <w:tabs>
          <w:tab w:leader="none" w:pos="500" w:val="left"/>
        </w:tabs>
        <w:numPr>
          <w:ilvl w:val="0"/>
          <w:numId w:val="35"/>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Executve in Residence at the University of Minnesota’s Medical Industry Leadership Insttute, 2016 to present</w:t>
      </w:r>
    </w:p>
    <w:p>
      <w:pPr>
        <w:spacing w:after="0" w:line="42" w:lineRule="exact"/>
        <w:rPr>
          <w:rFonts w:ascii="Times New Roman" w:cs="Times New Roman" w:eastAsia="Times New Roman" w:hAnsi="Times New Roman"/>
          <w:sz w:val="14"/>
          <w:szCs w:val="14"/>
          <w:color w:val="AF0000"/>
        </w:rPr>
      </w:pPr>
    </w:p>
    <w:p>
      <w:pPr>
        <w:ind w:left="500" w:right="620" w:hanging="129"/>
        <w:spacing w:after="0" w:line="233" w:lineRule="auto"/>
        <w:tabs>
          <w:tab w:leader="none" w:pos="500" w:val="left"/>
        </w:tabs>
        <w:numPr>
          <w:ilvl w:val="0"/>
          <w:numId w:val="35"/>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Member of American Heart Associaton Science and Technology Accelerator Commitee, 2015 to 2017</w:t>
      </w:r>
    </w:p>
    <w:p>
      <w:pPr>
        <w:spacing w:after="0" w:line="46" w:lineRule="exact"/>
        <w:rPr>
          <w:rFonts w:ascii="Times New Roman" w:cs="Times New Roman" w:eastAsia="Times New Roman" w:hAnsi="Times New Roman"/>
          <w:sz w:val="14"/>
          <w:szCs w:val="14"/>
          <w:color w:val="AF0000"/>
        </w:rPr>
      </w:pPr>
    </w:p>
    <w:p>
      <w:pPr>
        <w:ind w:left="500" w:right="40" w:hanging="129"/>
        <w:spacing w:after="0" w:line="245" w:lineRule="auto"/>
        <w:tabs>
          <w:tab w:leader="none" w:pos="500" w:val="left"/>
        </w:tabs>
        <w:numPr>
          <w:ilvl w:val="0"/>
          <w:numId w:val="35"/>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Managing Director and senior research analyst at Piper Jafray (focus on medical technology companies), 1992 to 2016</w:t>
      </w:r>
    </w:p>
    <w:p>
      <w:pPr>
        <w:spacing w:after="0" w:line="42" w:lineRule="exact"/>
        <w:rPr>
          <w:rFonts w:ascii="Times New Roman" w:cs="Times New Roman" w:eastAsia="Times New Roman" w:hAnsi="Times New Roman"/>
          <w:sz w:val="14"/>
          <w:szCs w:val="14"/>
          <w:color w:val="AF0000"/>
        </w:rPr>
      </w:pPr>
    </w:p>
    <w:p>
      <w:pPr>
        <w:ind w:left="500" w:right="20" w:hanging="129"/>
        <w:spacing w:after="0" w:line="245" w:lineRule="auto"/>
        <w:tabs>
          <w:tab w:leader="none" w:pos="500" w:val="left"/>
        </w:tabs>
        <w:numPr>
          <w:ilvl w:val="0"/>
          <w:numId w:val="35"/>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Project Director at American Medical Systems (private medical device company acquired by Pfzer in 1983), 1979 to 1992</w:t>
      </w:r>
    </w:p>
    <w:p>
      <w:pPr>
        <w:spacing w:after="0" w:line="42" w:lineRule="exact"/>
        <w:rPr>
          <w:rFonts w:ascii="Times New Roman" w:cs="Times New Roman" w:eastAsia="Times New Roman" w:hAnsi="Times New Roman"/>
          <w:sz w:val="14"/>
          <w:szCs w:val="14"/>
          <w:color w:val="AF0000"/>
        </w:rPr>
      </w:pPr>
    </w:p>
    <w:p>
      <w:pPr>
        <w:ind w:left="500" w:hanging="129"/>
        <w:spacing w:after="0"/>
        <w:tabs>
          <w:tab w:leader="none" w:pos="500" w:val="left"/>
        </w:tabs>
        <w:numPr>
          <w:ilvl w:val="0"/>
          <w:numId w:val="35"/>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Recognized by several industry publicatons, including the Wall Street Journal, Insttutonal Investor, First Call, Thomson Reuters, and Medical Device and Diagnostc Industry (e.g., in 1996 and 2000, he was named an All-Star Analyst for medical stocks by the Wall Street Journal and in 2014, Thomson-Reuters named him “Top Stock Picker” in the medical technology sector)</w:t>
      </w:r>
    </w:p>
    <w:p>
      <w:pPr>
        <w:spacing w:after="0" w:line="285"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F0000"/>
        </w:rPr>
        <w:t>Qualifcatons of Partcular Relevance to Merit</w:t>
      </w:r>
    </w:p>
    <w:p>
      <w:pPr>
        <w:spacing w:after="0" w:line="23" w:lineRule="exact"/>
        <w:rPr>
          <w:sz w:val="20"/>
          <w:szCs w:val="20"/>
          <w:color w:val="auto"/>
        </w:rPr>
      </w:pPr>
    </w:p>
    <w:p>
      <w:pPr>
        <w:ind w:left="380" w:right="20"/>
        <w:spacing w:after="0" w:line="241" w:lineRule="auto"/>
        <w:rPr>
          <w:sz w:val="20"/>
          <w:szCs w:val="20"/>
          <w:color w:val="auto"/>
        </w:rPr>
      </w:pPr>
      <w:r>
        <w:rPr>
          <w:rFonts w:ascii="Calibri" w:cs="Calibri" w:eastAsia="Calibri" w:hAnsi="Calibri"/>
          <w:sz w:val="14"/>
          <w:szCs w:val="14"/>
          <w:color w:val="auto"/>
        </w:rPr>
        <w:t>Mr. Gunderson provides the Board with more than 25 years of substantve experience in the medical device industry, with a seasoned perspectve on the challenges, trends and opportunites of publicly-traded medical device manufacturers, as well as a keen understanding of the Company’s compettve positon within its industry. Mr. Gunderson also contributes a strong background in fnancial and economic analysis and valuable insights regarding business development and acquisiton opportunites. Mr. Gunderson’s fnancial background and industry experience have been benefcial in his service as the Chair of the Finance Commitee of the Board (</w:t>
      </w:r>
      <w:r>
        <w:rPr>
          <w:rFonts w:ascii="Calibri" w:cs="Calibri" w:eastAsia="Calibri" w:hAnsi="Calibri"/>
          <w:sz w:val="14"/>
          <w:szCs w:val="14"/>
          <w:u w:val="single" w:color="auto"/>
          <w:color w:val="FF0000"/>
        </w:rPr>
        <w:t>Finance</w:t>
      </w:r>
      <w:r>
        <w:rPr>
          <w:rFonts w:ascii="Calibri" w:cs="Calibri" w:eastAsia="Calibri" w:hAnsi="Calibri"/>
          <w:sz w:val="14"/>
          <w:szCs w:val="14"/>
          <w:color w:val="auto"/>
        </w:rPr>
        <w:t xml:space="preserve"> </w:t>
      </w:r>
      <w:r>
        <w:rPr>
          <w:rFonts w:ascii="Calibri" w:cs="Calibri" w:eastAsia="Calibri" w:hAnsi="Calibri"/>
          <w:sz w:val="14"/>
          <w:szCs w:val="14"/>
          <w:u w:val="single" w:color="auto"/>
          <w:color w:val="FF0000"/>
        </w:rPr>
        <w:t>Commitee</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F0000"/>
        </w:rPr>
        <w:t>LAURA S. KAISER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1427480</wp:posOffset>
            </wp:positionH>
            <wp:positionV relativeFrom="paragraph">
              <wp:posOffset>-132715</wp:posOffset>
            </wp:positionV>
            <wp:extent cx="1122680" cy="14573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22680" cy="145732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Independent Director</w:t>
      </w:r>
    </w:p>
    <w:p>
      <w:pPr>
        <w:spacing w:after="0" w:line="16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Age</w:t>
      </w:r>
      <w:r>
        <w:rPr>
          <w:rFonts w:ascii="Calibri" w:cs="Calibri" w:eastAsia="Calibri" w:hAnsi="Calibri"/>
          <w:sz w:val="14"/>
          <w:szCs w:val="14"/>
          <w:color w:val="auto"/>
        </w:rPr>
        <w:t>: 63</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Director Since: </w:t>
      </w:r>
      <w:r>
        <w:rPr>
          <w:rFonts w:ascii="Calibri" w:cs="Calibri" w:eastAsia="Calibri" w:hAnsi="Calibri"/>
          <w:sz w:val="14"/>
          <w:szCs w:val="14"/>
          <w:color w:val="auto"/>
        </w:rPr>
        <w:t>May 2022</w:t>
      </w:r>
    </w:p>
    <w:p>
      <w:pPr>
        <w:ind w:right="2399"/>
        <w:spacing w:after="0"/>
        <w:rPr>
          <w:sz w:val="20"/>
          <w:szCs w:val="20"/>
          <w:color w:val="auto"/>
        </w:rPr>
      </w:pPr>
      <w:r>
        <w:rPr>
          <w:rFonts w:ascii="Calibri" w:cs="Calibri" w:eastAsia="Calibri" w:hAnsi="Calibri"/>
          <w:sz w:val="14"/>
          <w:szCs w:val="14"/>
          <w:b w:val="1"/>
          <w:bCs w:val="1"/>
          <w:color w:val="auto"/>
        </w:rPr>
        <w:t xml:space="preserve">Commitees: </w:t>
      </w:r>
      <w:r>
        <w:rPr>
          <w:rFonts w:ascii="Calibri" w:cs="Calibri" w:eastAsia="Calibri" w:hAnsi="Calibri"/>
          <w:sz w:val="14"/>
          <w:szCs w:val="14"/>
          <w:color w:val="auto"/>
        </w:rPr>
        <w:t>Governance and</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 xml:space="preserve">Sustainability, Operatng </w:t>
      </w:r>
      <w:r>
        <w:rPr>
          <w:rFonts w:ascii="Calibri" w:cs="Calibri" w:eastAsia="Calibri" w:hAnsi="Calibri"/>
          <w:sz w:val="14"/>
          <w:szCs w:val="14"/>
          <w:b w:val="1"/>
          <w:bCs w:val="1"/>
          <w:color w:val="auto"/>
        </w:rPr>
        <w:t xml:space="preserve">Other Public Boards: </w:t>
      </w:r>
      <w:r>
        <w:rPr>
          <w:rFonts w:ascii="Calibri" w:cs="Calibri" w:eastAsia="Calibri" w:hAnsi="Calibri"/>
          <w:sz w:val="14"/>
          <w:szCs w:val="14"/>
          <w:color w:val="auto"/>
        </w:rPr>
        <w:t>None</w:t>
      </w:r>
      <w:r>
        <w:rPr>
          <w:rFonts w:ascii="Calibri" w:cs="Calibri" w:eastAsia="Calibri" w:hAnsi="Calibri"/>
          <w:sz w:val="14"/>
          <w:szCs w:val="14"/>
          <w:b w:val="1"/>
          <w:bCs w:val="1"/>
          <w:color w:val="auto"/>
        </w:rPr>
        <w:t xml:space="preserve"> Educaton: </w:t>
      </w:r>
      <w:r>
        <w:rPr>
          <w:rFonts w:ascii="Calibri" w:cs="Calibri" w:eastAsia="Calibri" w:hAnsi="Calibri"/>
          <w:sz w:val="14"/>
          <w:szCs w:val="14"/>
          <w:color w:val="auto"/>
        </w:rPr>
        <w:t>B.S. (health sciences</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management), University of Missouri; M.B.A., Saint Louis University; Masters of Health Administraton, Saint Louis University</w:t>
      </w:r>
    </w:p>
    <w:p>
      <w:pPr>
        <w:spacing w:after="0" w:line="228" w:lineRule="auto"/>
        <w:rPr>
          <w:sz w:val="20"/>
          <w:szCs w:val="20"/>
          <w:color w:val="auto"/>
        </w:rPr>
      </w:pPr>
      <w:r>
        <w:rPr>
          <w:rFonts w:ascii="Calibri" w:cs="Calibri" w:eastAsia="Calibri" w:hAnsi="Calibri"/>
          <w:sz w:val="14"/>
          <w:szCs w:val="14"/>
          <w:b w:val="1"/>
          <w:bCs w:val="1"/>
          <w:color w:val="auto"/>
        </w:rPr>
        <w:t xml:space="preserve">Term Expires: </w:t>
      </w:r>
      <w:r>
        <w:rPr>
          <w:rFonts w:ascii="Calibri" w:cs="Calibri" w:eastAsia="Calibri" w:hAnsi="Calibri"/>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278765</wp:posOffset>
            </wp:positionV>
            <wp:extent cx="2631440" cy="44145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31440" cy="441452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F0000"/>
        </w:rPr>
        <w:t>Career Highlights</w:t>
      </w:r>
    </w:p>
    <w:p>
      <w:pPr>
        <w:spacing w:after="0" w:line="50" w:lineRule="exact"/>
        <w:rPr>
          <w:sz w:val="20"/>
          <w:szCs w:val="20"/>
          <w:color w:val="auto"/>
        </w:rPr>
      </w:pPr>
    </w:p>
    <w:p>
      <w:pPr>
        <w:ind w:left="160" w:right="579" w:hanging="127"/>
        <w:spacing w:after="0" w:line="239" w:lineRule="auto"/>
        <w:tabs>
          <w:tab w:leader="none" w:pos="160" w:val="left"/>
        </w:tabs>
        <w:numPr>
          <w:ilvl w:val="0"/>
          <w:numId w:val="36"/>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President and Chief Executve Ofcer of SSM Health, an integrated mult-state health system with more than 40,000 employees and 24 hospitals, medical group, health plan and pharmacy beneft management company, 2017 to present</w:t>
      </w:r>
    </w:p>
    <w:p>
      <w:pPr>
        <w:spacing w:after="0" w:line="48" w:lineRule="exact"/>
        <w:rPr>
          <w:rFonts w:ascii="Times New Roman" w:cs="Times New Roman" w:eastAsia="Times New Roman" w:hAnsi="Times New Roman"/>
          <w:sz w:val="14"/>
          <w:szCs w:val="14"/>
          <w:color w:val="AF0000"/>
        </w:rPr>
      </w:pPr>
    </w:p>
    <w:p>
      <w:pPr>
        <w:ind w:left="160" w:right="539" w:hanging="127"/>
        <w:spacing w:after="0" w:line="239" w:lineRule="auto"/>
        <w:tabs>
          <w:tab w:leader="none" w:pos="160" w:val="left"/>
        </w:tabs>
        <w:numPr>
          <w:ilvl w:val="0"/>
          <w:numId w:val="36"/>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Chairperson of Catholic Health Associaton of the United States, representng more than 600 hospitals and 1,600 long-term care and other health facilites in all 50 states, 2018 to present</w:t>
      </w:r>
    </w:p>
    <w:p>
      <w:pPr>
        <w:spacing w:after="0" w:line="60" w:lineRule="exact"/>
        <w:rPr>
          <w:rFonts w:ascii="Times New Roman" w:cs="Times New Roman" w:eastAsia="Times New Roman" w:hAnsi="Times New Roman"/>
          <w:sz w:val="14"/>
          <w:szCs w:val="14"/>
          <w:color w:val="AF0000"/>
        </w:rPr>
      </w:pPr>
    </w:p>
    <w:p>
      <w:pPr>
        <w:ind w:left="160" w:hanging="127"/>
        <w:spacing w:after="0"/>
        <w:tabs>
          <w:tab w:leader="none" w:pos="160" w:val="left"/>
        </w:tabs>
        <w:numPr>
          <w:ilvl w:val="0"/>
          <w:numId w:val="36"/>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Board Director, American Hospital Associaton, 2024 to present</w:t>
      </w:r>
    </w:p>
    <w:p>
      <w:pPr>
        <w:spacing w:after="0" w:line="59" w:lineRule="exact"/>
        <w:rPr>
          <w:rFonts w:ascii="Times New Roman" w:cs="Times New Roman" w:eastAsia="Times New Roman" w:hAnsi="Times New Roman"/>
          <w:sz w:val="14"/>
          <w:szCs w:val="14"/>
          <w:color w:val="AF0000"/>
        </w:rPr>
      </w:pPr>
    </w:p>
    <w:p>
      <w:pPr>
        <w:ind w:left="160" w:right="459" w:hanging="127"/>
        <w:spacing w:after="0" w:line="237" w:lineRule="auto"/>
        <w:tabs>
          <w:tab w:leader="none" w:pos="160" w:val="left"/>
        </w:tabs>
        <w:numPr>
          <w:ilvl w:val="0"/>
          <w:numId w:val="36"/>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Served on the Board of Directors for Nuance Communicatons, a multnatonal computer technology company acquired by Microsof Corp., 2017-2022</w:t>
      </w:r>
    </w:p>
    <w:p>
      <w:pPr>
        <w:spacing w:after="0" w:line="47" w:lineRule="exact"/>
        <w:rPr>
          <w:rFonts w:ascii="Times New Roman" w:cs="Times New Roman" w:eastAsia="Times New Roman" w:hAnsi="Times New Roman"/>
          <w:sz w:val="14"/>
          <w:szCs w:val="14"/>
          <w:color w:val="AF0000"/>
        </w:rPr>
      </w:pPr>
    </w:p>
    <w:p>
      <w:pPr>
        <w:ind w:left="160" w:right="459" w:hanging="127"/>
        <w:spacing w:after="0" w:line="245" w:lineRule="auto"/>
        <w:tabs>
          <w:tab w:leader="none" w:pos="160" w:val="left"/>
        </w:tabs>
        <w:numPr>
          <w:ilvl w:val="0"/>
          <w:numId w:val="36"/>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Previously served as the Chief Operatng Ofcer of Intermountain Health, an integrated mult-state health system with 24 hospitals, 2012 to 2017</w:t>
      </w:r>
    </w:p>
    <w:p>
      <w:pPr>
        <w:spacing w:after="0" w:line="43" w:lineRule="exact"/>
        <w:rPr>
          <w:rFonts w:ascii="Times New Roman" w:cs="Times New Roman" w:eastAsia="Times New Roman" w:hAnsi="Times New Roman"/>
          <w:sz w:val="14"/>
          <w:szCs w:val="14"/>
          <w:color w:val="AF0000"/>
        </w:rPr>
      </w:pPr>
    </w:p>
    <w:p>
      <w:pPr>
        <w:ind w:left="160" w:right="459" w:hanging="127"/>
        <w:spacing w:after="0" w:line="245" w:lineRule="auto"/>
        <w:tabs>
          <w:tab w:leader="none" w:pos="160" w:val="left"/>
        </w:tabs>
        <w:numPr>
          <w:ilvl w:val="0"/>
          <w:numId w:val="36"/>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Named one of the “100 Most Infuental People in Healthcare” by Modern Healthcare for the past fve years</w:t>
      </w:r>
    </w:p>
    <w:p>
      <w:pPr>
        <w:spacing w:after="0" w:line="97"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F0000"/>
        </w:rPr>
        <w:t>Qualifcatons of Partcular Relevance to Merit</w:t>
      </w:r>
    </w:p>
    <w:p>
      <w:pPr>
        <w:spacing w:after="0" w:line="23" w:lineRule="exact"/>
        <w:rPr>
          <w:sz w:val="20"/>
          <w:szCs w:val="20"/>
          <w:color w:val="auto"/>
        </w:rPr>
      </w:pPr>
    </w:p>
    <w:p>
      <w:pPr>
        <w:ind w:left="40" w:right="399"/>
        <w:spacing w:after="0" w:line="241" w:lineRule="auto"/>
        <w:rPr>
          <w:sz w:val="20"/>
          <w:szCs w:val="20"/>
          <w:color w:val="auto"/>
        </w:rPr>
      </w:pPr>
      <w:r>
        <w:rPr>
          <w:rFonts w:ascii="Calibri" w:cs="Calibri" w:eastAsia="Calibri" w:hAnsi="Calibri"/>
          <w:sz w:val="14"/>
          <w:szCs w:val="14"/>
          <w:color w:val="auto"/>
        </w:rPr>
        <w:t>Ms. Kaiser is a seasoned executve with more than 35 years of experience in the healthcare industry. The Board believes her senior leadership experience in healthcare and her consistent delivery of operatonal results, strategic expertse, market growth and innovatve partnerships with organizatons such as Stanford University and Costco, United Health Group/Optum and Costco, enable her to provide valuable industry and organizatonal perspectve to the Board and the Company’s management team. The Board also believes Ms. Kaiser’s deep industry experience allows her to provide insight regarding merger and acquisiton opportunites and transactons, regulatory initatves and compliance, and governmental policies.</w:t>
      </w:r>
    </w:p>
    <w:p>
      <w:pPr>
        <w:spacing w:after="0" w:line="919" w:lineRule="exact"/>
        <w:rPr>
          <w:sz w:val="20"/>
          <w:szCs w:val="20"/>
          <w:color w:val="auto"/>
        </w:rPr>
      </w:pPr>
    </w:p>
    <w:p>
      <w:pPr>
        <w:sectPr>
          <w:pgSz w:w="11900" w:h="16838" w:orient="portrait"/>
          <w:cols w:equalWidth="0" w:num="2">
            <w:col w:w="4140" w:space="640"/>
            <w:col w:w="4239"/>
          </w:cols>
          <w:pgMar w:left="1440" w:top="5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 xml:space="preserve">10 </w:t>
      </w:r>
      <w:r>
        <w:rPr>
          <w:rFonts w:ascii="Calibri" w:cs="Calibri" w:eastAsia="Calibri" w:hAnsi="Calibri"/>
          <w:sz w:val="17"/>
          <w:szCs w:val="17"/>
          <w:color w:val="AF0000"/>
        </w:rPr>
        <w:t>|</w:t>
      </w:r>
      <w:r>
        <w:rPr>
          <w:rFonts w:ascii="Calibri" w:cs="Calibri" w:eastAsia="Calibri" w:hAnsi="Calibri"/>
          <w:sz w:val="17"/>
          <w:szCs w:val="17"/>
          <w:color w:val="auto"/>
        </w:rPr>
        <w:t xml:space="preserve"> Understand. Innovate. Deliver.</w:t>
      </w:r>
      <w:r>
        <w:rPr>
          <w:rFonts w:ascii="Calibri" w:cs="Calibri" w:eastAsia="Calibri" w:hAnsi="Calibri"/>
          <w:sz w:val="25"/>
          <w:szCs w:val="25"/>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307340</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14" w:name="page15"/>
    <w:bookmarkEnd w:id="14"/>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Calibri" w:cs="Calibri" w:eastAsia="Calibri" w:hAnsi="Calibri"/>
          <w:sz w:val="20"/>
          <w:szCs w:val="20"/>
          <w:b w:val="1"/>
          <w:bCs w:val="1"/>
          <w:color w:val="AF0000"/>
        </w:rPr>
        <w:t>MICHAEL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-132715</wp:posOffset>
            </wp:positionV>
            <wp:extent cx="1131570" cy="1431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31570" cy="1431290"/>
                    </a:xfrm>
                    <a:prstGeom prst="rect">
                      <a:avLst/>
                    </a:prstGeom>
                    <a:noFill/>
                  </pic:spPr>
                </pic:pic>
              </a:graphicData>
            </a:graphic>
          </wp:anchor>
        </w:drawing>
      </w:r>
    </w:p>
    <w:p>
      <w:pPr>
        <w:ind w:left="340"/>
        <w:spacing w:after="0" w:line="225" w:lineRule="auto"/>
        <w:rPr>
          <w:sz w:val="20"/>
          <w:szCs w:val="20"/>
          <w:color w:val="auto"/>
        </w:rPr>
      </w:pPr>
      <w:r>
        <w:rPr>
          <w:rFonts w:ascii="Calibri" w:cs="Calibri" w:eastAsia="Calibri" w:hAnsi="Calibri"/>
          <w:sz w:val="20"/>
          <w:szCs w:val="20"/>
          <w:b w:val="1"/>
          <w:bCs w:val="1"/>
          <w:color w:val="AF0000"/>
        </w:rPr>
        <w:t>MCDONNELL</w:t>
      </w:r>
    </w:p>
    <w:p>
      <w:pPr>
        <w:spacing w:after="0" w:line="113"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Independent Director</w:t>
      </w:r>
    </w:p>
    <w:p>
      <w:pPr>
        <w:spacing w:after="0" w:line="167"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Age: </w:t>
      </w:r>
      <w:r>
        <w:rPr>
          <w:rFonts w:ascii="Calibri" w:cs="Calibri" w:eastAsia="Calibri" w:hAnsi="Calibri"/>
          <w:sz w:val="14"/>
          <w:szCs w:val="14"/>
          <w:color w:val="auto"/>
        </w:rPr>
        <w:t>60</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Director Since: </w:t>
      </w:r>
      <w:r>
        <w:rPr>
          <w:rFonts w:ascii="Calibri" w:cs="Calibri" w:eastAsia="Calibri" w:hAnsi="Calibri"/>
          <w:sz w:val="14"/>
          <w:szCs w:val="14"/>
          <w:color w:val="auto"/>
        </w:rPr>
        <w:t>May 2022</w:t>
      </w:r>
    </w:p>
    <w:p>
      <w:pPr>
        <w:ind w:left="340"/>
        <w:spacing w:after="0" w:line="227" w:lineRule="auto"/>
        <w:rPr>
          <w:sz w:val="20"/>
          <w:szCs w:val="20"/>
          <w:color w:val="auto"/>
        </w:rPr>
      </w:pPr>
      <w:r>
        <w:rPr>
          <w:rFonts w:ascii="Calibri" w:cs="Calibri" w:eastAsia="Calibri" w:hAnsi="Calibri"/>
          <w:sz w:val="14"/>
          <w:szCs w:val="14"/>
          <w:b w:val="1"/>
          <w:bCs w:val="1"/>
          <w:color w:val="auto"/>
        </w:rPr>
        <w:t xml:space="preserve">Commitees: </w:t>
      </w:r>
      <w:r>
        <w:rPr>
          <w:rFonts w:ascii="Calibri" w:cs="Calibri" w:eastAsia="Calibri" w:hAnsi="Calibri"/>
          <w:sz w:val="14"/>
          <w:szCs w:val="14"/>
          <w:color w:val="auto"/>
        </w:rPr>
        <w:t>Audit, Finance</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Other Public Boards: </w:t>
      </w:r>
      <w:r>
        <w:rPr>
          <w:rFonts w:ascii="Calibri" w:cs="Calibri" w:eastAsia="Calibri" w:hAnsi="Calibri"/>
          <w:sz w:val="14"/>
          <w:szCs w:val="14"/>
          <w:color w:val="auto"/>
        </w:rPr>
        <w:t>None</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Educaton: </w:t>
      </w:r>
      <w:r>
        <w:rPr>
          <w:rFonts w:ascii="Calibri" w:cs="Calibri" w:eastAsia="Calibri" w:hAnsi="Calibri"/>
          <w:sz w:val="14"/>
          <w:szCs w:val="14"/>
          <w:color w:val="auto"/>
        </w:rPr>
        <w:t>B.S. (accountng),</w:t>
      </w:r>
    </w:p>
    <w:p>
      <w:pPr>
        <w:ind w:left="340" w:right="2460"/>
        <w:spacing w:after="0" w:line="236" w:lineRule="auto"/>
        <w:rPr>
          <w:sz w:val="20"/>
          <w:szCs w:val="20"/>
          <w:color w:val="auto"/>
        </w:rPr>
      </w:pPr>
      <w:r>
        <w:rPr>
          <w:rFonts w:ascii="Calibri" w:cs="Calibri" w:eastAsia="Calibri" w:hAnsi="Calibri"/>
          <w:sz w:val="14"/>
          <w:szCs w:val="14"/>
          <w:color w:val="auto"/>
        </w:rPr>
        <w:t xml:space="preserve">Georgetown University </w:t>
      </w:r>
      <w:r>
        <w:rPr>
          <w:rFonts w:ascii="Calibri" w:cs="Calibri" w:eastAsia="Calibri" w:hAnsi="Calibri"/>
          <w:sz w:val="14"/>
          <w:szCs w:val="14"/>
          <w:b w:val="1"/>
          <w:bCs w:val="1"/>
          <w:color w:val="auto"/>
        </w:rPr>
        <w:t xml:space="preserve">Term Expires: </w:t>
      </w:r>
      <w:r>
        <w:rPr>
          <w:rFonts w:ascii="Calibri" w:cs="Calibri" w:eastAsia="Calibri" w:hAnsi="Calibri"/>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965200</wp:posOffset>
            </wp:positionV>
            <wp:extent cx="2606040" cy="4345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06040" cy="434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F0000"/>
        </w:rPr>
        <w:t>Career Highlights</w:t>
      </w:r>
    </w:p>
    <w:p>
      <w:pPr>
        <w:spacing w:after="0" w:line="36" w:lineRule="exact"/>
        <w:rPr>
          <w:sz w:val="20"/>
          <w:szCs w:val="20"/>
          <w:color w:val="auto"/>
        </w:rPr>
      </w:pPr>
    </w:p>
    <w:p>
      <w:pPr>
        <w:ind w:left="500" w:hanging="129"/>
        <w:spacing w:after="0" w:line="239" w:lineRule="auto"/>
        <w:tabs>
          <w:tab w:leader="none" w:pos="500" w:val="left"/>
        </w:tabs>
        <w:numPr>
          <w:ilvl w:val="0"/>
          <w:numId w:val="37"/>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Chief Financial Ofcer of Biogen Inc, a multnatonal Nasdaq-listed company engaged in discovering, developing, and delivering therapies for people living with serious and complex diseases, 2020 to present</w:t>
      </w:r>
    </w:p>
    <w:p>
      <w:pPr>
        <w:spacing w:after="0" w:line="61" w:lineRule="exact"/>
        <w:rPr>
          <w:rFonts w:ascii="Times New Roman" w:cs="Times New Roman" w:eastAsia="Times New Roman" w:hAnsi="Times New Roman"/>
          <w:sz w:val="14"/>
          <w:szCs w:val="14"/>
          <w:color w:val="AF0000"/>
        </w:rPr>
      </w:pPr>
    </w:p>
    <w:p>
      <w:pPr>
        <w:ind w:left="500" w:right="40" w:hanging="129"/>
        <w:spacing w:after="0" w:line="239" w:lineRule="auto"/>
        <w:tabs>
          <w:tab w:leader="none" w:pos="500" w:val="left"/>
        </w:tabs>
        <w:numPr>
          <w:ilvl w:val="0"/>
          <w:numId w:val="37"/>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Executve Vice President and Chief Financial Ofcer of IQVIA Holdings Inc., a global provider of advanced analytcs, technology solutons and contract research services to the life sciences industry, 2015 to 2020</w:t>
      </w:r>
    </w:p>
    <w:p>
      <w:pPr>
        <w:spacing w:after="0" w:line="61" w:lineRule="exact"/>
        <w:rPr>
          <w:rFonts w:ascii="Times New Roman" w:cs="Times New Roman" w:eastAsia="Times New Roman" w:hAnsi="Times New Roman"/>
          <w:sz w:val="14"/>
          <w:szCs w:val="14"/>
          <w:color w:val="AF0000"/>
        </w:rPr>
      </w:pPr>
    </w:p>
    <w:p>
      <w:pPr>
        <w:ind w:left="500" w:right="20" w:hanging="129"/>
        <w:spacing w:after="0" w:line="233" w:lineRule="auto"/>
        <w:tabs>
          <w:tab w:leader="none" w:pos="500" w:val="left"/>
        </w:tabs>
        <w:numPr>
          <w:ilvl w:val="0"/>
          <w:numId w:val="37"/>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Executve Vice President and Chief Financial Ofcer of Intelsat, a global provider of satellite services, 2008-2015</w:t>
      </w:r>
    </w:p>
    <w:p>
      <w:pPr>
        <w:spacing w:after="0" w:line="46" w:lineRule="exact"/>
        <w:rPr>
          <w:rFonts w:ascii="Times New Roman" w:cs="Times New Roman" w:eastAsia="Times New Roman" w:hAnsi="Times New Roman"/>
          <w:sz w:val="14"/>
          <w:szCs w:val="14"/>
          <w:color w:val="AF0000"/>
        </w:rPr>
      </w:pPr>
    </w:p>
    <w:p>
      <w:pPr>
        <w:ind w:left="500" w:hanging="129"/>
        <w:spacing w:after="0" w:line="245" w:lineRule="auto"/>
        <w:tabs>
          <w:tab w:leader="none" w:pos="500" w:val="left"/>
        </w:tabs>
        <w:numPr>
          <w:ilvl w:val="0"/>
          <w:numId w:val="37"/>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Chief Operatng Ofcer (2006-2008) and Chief Financial Ofcer (2004-2008) of MCG Capital Corporaton, a publicly-held commercial fnance company, 2004 to 2008</w:t>
      </w:r>
    </w:p>
    <w:p>
      <w:pPr>
        <w:spacing w:after="0" w:line="43" w:lineRule="exact"/>
        <w:rPr>
          <w:rFonts w:ascii="Times New Roman" w:cs="Times New Roman" w:eastAsia="Times New Roman" w:hAnsi="Times New Roman"/>
          <w:sz w:val="14"/>
          <w:szCs w:val="14"/>
          <w:color w:val="AF0000"/>
        </w:rPr>
      </w:pPr>
    </w:p>
    <w:p>
      <w:pPr>
        <w:ind w:left="500" w:right="20" w:hanging="129"/>
        <w:spacing w:after="0" w:line="237" w:lineRule="auto"/>
        <w:tabs>
          <w:tab w:leader="none" w:pos="500" w:val="left"/>
        </w:tabs>
        <w:numPr>
          <w:ilvl w:val="0"/>
          <w:numId w:val="37"/>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Chief Financial Ofcer of EchoStar Communicatons Corporaton (dba Dish Network), a satellite television provider, 2000 to 2004</w:t>
      </w:r>
    </w:p>
    <w:p>
      <w:pPr>
        <w:spacing w:after="0" w:line="60" w:lineRule="exact"/>
        <w:rPr>
          <w:rFonts w:ascii="Times New Roman" w:cs="Times New Roman" w:eastAsia="Times New Roman" w:hAnsi="Times New Roman"/>
          <w:sz w:val="14"/>
          <w:szCs w:val="14"/>
          <w:color w:val="AF0000"/>
        </w:rPr>
      </w:pPr>
    </w:p>
    <w:p>
      <w:pPr>
        <w:ind w:left="500" w:right="100" w:hanging="129"/>
        <w:spacing w:after="0" w:line="233" w:lineRule="auto"/>
        <w:tabs>
          <w:tab w:leader="none" w:pos="500" w:val="left"/>
        </w:tabs>
        <w:numPr>
          <w:ilvl w:val="0"/>
          <w:numId w:val="37"/>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Partner of PricewaterhouseCoopers, LLP, 1996 to 2000, other positons, PricewaterhouseCoopers, LLP, 1986-1996</w:t>
      </w:r>
    </w:p>
    <w:p>
      <w:pPr>
        <w:spacing w:after="0" w:line="46" w:lineRule="exact"/>
        <w:rPr>
          <w:rFonts w:ascii="Times New Roman" w:cs="Times New Roman" w:eastAsia="Times New Roman" w:hAnsi="Times New Roman"/>
          <w:sz w:val="14"/>
          <w:szCs w:val="14"/>
          <w:color w:val="AF0000"/>
        </w:rPr>
      </w:pPr>
    </w:p>
    <w:p>
      <w:pPr>
        <w:jc w:val="both"/>
        <w:ind w:left="500" w:right="360" w:hanging="129"/>
        <w:spacing w:after="0" w:line="245" w:lineRule="auto"/>
        <w:tabs>
          <w:tab w:leader="none" w:pos="500" w:val="left"/>
        </w:tabs>
        <w:numPr>
          <w:ilvl w:val="0"/>
          <w:numId w:val="37"/>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Director of Catalyst Health Solutons, Inc., a publicly held pharmacy benefts management company, 2005 to 2012</w:t>
      </w:r>
    </w:p>
    <w:p>
      <w:pPr>
        <w:spacing w:after="0" w:line="41" w:lineRule="exact"/>
        <w:rPr>
          <w:rFonts w:ascii="Times New Roman" w:cs="Times New Roman" w:eastAsia="Times New Roman" w:hAnsi="Times New Roman"/>
          <w:sz w:val="14"/>
          <w:szCs w:val="14"/>
          <w:color w:val="AF0000"/>
        </w:rPr>
      </w:pPr>
    </w:p>
    <w:p>
      <w:pPr>
        <w:ind w:left="500" w:hanging="129"/>
        <w:spacing w:after="0"/>
        <w:tabs>
          <w:tab w:leader="none" w:pos="500" w:val="left"/>
        </w:tabs>
        <w:numPr>
          <w:ilvl w:val="0"/>
          <w:numId w:val="37"/>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Certfed public accountant</w:t>
      </w:r>
    </w:p>
    <w:p>
      <w:pPr>
        <w:spacing w:after="0" w:line="114"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F0000"/>
        </w:rPr>
        <w:t>Qualifcatons of Partcular Relevance to Merit</w:t>
      </w:r>
    </w:p>
    <w:p>
      <w:pPr>
        <w:spacing w:after="0" w:line="23" w:lineRule="exact"/>
        <w:rPr>
          <w:sz w:val="20"/>
          <w:szCs w:val="20"/>
          <w:color w:val="auto"/>
        </w:rPr>
      </w:pPr>
    </w:p>
    <w:p>
      <w:pPr>
        <w:ind w:left="380" w:right="120"/>
        <w:spacing w:after="0"/>
        <w:rPr>
          <w:sz w:val="20"/>
          <w:szCs w:val="20"/>
          <w:color w:val="auto"/>
        </w:rPr>
      </w:pPr>
      <w:r>
        <w:rPr>
          <w:rFonts w:ascii="Calibri" w:cs="Calibri" w:eastAsia="Calibri" w:hAnsi="Calibri"/>
          <w:sz w:val="14"/>
          <w:szCs w:val="14"/>
          <w:color w:val="auto"/>
        </w:rPr>
        <w:t>Mr. McDonnell is a fnancial executve with more than 35 years of experience providing fnancial and accountng advice and oversight to life science and technology companies. The Board believes Mr. McDonnell’s depth of understanding of fnancial management, accountng principles and practces, capital markets and fnancing transactons strengthen the Board’s oversight of the Company’s fnance and accountng policies, procedures and practces. The Board also believes</w:t>
      </w:r>
    </w:p>
    <w:p>
      <w:pPr>
        <w:spacing w:after="0" w:line="10" w:lineRule="exact"/>
        <w:rPr>
          <w:sz w:val="20"/>
          <w:szCs w:val="20"/>
          <w:color w:val="auto"/>
        </w:rPr>
      </w:pPr>
    </w:p>
    <w:p>
      <w:pPr>
        <w:ind w:left="380" w:right="80"/>
        <w:spacing w:after="0" w:line="239" w:lineRule="auto"/>
        <w:rPr>
          <w:sz w:val="20"/>
          <w:szCs w:val="20"/>
          <w:color w:val="auto"/>
        </w:rPr>
      </w:pPr>
      <w:r>
        <w:rPr>
          <w:rFonts w:ascii="Calibri" w:cs="Calibri" w:eastAsia="Calibri" w:hAnsi="Calibri"/>
          <w:sz w:val="14"/>
          <w:szCs w:val="14"/>
          <w:color w:val="auto"/>
        </w:rPr>
        <w:t>Mr. McDonnell’s industry experience enables him to contribute to the Board’s evaluaton and oversight of merger and acquisiton and capital funding transactons, as well as the Company’s investor relatons and shareholder outreach eforts.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Calibri" w:cs="Calibri" w:eastAsia="Calibri" w:hAnsi="Calibri"/>
          <w:sz w:val="17"/>
          <w:szCs w:val="17"/>
          <w:color w:val="auto"/>
        </w:rPr>
        <w:t>CORPORATE GOVERNANCE AND RELATED MATTERS</w:t>
      </w:r>
    </w:p>
    <w:p>
      <w:pPr>
        <w:spacing w:after="0" w:line="18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F0000"/>
        </w:rPr>
        <w:t>F. ANN MILLNER, Ed.D.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-132715</wp:posOffset>
            </wp:positionV>
            <wp:extent cx="1089025" cy="1448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89025" cy="144843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Lead Independent Director</w:t>
      </w:r>
    </w:p>
    <w:p>
      <w:pPr>
        <w:spacing w:after="0" w:line="18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Age: </w:t>
      </w:r>
      <w:r>
        <w:rPr>
          <w:rFonts w:ascii="Calibri" w:cs="Calibri" w:eastAsia="Calibri" w:hAnsi="Calibri"/>
          <w:sz w:val="14"/>
          <w:szCs w:val="14"/>
          <w:color w:val="auto"/>
        </w:rPr>
        <w:t>72</w:t>
      </w:r>
    </w:p>
    <w:p>
      <w:pPr>
        <w:spacing w:after="0" w:line="227" w:lineRule="auto"/>
        <w:rPr>
          <w:sz w:val="20"/>
          <w:szCs w:val="20"/>
          <w:color w:val="auto"/>
        </w:rPr>
      </w:pPr>
      <w:r>
        <w:rPr>
          <w:rFonts w:ascii="Calibri" w:cs="Calibri" w:eastAsia="Calibri" w:hAnsi="Calibri"/>
          <w:sz w:val="14"/>
          <w:szCs w:val="14"/>
          <w:b w:val="1"/>
          <w:bCs w:val="1"/>
          <w:color w:val="auto"/>
        </w:rPr>
        <w:t xml:space="preserve">Director Since: </w:t>
      </w:r>
      <w:r>
        <w:rPr>
          <w:rFonts w:ascii="Calibri" w:cs="Calibri" w:eastAsia="Calibri" w:hAnsi="Calibri"/>
          <w:sz w:val="14"/>
          <w:szCs w:val="14"/>
          <w:color w:val="auto"/>
        </w:rPr>
        <w:t>July 2015</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Commitees: </w:t>
      </w:r>
      <w:r>
        <w:rPr>
          <w:rFonts w:ascii="Calibri" w:cs="Calibri" w:eastAsia="Calibri" w:hAnsi="Calibri"/>
          <w:sz w:val="14"/>
          <w:szCs w:val="14"/>
          <w:color w:val="auto"/>
        </w:rPr>
        <w:t>Governance and</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color w:val="auto"/>
        </w:rPr>
        <w:t>Sustainability (Chair),</w:t>
      </w:r>
    </w:p>
    <w:p>
      <w:pPr>
        <w:spacing w:after="0" w:line="227" w:lineRule="auto"/>
        <w:rPr>
          <w:sz w:val="20"/>
          <w:szCs w:val="20"/>
          <w:color w:val="auto"/>
        </w:rPr>
      </w:pPr>
      <w:r>
        <w:rPr>
          <w:rFonts w:ascii="Calibri" w:cs="Calibri" w:eastAsia="Calibri" w:hAnsi="Calibri"/>
          <w:sz w:val="14"/>
          <w:szCs w:val="14"/>
          <w:color w:val="auto"/>
        </w:rPr>
        <w:t>Compensaton</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Other Public Boards: </w:t>
      </w:r>
      <w:r>
        <w:rPr>
          <w:rFonts w:ascii="Calibri" w:cs="Calibri" w:eastAsia="Calibri" w:hAnsi="Calibri"/>
          <w:sz w:val="14"/>
          <w:szCs w:val="14"/>
          <w:color w:val="auto"/>
        </w:rPr>
        <w:t>None</w:t>
      </w:r>
    </w:p>
    <w:p>
      <w:pPr>
        <w:spacing w:after="0" w:line="6" w:lineRule="exact"/>
        <w:rPr>
          <w:sz w:val="20"/>
          <w:szCs w:val="20"/>
          <w:color w:val="auto"/>
        </w:rPr>
      </w:pPr>
    </w:p>
    <w:p>
      <w:pPr>
        <w:ind w:right="2319"/>
        <w:spacing w:after="0" w:line="239" w:lineRule="auto"/>
        <w:rPr>
          <w:sz w:val="20"/>
          <w:szCs w:val="20"/>
          <w:color w:val="auto"/>
        </w:rPr>
      </w:pPr>
      <w:r>
        <w:rPr>
          <w:rFonts w:ascii="Calibri" w:cs="Calibri" w:eastAsia="Calibri" w:hAnsi="Calibri"/>
          <w:sz w:val="14"/>
          <w:szCs w:val="14"/>
          <w:b w:val="1"/>
          <w:bCs w:val="1"/>
          <w:color w:val="auto"/>
        </w:rPr>
        <w:t xml:space="preserve">Educaton: </w:t>
      </w:r>
      <w:r>
        <w:rPr>
          <w:rFonts w:ascii="Calibri" w:cs="Calibri" w:eastAsia="Calibri" w:hAnsi="Calibri"/>
          <w:sz w:val="14"/>
          <w:szCs w:val="14"/>
          <w:color w:val="auto"/>
        </w:rPr>
        <w:t>B.S. (educaton),</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University of Tennessee; M.S. (allied health educaton and management), Southwest Texas State University; Ed.D (educaton administraton), Brigham Young University; Completed medical technology program, Vanderbilt University</w:t>
      </w:r>
    </w:p>
    <w:p>
      <w:pPr>
        <w:spacing w:after="0" w:line="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Term Expires: </w:t>
      </w:r>
      <w:r>
        <w:rPr>
          <w:rFonts w:ascii="Calibri" w:cs="Calibri" w:eastAsia="Calibri" w:hAnsi="Calibri"/>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132715</wp:posOffset>
            </wp:positionV>
            <wp:extent cx="2631440" cy="4345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31440" cy="4345940"/>
                    </a:xfrm>
                    <a:prstGeom prst="rect">
                      <a:avLst/>
                    </a:prstGeom>
                    <a:noFill/>
                  </pic:spPr>
                </pic:pic>
              </a:graphicData>
            </a:graphic>
          </wp:anchor>
        </w:drawing>
      </w:r>
    </w:p>
    <w:p>
      <w:pPr>
        <w:spacing w:after="0" w:line="270" w:lineRule="exact"/>
        <w:rPr>
          <w:sz w:val="20"/>
          <w:szCs w:val="20"/>
          <w:color w:val="auto"/>
        </w:rPr>
      </w:pPr>
    </w:p>
    <w:p>
      <w:pPr>
        <w:ind w:left="40"/>
        <w:spacing w:after="0"/>
        <w:rPr>
          <w:sz w:val="20"/>
          <w:szCs w:val="20"/>
          <w:color w:val="auto"/>
        </w:rPr>
      </w:pPr>
      <w:r>
        <w:rPr>
          <w:rFonts w:ascii="Calibri" w:cs="Calibri" w:eastAsia="Calibri" w:hAnsi="Calibri"/>
          <w:sz w:val="18"/>
          <w:szCs w:val="18"/>
          <w:color w:val="AF0000"/>
        </w:rPr>
        <w:t>Career Highlights</w:t>
      </w:r>
    </w:p>
    <w:p>
      <w:pPr>
        <w:spacing w:after="0" w:line="36" w:lineRule="exact"/>
        <w:rPr>
          <w:sz w:val="20"/>
          <w:szCs w:val="20"/>
          <w:color w:val="auto"/>
        </w:rPr>
      </w:pPr>
    </w:p>
    <w:p>
      <w:pPr>
        <w:ind w:left="160" w:right="759" w:hanging="127"/>
        <w:spacing w:after="0" w:line="245" w:lineRule="auto"/>
        <w:tabs>
          <w:tab w:leader="none" w:pos="160" w:val="left"/>
        </w:tabs>
        <w:numPr>
          <w:ilvl w:val="0"/>
          <w:numId w:val="38"/>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Regents Professor and Professor of Health Administratve Services at Weber State University, 2013 to present</w:t>
      </w:r>
    </w:p>
    <w:p>
      <w:pPr>
        <w:spacing w:after="0" w:line="42" w:lineRule="exact"/>
        <w:rPr>
          <w:rFonts w:ascii="Times New Roman" w:cs="Times New Roman" w:eastAsia="Times New Roman" w:hAnsi="Times New Roman"/>
          <w:sz w:val="14"/>
          <w:szCs w:val="14"/>
          <w:color w:val="AF0000"/>
        </w:rPr>
      </w:pPr>
    </w:p>
    <w:p>
      <w:pPr>
        <w:ind w:left="160" w:right="879" w:hanging="127"/>
        <w:spacing w:after="0" w:line="245" w:lineRule="auto"/>
        <w:tabs>
          <w:tab w:leader="none" w:pos="160" w:val="left"/>
        </w:tabs>
        <w:numPr>
          <w:ilvl w:val="0"/>
          <w:numId w:val="38"/>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Member of the Utah State Senate (member of multple commitees and subcommitees), 2015 to present</w:t>
      </w:r>
    </w:p>
    <w:p>
      <w:pPr>
        <w:spacing w:after="0" w:line="42" w:lineRule="exact"/>
        <w:rPr>
          <w:rFonts w:ascii="Times New Roman" w:cs="Times New Roman" w:eastAsia="Times New Roman" w:hAnsi="Times New Roman"/>
          <w:sz w:val="14"/>
          <w:szCs w:val="14"/>
          <w:color w:val="AF0000"/>
        </w:rPr>
      </w:pPr>
    </w:p>
    <w:p>
      <w:pPr>
        <w:ind w:left="160" w:right="899" w:hanging="127"/>
        <w:spacing w:after="0" w:line="233" w:lineRule="auto"/>
        <w:tabs>
          <w:tab w:leader="none" w:pos="160" w:val="left"/>
        </w:tabs>
        <w:numPr>
          <w:ilvl w:val="0"/>
          <w:numId w:val="38"/>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Member of Utah Governor's Task Force on Educatonal Excellence, 2015 to present</w:t>
      </w:r>
    </w:p>
    <w:p>
      <w:pPr>
        <w:spacing w:after="0" w:line="46" w:lineRule="exact"/>
        <w:rPr>
          <w:rFonts w:ascii="Times New Roman" w:cs="Times New Roman" w:eastAsia="Times New Roman" w:hAnsi="Times New Roman"/>
          <w:sz w:val="14"/>
          <w:szCs w:val="14"/>
          <w:color w:val="AF0000"/>
        </w:rPr>
      </w:pPr>
    </w:p>
    <w:p>
      <w:pPr>
        <w:jc w:val="both"/>
        <w:ind w:left="160" w:right="899" w:hanging="127"/>
        <w:spacing w:after="0" w:line="245" w:lineRule="auto"/>
        <w:tabs>
          <w:tab w:leader="none" w:pos="160" w:val="left"/>
        </w:tabs>
        <w:numPr>
          <w:ilvl w:val="0"/>
          <w:numId w:val="38"/>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Member of Board of Trustees of Intermountain Health (integrated mult-state health system), 2005 to present</w:t>
      </w:r>
    </w:p>
    <w:p>
      <w:pPr>
        <w:spacing w:after="0" w:line="42" w:lineRule="exact"/>
        <w:rPr>
          <w:rFonts w:ascii="Times New Roman" w:cs="Times New Roman" w:eastAsia="Times New Roman" w:hAnsi="Times New Roman"/>
          <w:sz w:val="14"/>
          <w:szCs w:val="14"/>
          <w:color w:val="AF0000"/>
        </w:rPr>
      </w:pPr>
    </w:p>
    <w:p>
      <w:pPr>
        <w:ind w:left="160" w:right="439" w:hanging="127"/>
        <w:spacing w:after="0" w:line="245" w:lineRule="auto"/>
        <w:tabs>
          <w:tab w:leader="none" w:pos="160" w:val="left"/>
        </w:tabs>
        <w:numPr>
          <w:ilvl w:val="0"/>
          <w:numId w:val="38"/>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President of Weber State University, 2002 to 2012 (frst female president of a Utah state university)</w:t>
      </w:r>
    </w:p>
    <w:p>
      <w:pPr>
        <w:spacing w:after="0" w:line="42" w:lineRule="exact"/>
        <w:rPr>
          <w:rFonts w:ascii="Times New Roman" w:cs="Times New Roman" w:eastAsia="Times New Roman" w:hAnsi="Times New Roman"/>
          <w:sz w:val="14"/>
          <w:szCs w:val="14"/>
          <w:color w:val="AF0000"/>
        </w:rPr>
      </w:pPr>
    </w:p>
    <w:p>
      <w:pPr>
        <w:ind w:left="160" w:right="1019" w:hanging="127"/>
        <w:spacing w:after="0" w:line="233" w:lineRule="auto"/>
        <w:tabs>
          <w:tab w:leader="none" w:pos="160" w:val="left"/>
        </w:tabs>
        <w:numPr>
          <w:ilvl w:val="0"/>
          <w:numId w:val="38"/>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Vice President of University Relatons at Weber State University, 1993 to 2002</w:t>
      </w:r>
    </w:p>
    <w:p>
      <w:pPr>
        <w:spacing w:after="0" w:line="46" w:lineRule="exact"/>
        <w:rPr>
          <w:rFonts w:ascii="Times New Roman" w:cs="Times New Roman" w:eastAsia="Times New Roman" w:hAnsi="Times New Roman"/>
          <w:sz w:val="14"/>
          <w:szCs w:val="14"/>
          <w:color w:val="AF0000"/>
        </w:rPr>
      </w:pPr>
    </w:p>
    <w:p>
      <w:pPr>
        <w:ind w:left="160" w:right="679" w:hanging="127"/>
        <w:spacing w:after="0" w:line="245" w:lineRule="auto"/>
        <w:tabs>
          <w:tab w:leader="none" w:pos="160" w:val="left"/>
        </w:tabs>
        <w:numPr>
          <w:ilvl w:val="0"/>
          <w:numId w:val="38"/>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Associate Dean of Contnuing Educaton and Assistant Vice President of Community Partnerships at Weber State University, 1985 to 1993</w:t>
      </w:r>
    </w:p>
    <w:p>
      <w:pPr>
        <w:spacing w:after="0" w:line="98"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F0000"/>
        </w:rPr>
        <w:t>Qualifcatons of Partcular Relevance to Merit</w:t>
      </w:r>
    </w:p>
    <w:p>
      <w:pPr>
        <w:spacing w:after="0" w:line="36" w:lineRule="exact"/>
        <w:rPr>
          <w:sz w:val="20"/>
          <w:szCs w:val="20"/>
          <w:color w:val="auto"/>
        </w:rPr>
      </w:pPr>
    </w:p>
    <w:p>
      <w:pPr>
        <w:ind w:left="40" w:right="279"/>
        <w:spacing w:after="0" w:line="239" w:lineRule="auto"/>
        <w:rPr>
          <w:sz w:val="20"/>
          <w:szCs w:val="20"/>
          <w:color w:val="auto"/>
        </w:rPr>
      </w:pPr>
      <w:r>
        <w:rPr>
          <w:rFonts w:ascii="Calibri" w:cs="Calibri" w:eastAsia="Calibri" w:hAnsi="Calibri"/>
          <w:sz w:val="14"/>
          <w:szCs w:val="14"/>
          <w:color w:val="auto"/>
        </w:rPr>
        <w:t>The Board believes Dr. Millner's qualifcatons to serve as a director of the Company include her executve leadership skills and her experience in the areas of organizatonal administraton, operatons and fnancial management, and business strategy. Those skills and experience have been partcularly valuable to the Company in the course of Dr. Millner’s service as Lead Independent Director and Chair of our Governance and Sustainability Commitee. During her service, Dr. Millner has played a signifcant role in the development of our corporate governance practces and engagement with our shareholders.</w:t>
      </w:r>
    </w:p>
    <w:p>
      <w:pPr>
        <w:spacing w:after="0" w:line="1649" w:lineRule="exact"/>
        <w:rPr>
          <w:sz w:val="20"/>
          <w:szCs w:val="20"/>
          <w:color w:val="auto"/>
        </w:rPr>
      </w:pPr>
    </w:p>
    <w:p>
      <w:pPr>
        <w:sectPr>
          <w:pgSz w:w="11900" w:h="16838" w:orient="portrait"/>
          <w:cols w:equalWidth="0" w:num="2">
            <w:col w:w="4140" w:space="640"/>
            <w:col w:w="4239"/>
          </w:cols>
          <w:pgMar w:left="1440" w:top="5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15" w:name="page16"/>
    <w:bookmarkEnd w:id="15"/>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CORPORATE GOVERNANCE AND RELATED MATTERS</w:t>
      </w:r>
    </w:p>
    <w:p>
      <w:pPr>
        <w:spacing w:after="0" w:line="138" w:lineRule="exact"/>
        <w:rPr>
          <w:sz w:val="20"/>
          <w:szCs w:val="20"/>
          <w:color w:val="auto"/>
        </w:rPr>
      </w:pPr>
    </w:p>
    <w:p>
      <w:pPr>
        <w:ind w:left="340"/>
        <w:spacing w:after="0"/>
        <w:rPr>
          <w:sz w:val="20"/>
          <w:szCs w:val="20"/>
          <w:color w:val="auto"/>
        </w:rPr>
      </w:pPr>
      <w:r>
        <w:rPr>
          <w:rFonts w:ascii="Calibri" w:cs="Calibri" w:eastAsia="Calibri" w:hAnsi="Calibri"/>
          <w:sz w:val="20"/>
          <w:szCs w:val="20"/>
          <w:b w:val="1"/>
          <w:bCs w:val="1"/>
          <w:color w:val="AF0000"/>
        </w:rPr>
        <w:t>LYNNE N.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-132715</wp:posOffset>
            </wp:positionV>
            <wp:extent cx="1139825" cy="1431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39825" cy="1431290"/>
                    </a:xfrm>
                    <a:prstGeom prst="rect">
                      <a:avLst/>
                    </a:prstGeom>
                    <a:noFill/>
                  </pic:spPr>
                </pic:pic>
              </a:graphicData>
            </a:graphic>
          </wp:anchor>
        </w:drawing>
      </w:r>
    </w:p>
    <w:p>
      <w:pPr>
        <w:spacing w:after="0" w:line="92"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Independent Director</w:t>
      </w:r>
    </w:p>
    <w:p>
      <w:pPr>
        <w:spacing w:after="0" w:line="167"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Age: </w:t>
      </w:r>
      <w:r>
        <w:rPr>
          <w:rFonts w:ascii="Calibri" w:cs="Calibri" w:eastAsia="Calibri" w:hAnsi="Calibri"/>
          <w:sz w:val="14"/>
          <w:szCs w:val="14"/>
          <w:color w:val="auto"/>
        </w:rPr>
        <w:t>65</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Director Since: </w:t>
      </w:r>
      <w:r>
        <w:rPr>
          <w:rFonts w:ascii="Calibri" w:cs="Calibri" w:eastAsia="Calibri" w:hAnsi="Calibri"/>
          <w:sz w:val="14"/>
          <w:szCs w:val="14"/>
          <w:color w:val="auto"/>
        </w:rPr>
        <w:t>August 2019</w:t>
      </w:r>
    </w:p>
    <w:p>
      <w:pPr>
        <w:ind w:left="340"/>
        <w:spacing w:after="0" w:line="227" w:lineRule="auto"/>
        <w:rPr>
          <w:sz w:val="20"/>
          <w:szCs w:val="20"/>
          <w:color w:val="auto"/>
        </w:rPr>
      </w:pPr>
      <w:r>
        <w:rPr>
          <w:rFonts w:ascii="Calibri" w:cs="Calibri" w:eastAsia="Calibri" w:hAnsi="Calibri"/>
          <w:sz w:val="14"/>
          <w:szCs w:val="14"/>
          <w:b w:val="1"/>
          <w:bCs w:val="1"/>
          <w:color w:val="auto"/>
        </w:rPr>
        <w:t xml:space="preserve">Commitees: </w:t>
      </w:r>
      <w:r>
        <w:rPr>
          <w:rFonts w:ascii="Calibri" w:cs="Calibri" w:eastAsia="Calibri" w:hAnsi="Calibri"/>
          <w:sz w:val="14"/>
          <w:szCs w:val="14"/>
          <w:color w:val="auto"/>
        </w:rPr>
        <w:t>Audit (Chair),</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color w:val="auto"/>
        </w:rPr>
        <w:t>Finance; Governance and</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color w:val="auto"/>
        </w:rPr>
        <w:t>Sustainability</w:t>
      </w:r>
    </w:p>
    <w:p>
      <w:pPr>
        <w:ind w:left="340"/>
        <w:spacing w:after="0" w:line="227" w:lineRule="auto"/>
        <w:rPr>
          <w:sz w:val="20"/>
          <w:szCs w:val="20"/>
          <w:color w:val="auto"/>
        </w:rPr>
      </w:pPr>
      <w:r>
        <w:rPr>
          <w:rFonts w:ascii="Calibri" w:cs="Calibri" w:eastAsia="Calibri" w:hAnsi="Calibri"/>
          <w:sz w:val="14"/>
          <w:szCs w:val="14"/>
          <w:b w:val="1"/>
          <w:bCs w:val="1"/>
          <w:color w:val="auto"/>
        </w:rPr>
        <w:t xml:space="preserve">Other Public Boards: </w:t>
      </w:r>
      <w:r>
        <w:rPr>
          <w:rFonts w:ascii="Calibri" w:cs="Calibri" w:eastAsia="Calibri" w:hAnsi="Calibri"/>
          <w:sz w:val="14"/>
          <w:szCs w:val="14"/>
          <w:color w:val="auto"/>
        </w:rPr>
        <w:t>None</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Educaton: </w:t>
      </w:r>
      <w:r>
        <w:rPr>
          <w:rFonts w:ascii="Calibri" w:cs="Calibri" w:eastAsia="Calibri" w:hAnsi="Calibri"/>
          <w:sz w:val="14"/>
          <w:szCs w:val="14"/>
          <w:color w:val="auto"/>
        </w:rPr>
        <w:t>B.S. University of</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color w:val="auto"/>
        </w:rPr>
        <w:t>Utah (Accountng)</w:t>
      </w:r>
    </w:p>
    <w:p>
      <w:pPr>
        <w:ind w:left="340"/>
        <w:spacing w:after="0" w:line="227" w:lineRule="auto"/>
        <w:rPr>
          <w:sz w:val="20"/>
          <w:szCs w:val="20"/>
          <w:color w:val="auto"/>
        </w:rPr>
      </w:pPr>
      <w:r>
        <w:rPr>
          <w:rFonts w:ascii="Calibri" w:cs="Calibri" w:eastAsia="Calibri" w:hAnsi="Calibri"/>
          <w:sz w:val="14"/>
          <w:szCs w:val="14"/>
          <w:b w:val="1"/>
          <w:bCs w:val="1"/>
          <w:color w:val="auto"/>
        </w:rPr>
        <w:t xml:space="preserve">Term Expires: </w:t>
      </w:r>
      <w:r>
        <w:rPr>
          <w:rFonts w:ascii="Calibri" w:cs="Calibri" w:eastAsia="Calibri" w:hAnsi="Calibri"/>
          <w:sz w:val="14"/>
          <w:szCs w:val="14"/>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235585</wp:posOffset>
            </wp:positionV>
            <wp:extent cx="2606040" cy="43630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6040" cy="43630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F0000"/>
        </w:rPr>
        <w:t>Career Highlights</w:t>
      </w:r>
    </w:p>
    <w:p>
      <w:pPr>
        <w:spacing w:after="0" w:line="50" w:lineRule="exact"/>
        <w:rPr>
          <w:sz w:val="20"/>
          <w:szCs w:val="20"/>
          <w:color w:val="auto"/>
        </w:rPr>
      </w:pPr>
    </w:p>
    <w:p>
      <w:pPr>
        <w:ind w:left="500" w:right="4999" w:hanging="129"/>
        <w:spacing w:after="0" w:line="239" w:lineRule="auto"/>
        <w:tabs>
          <w:tab w:leader="none" w:pos="500" w:val="left"/>
        </w:tabs>
        <w:numPr>
          <w:ilvl w:val="0"/>
          <w:numId w:val="39"/>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Executve Director of my529 (formerly known as the Utah Educatonal Savings Plan), ofering municipal fund securites, 2004 to 2019. Underlying investments were with Vanguard, Dimensional, PIMCO, Sallie Mae Bank and U.S. Bank.</w:t>
      </w:r>
    </w:p>
    <w:p>
      <w:pPr>
        <w:spacing w:after="0" w:line="48" w:lineRule="exact"/>
        <w:rPr>
          <w:rFonts w:ascii="Times New Roman" w:cs="Times New Roman" w:eastAsia="Times New Roman" w:hAnsi="Times New Roman"/>
          <w:sz w:val="14"/>
          <w:szCs w:val="14"/>
          <w:color w:val="AF0000"/>
        </w:rPr>
      </w:pPr>
    </w:p>
    <w:p>
      <w:pPr>
        <w:ind w:left="500" w:right="5239" w:hanging="129"/>
        <w:spacing w:after="0" w:line="245" w:lineRule="auto"/>
        <w:tabs>
          <w:tab w:leader="none" w:pos="500" w:val="left"/>
        </w:tabs>
        <w:numPr>
          <w:ilvl w:val="0"/>
          <w:numId w:val="39"/>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Member of the University of Utah’s Investment Advisory Commitee, 2018 to present</w:t>
      </w:r>
    </w:p>
    <w:p>
      <w:pPr>
        <w:spacing w:after="0" w:line="42" w:lineRule="exact"/>
        <w:rPr>
          <w:rFonts w:ascii="Times New Roman" w:cs="Times New Roman" w:eastAsia="Times New Roman" w:hAnsi="Times New Roman"/>
          <w:sz w:val="14"/>
          <w:szCs w:val="14"/>
          <w:color w:val="AF0000"/>
        </w:rPr>
      </w:pPr>
    </w:p>
    <w:p>
      <w:pPr>
        <w:ind w:left="500" w:right="5199" w:hanging="129"/>
        <w:spacing w:after="0" w:line="245" w:lineRule="auto"/>
        <w:tabs>
          <w:tab w:leader="none" w:pos="500" w:val="left"/>
        </w:tabs>
        <w:numPr>
          <w:ilvl w:val="0"/>
          <w:numId w:val="39"/>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Member of the Board of Directors of the Blue Healthcare Bank, 2007 to 2009</w:t>
      </w:r>
    </w:p>
    <w:p>
      <w:pPr>
        <w:spacing w:after="0" w:line="42" w:lineRule="exact"/>
        <w:rPr>
          <w:rFonts w:ascii="Times New Roman" w:cs="Times New Roman" w:eastAsia="Times New Roman" w:hAnsi="Times New Roman"/>
          <w:sz w:val="14"/>
          <w:szCs w:val="14"/>
          <w:color w:val="AF0000"/>
        </w:rPr>
      </w:pPr>
    </w:p>
    <w:p>
      <w:pPr>
        <w:ind w:left="500" w:right="5079" w:hanging="129"/>
        <w:spacing w:after="0" w:line="233" w:lineRule="auto"/>
        <w:tabs>
          <w:tab w:leader="none" w:pos="500" w:val="left"/>
        </w:tabs>
        <w:numPr>
          <w:ilvl w:val="0"/>
          <w:numId w:val="39"/>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Member of the Board of Directors of Stampin’ Up!, 2010 to 2016</w:t>
      </w:r>
    </w:p>
    <w:p>
      <w:pPr>
        <w:spacing w:after="0" w:line="46" w:lineRule="exact"/>
        <w:rPr>
          <w:rFonts w:ascii="Times New Roman" w:cs="Times New Roman" w:eastAsia="Times New Roman" w:hAnsi="Times New Roman"/>
          <w:sz w:val="14"/>
          <w:szCs w:val="14"/>
          <w:color w:val="AF0000"/>
        </w:rPr>
      </w:pPr>
    </w:p>
    <w:p>
      <w:pPr>
        <w:ind w:left="500" w:right="5119" w:hanging="129"/>
        <w:spacing w:after="0" w:line="245" w:lineRule="auto"/>
        <w:tabs>
          <w:tab w:leader="none" w:pos="500" w:val="left"/>
        </w:tabs>
        <w:numPr>
          <w:ilvl w:val="0"/>
          <w:numId w:val="39"/>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Director of the Natonal Associaton of Corporate Directors (Utah Chapter), 2017 to present</w:t>
      </w:r>
    </w:p>
    <w:p>
      <w:pPr>
        <w:spacing w:after="0" w:line="42" w:lineRule="exact"/>
        <w:rPr>
          <w:rFonts w:ascii="Times New Roman" w:cs="Times New Roman" w:eastAsia="Times New Roman" w:hAnsi="Times New Roman"/>
          <w:sz w:val="14"/>
          <w:szCs w:val="14"/>
          <w:color w:val="AF0000"/>
        </w:rPr>
      </w:pPr>
    </w:p>
    <w:p>
      <w:pPr>
        <w:ind w:left="500" w:right="4959" w:hanging="129"/>
        <w:spacing w:after="0" w:line="245" w:lineRule="auto"/>
        <w:tabs>
          <w:tab w:leader="none" w:pos="500" w:val="left"/>
        </w:tabs>
        <w:numPr>
          <w:ilvl w:val="0"/>
          <w:numId w:val="39"/>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Walker Insttute at Weber State University board of directors, 2012 to present</w:t>
      </w:r>
    </w:p>
    <w:p>
      <w:pPr>
        <w:spacing w:after="0" w:line="42" w:lineRule="exact"/>
        <w:rPr>
          <w:rFonts w:ascii="Times New Roman" w:cs="Times New Roman" w:eastAsia="Times New Roman" w:hAnsi="Times New Roman"/>
          <w:sz w:val="14"/>
          <w:szCs w:val="14"/>
          <w:color w:val="AF0000"/>
        </w:rPr>
      </w:pPr>
    </w:p>
    <w:p>
      <w:pPr>
        <w:ind w:left="500" w:right="4999" w:hanging="129"/>
        <w:spacing w:after="0" w:line="233" w:lineRule="auto"/>
        <w:tabs>
          <w:tab w:leader="none" w:pos="500" w:val="left"/>
        </w:tabs>
        <w:numPr>
          <w:ilvl w:val="0"/>
          <w:numId w:val="39"/>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Senior leader and advisor to Utah governors Olene S. Walker and Michael O. Leavit</w:t>
      </w:r>
    </w:p>
    <w:p>
      <w:pPr>
        <w:spacing w:after="0" w:line="46" w:lineRule="exact"/>
        <w:rPr>
          <w:rFonts w:ascii="Times New Roman" w:cs="Times New Roman" w:eastAsia="Times New Roman" w:hAnsi="Times New Roman"/>
          <w:sz w:val="14"/>
          <w:szCs w:val="14"/>
          <w:color w:val="AF0000"/>
        </w:rPr>
      </w:pPr>
    </w:p>
    <w:p>
      <w:pPr>
        <w:ind w:left="500" w:right="4979" w:hanging="129"/>
        <w:spacing w:after="0" w:line="245" w:lineRule="auto"/>
        <w:tabs>
          <w:tab w:leader="none" w:pos="500" w:val="left"/>
        </w:tabs>
        <w:numPr>
          <w:ilvl w:val="0"/>
          <w:numId w:val="39"/>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Senior leader for Utah state government’s central accountng ofce and Utah State Auditor’s Ofce</w:t>
      </w:r>
    </w:p>
    <w:p>
      <w:pPr>
        <w:spacing w:after="0" w:line="41" w:lineRule="exact"/>
        <w:rPr>
          <w:rFonts w:ascii="Times New Roman" w:cs="Times New Roman" w:eastAsia="Times New Roman" w:hAnsi="Times New Roman"/>
          <w:sz w:val="14"/>
          <w:szCs w:val="14"/>
          <w:color w:val="AF0000"/>
        </w:rPr>
      </w:pPr>
    </w:p>
    <w:p>
      <w:pPr>
        <w:ind w:left="500" w:hanging="129"/>
        <w:spacing w:after="0"/>
        <w:tabs>
          <w:tab w:leader="none" w:pos="500" w:val="left"/>
        </w:tabs>
        <w:numPr>
          <w:ilvl w:val="0"/>
          <w:numId w:val="39"/>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Certfed public accountant</w:t>
      </w:r>
    </w:p>
    <w:p>
      <w:pPr>
        <w:spacing w:after="0" w:line="114"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F0000"/>
        </w:rPr>
        <w:t>Qualifcatons of Partcular Relevance to Merit</w:t>
      </w:r>
    </w:p>
    <w:p>
      <w:pPr>
        <w:spacing w:after="0" w:line="22"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Ms. Ward demonstrated her diverse skills by creatng and</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leading my529’s rapid growth of $950 million to $14 billion</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assets under management. The Board believes her high</w:t>
      </w:r>
    </w:p>
    <w:p>
      <w:pPr>
        <w:ind w:left="380"/>
        <w:spacing w:after="0" w:line="227" w:lineRule="auto"/>
        <w:rPr>
          <w:sz w:val="20"/>
          <w:szCs w:val="20"/>
          <w:color w:val="auto"/>
        </w:rPr>
      </w:pPr>
      <w:r>
        <w:rPr>
          <w:rFonts w:ascii="Calibri" w:cs="Calibri" w:eastAsia="Calibri" w:hAnsi="Calibri"/>
          <w:sz w:val="14"/>
          <w:szCs w:val="14"/>
          <w:color w:val="auto"/>
        </w:rPr>
        <w:t>standards, strategic foresight and business development fueled</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that growth. Her cost management, and investment and</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marketng innovatons of a highly regulated product led to year-</w:t>
      </w:r>
    </w:p>
    <w:p>
      <w:pPr>
        <w:ind w:left="380"/>
        <w:spacing w:after="0" w:line="227" w:lineRule="auto"/>
        <w:rPr>
          <w:sz w:val="20"/>
          <w:szCs w:val="20"/>
          <w:color w:val="auto"/>
        </w:rPr>
      </w:pPr>
      <w:r>
        <w:rPr>
          <w:rFonts w:ascii="Calibri" w:cs="Calibri" w:eastAsia="Calibri" w:hAnsi="Calibri"/>
          <w:sz w:val="14"/>
          <w:szCs w:val="14"/>
          <w:color w:val="auto"/>
        </w:rPr>
        <w:t>over-year Gold ratngs from Morningstar. The Board believes Ms.</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Ward has strong career experience, including fnancial oversight</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capabilites and leadership of a rapidly growing organizaton.</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The Board believes her contributons strengthen the Company’s</w:t>
      </w:r>
    </w:p>
    <w:p>
      <w:pPr>
        <w:ind w:left="380"/>
        <w:spacing w:after="0" w:line="227" w:lineRule="auto"/>
        <w:rPr>
          <w:sz w:val="20"/>
          <w:szCs w:val="20"/>
          <w:color w:val="auto"/>
        </w:rPr>
      </w:pPr>
      <w:r>
        <w:rPr>
          <w:rFonts w:ascii="Calibri" w:cs="Calibri" w:eastAsia="Calibri" w:hAnsi="Calibri"/>
          <w:sz w:val="14"/>
          <w:szCs w:val="14"/>
          <w:color w:val="auto"/>
        </w:rPr>
        <w:t>strategic directon while encouraging operatonal excellence.</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The Board also recognizes the valuable perspectve and</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signifcant service Ms. Ward provides to the Company as Chair</w:t>
      </w:r>
    </w:p>
    <w:p>
      <w:pPr>
        <w:ind w:left="380"/>
        <w:spacing w:after="0" w:line="227" w:lineRule="auto"/>
        <w:rPr>
          <w:sz w:val="20"/>
          <w:szCs w:val="20"/>
          <w:color w:val="auto"/>
        </w:rPr>
      </w:pPr>
      <w:r>
        <w:rPr>
          <w:rFonts w:ascii="Calibri" w:cs="Calibri" w:eastAsia="Calibri" w:hAnsi="Calibri"/>
          <w:sz w:val="14"/>
          <w:szCs w:val="14"/>
          <w:color w:val="auto"/>
        </w:rPr>
        <w:t>of the Audit Commitee of the Board (</w:t>
      </w:r>
      <w:r>
        <w:rPr>
          <w:rFonts w:ascii="Calibri" w:cs="Calibri" w:eastAsia="Calibri" w:hAnsi="Calibri"/>
          <w:sz w:val="14"/>
          <w:szCs w:val="14"/>
          <w:u w:val="single" w:color="auto"/>
          <w:color w:val="FF0000"/>
        </w:rPr>
        <w:t>Audit Commitee</w:t>
      </w: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12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16" w:name="page17"/>
    <w:bookmarkEnd w:id="16"/>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CORPORATE GOVERNANCE AND RELATED MATTERS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Director Whose Term of Ofce Does Not Contnue</w:t>
      </w:r>
    </w:p>
    <w:p>
      <w:pPr>
        <w:spacing w:after="0" w:line="201" w:lineRule="exact"/>
        <w:rPr>
          <w:sz w:val="20"/>
          <w:szCs w:val="20"/>
          <w:color w:val="auto"/>
        </w:rPr>
      </w:pPr>
    </w:p>
    <w:p>
      <w:pPr>
        <w:ind w:left="340"/>
        <w:spacing w:after="0"/>
        <w:rPr>
          <w:sz w:val="20"/>
          <w:szCs w:val="20"/>
          <w:color w:val="auto"/>
        </w:rPr>
      </w:pPr>
      <w:r>
        <w:rPr>
          <w:rFonts w:ascii="Calibri" w:cs="Calibri" w:eastAsia="Calibri" w:hAnsi="Calibri"/>
          <w:sz w:val="20"/>
          <w:szCs w:val="20"/>
          <w:b w:val="1"/>
          <w:bCs w:val="1"/>
          <w:color w:val="AF0000"/>
        </w:rPr>
        <w:t>A. SCOTT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-132715</wp:posOffset>
            </wp:positionV>
            <wp:extent cx="1217295" cy="1491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17295" cy="1491615"/>
                    </a:xfrm>
                    <a:prstGeom prst="rect">
                      <a:avLst/>
                    </a:prstGeom>
                    <a:noFill/>
                  </pic:spPr>
                </pic:pic>
              </a:graphicData>
            </a:graphic>
          </wp:anchor>
        </w:drawing>
      </w:r>
    </w:p>
    <w:p>
      <w:pPr>
        <w:spacing w:after="0" w:line="92"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Independent Director</w:t>
      </w:r>
    </w:p>
    <w:p>
      <w:pPr>
        <w:spacing w:after="0" w:line="167"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Age</w:t>
      </w:r>
      <w:r>
        <w:rPr>
          <w:rFonts w:ascii="Calibri" w:cs="Calibri" w:eastAsia="Calibri" w:hAnsi="Calibri"/>
          <w:sz w:val="14"/>
          <w:szCs w:val="14"/>
          <w:color w:val="auto"/>
        </w:rPr>
        <w:t>: 77</w:t>
      </w:r>
    </w:p>
    <w:p>
      <w:pPr>
        <w:spacing w:after="0" w:line="59"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Director Since: </w:t>
      </w:r>
      <w:r>
        <w:rPr>
          <w:rFonts w:ascii="Calibri" w:cs="Calibri" w:eastAsia="Calibri" w:hAnsi="Calibri"/>
          <w:sz w:val="14"/>
          <w:szCs w:val="14"/>
          <w:color w:val="auto"/>
        </w:rPr>
        <w:t>November 2011</w:t>
      </w:r>
    </w:p>
    <w:p>
      <w:pPr>
        <w:ind w:left="340"/>
        <w:spacing w:after="0" w:line="227" w:lineRule="auto"/>
        <w:rPr>
          <w:sz w:val="20"/>
          <w:szCs w:val="20"/>
          <w:color w:val="auto"/>
        </w:rPr>
      </w:pPr>
      <w:r>
        <w:rPr>
          <w:rFonts w:ascii="Calibri" w:cs="Calibri" w:eastAsia="Calibri" w:hAnsi="Calibri"/>
          <w:sz w:val="14"/>
          <w:szCs w:val="14"/>
          <w:b w:val="1"/>
          <w:bCs w:val="1"/>
          <w:color w:val="auto"/>
        </w:rPr>
        <w:t xml:space="preserve">Commitees: </w:t>
      </w:r>
      <w:r>
        <w:rPr>
          <w:rFonts w:ascii="Calibri" w:cs="Calibri" w:eastAsia="Calibri" w:hAnsi="Calibri"/>
          <w:sz w:val="14"/>
          <w:szCs w:val="14"/>
          <w:color w:val="auto"/>
        </w:rPr>
        <w:t>Compensaton</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color w:val="auto"/>
        </w:rPr>
        <w:t>(Chair), Governance and</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color w:val="auto"/>
        </w:rPr>
        <w:t>Sustainability</w:t>
      </w:r>
    </w:p>
    <w:p>
      <w:pPr>
        <w:spacing w:after="0" w:line="5"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auto"/>
        </w:rPr>
        <w:t xml:space="preserve">Other Public Boards: </w:t>
      </w:r>
      <w:r>
        <w:rPr>
          <w:rFonts w:ascii="Calibri" w:cs="Calibri" w:eastAsia="Calibri" w:hAnsi="Calibri"/>
          <w:sz w:val="14"/>
          <w:szCs w:val="14"/>
          <w:color w:val="auto"/>
        </w:rPr>
        <w:t>None</w:t>
      </w:r>
    </w:p>
    <w:p>
      <w:pPr>
        <w:ind w:left="340" w:right="7039"/>
        <w:spacing w:after="0"/>
        <w:rPr>
          <w:sz w:val="20"/>
          <w:szCs w:val="20"/>
          <w:color w:val="auto"/>
        </w:rPr>
      </w:pPr>
      <w:r>
        <w:rPr>
          <w:rFonts w:ascii="Calibri" w:cs="Calibri" w:eastAsia="Calibri" w:hAnsi="Calibri"/>
          <w:sz w:val="14"/>
          <w:szCs w:val="14"/>
          <w:b w:val="1"/>
          <w:bCs w:val="1"/>
          <w:color w:val="auto"/>
        </w:rPr>
        <w:t xml:space="preserve">Educaton: </w:t>
      </w:r>
      <w:r>
        <w:rPr>
          <w:rFonts w:ascii="Calibri" w:cs="Calibri" w:eastAsia="Calibri" w:hAnsi="Calibri"/>
          <w:sz w:val="14"/>
          <w:szCs w:val="14"/>
          <w:color w:val="auto"/>
        </w:rPr>
        <w:t>B.A. (philosophy,</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economics), Columbia University;</w:t>
      </w:r>
    </w:p>
    <w:p>
      <w:pPr>
        <w:ind w:left="340" w:right="6899"/>
        <w:spacing w:after="0"/>
        <w:rPr>
          <w:sz w:val="20"/>
          <w:szCs w:val="20"/>
          <w:color w:val="auto"/>
        </w:rPr>
      </w:pPr>
      <w:r>
        <w:rPr>
          <w:rFonts w:ascii="Calibri" w:cs="Calibri" w:eastAsia="Calibri" w:hAnsi="Calibri"/>
          <w:sz w:val="14"/>
          <w:szCs w:val="14"/>
          <w:color w:val="auto"/>
        </w:rPr>
        <w:t>M.S. (economics, internatonal studies), Johns Hopkins University</w:t>
      </w:r>
    </w:p>
    <w:p>
      <w:pPr>
        <w:ind w:left="340"/>
        <w:spacing w:after="0" w:line="227" w:lineRule="auto"/>
        <w:rPr>
          <w:sz w:val="20"/>
          <w:szCs w:val="20"/>
          <w:color w:val="auto"/>
        </w:rPr>
      </w:pPr>
      <w:r>
        <w:rPr>
          <w:rFonts w:ascii="Calibri" w:cs="Calibri" w:eastAsia="Calibri" w:hAnsi="Calibri"/>
          <w:sz w:val="14"/>
          <w:szCs w:val="14"/>
          <w:b w:val="1"/>
          <w:bCs w:val="1"/>
          <w:color w:val="auto"/>
        </w:rPr>
        <w:t xml:space="preserve">Term Expires: </w:t>
      </w:r>
      <w:r>
        <w:rPr>
          <w:rFonts w:ascii="Calibri" w:cs="Calibri" w:eastAsia="Calibri" w:hAnsi="Calibri"/>
          <w:sz w:val="14"/>
          <w:szCs w:val="14"/>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236220</wp:posOffset>
            </wp:positionV>
            <wp:extent cx="2631440" cy="3994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31440" cy="39947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F0000"/>
        </w:rPr>
        <w:t>Career Highlights</w:t>
      </w:r>
    </w:p>
    <w:p>
      <w:pPr>
        <w:spacing w:after="0" w:line="50" w:lineRule="exact"/>
        <w:rPr>
          <w:sz w:val="20"/>
          <w:szCs w:val="20"/>
          <w:color w:val="auto"/>
        </w:rPr>
      </w:pPr>
    </w:p>
    <w:p>
      <w:pPr>
        <w:ind w:left="500" w:right="4919" w:hanging="131"/>
        <w:spacing w:after="0" w:line="237" w:lineRule="auto"/>
        <w:tabs>
          <w:tab w:leader="none" w:pos="500" w:val="left"/>
        </w:tabs>
        <w:numPr>
          <w:ilvl w:val="0"/>
          <w:numId w:val="40"/>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President and CEO of Zions First Natonal Bank (150-year old commercial bank based in the Intermountain West U.S.), 1990 to present</w:t>
      </w:r>
    </w:p>
    <w:p>
      <w:pPr>
        <w:spacing w:after="0" w:line="60" w:lineRule="exact"/>
        <w:rPr>
          <w:rFonts w:ascii="Times New Roman" w:cs="Times New Roman" w:eastAsia="Times New Roman" w:hAnsi="Times New Roman"/>
          <w:sz w:val="14"/>
          <w:szCs w:val="14"/>
          <w:color w:val="AF0000"/>
        </w:rPr>
      </w:pPr>
    </w:p>
    <w:p>
      <w:pPr>
        <w:ind w:left="500" w:right="4999" w:hanging="131"/>
        <w:spacing w:after="0" w:line="233" w:lineRule="auto"/>
        <w:tabs>
          <w:tab w:leader="none" w:pos="500" w:val="left"/>
        </w:tabs>
        <w:numPr>
          <w:ilvl w:val="0"/>
          <w:numId w:val="40"/>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Chair Emeritus of the American Bankers Associaton, 2022 to present (Chair, 2021-2022)</w:t>
      </w:r>
    </w:p>
    <w:p>
      <w:pPr>
        <w:spacing w:after="0" w:line="46" w:lineRule="exact"/>
        <w:rPr>
          <w:rFonts w:ascii="Times New Roman" w:cs="Times New Roman" w:eastAsia="Times New Roman" w:hAnsi="Times New Roman"/>
          <w:sz w:val="14"/>
          <w:szCs w:val="14"/>
          <w:color w:val="AF0000"/>
        </w:rPr>
      </w:pPr>
    </w:p>
    <w:p>
      <w:pPr>
        <w:jc w:val="both"/>
        <w:ind w:left="500" w:right="5079" w:hanging="131"/>
        <w:spacing w:after="0" w:line="245" w:lineRule="auto"/>
        <w:tabs>
          <w:tab w:leader="none" w:pos="500" w:val="left"/>
        </w:tabs>
        <w:numPr>
          <w:ilvl w:val="0"/>
          <w:numId w:val="40"/>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Member of Board of Trustees of Intermountain Healthcare (integrated mult-state healthcare system), 2005 to present (Chair, 2012 to 2018)</w:t>
      </w:r>
    </w:p>
    <w:p>
      <w:pPr>
        <w:spacing w:after="0" w:line="43" w:lineRule="exact"/>
        <w:rPr>
          <w:rFonts w:ascii="Times New Roman" w:cs="Times New Roman" w:eastAsia="Times New Roman" w:hAnsi="Times New Roman"/>
          <w:sz w:val="14"/>
          <w:szCs w:val="14"/>
          <w:color w:val="AF0000"/>
        </w:rPr>
      </w:pPr>
    </w:p>
    <w:p>
      <w:pPr>
        <w:ind w:left="500" w:right="4839" w:hanging="131"/>
        <w:spacing w:after="0" w:line="245" w:lineRule="auto"/>
        <w:tabs>
          <w:tab w:leader="none" w:pos="500" w:val="left"/>
        </w:tabs>
        <w:numPr>
          <w:ilvl w:val="0"/>
          <w:numId w:val="40"/>
        </w:numPr>
        <w:rPr>
          <w:rFonts w:ascii="Times New Roman" w:cs="Times New Roman" w:eastAsia="Times New Roman" w:hAnsi="Times New Roman"/>
          <w:sz w:val="14"/>
          <w:szCs w:val="14"/>
          <w:color w:val="AF0000"/>
        </w:rPr>
      </w:pPr>
      <w:r>
        <w:rPr>
          <w:rFonts w:ascii="Calibri" w:cs="Calibri" w:eastAsia="Calibri" w:hAnsi="Calibri"/>
          <w:sz w:val="14"/>
          <w:szCs w:val="14"/>
          <w:color w:val="auto"/>
        </w:rPr>
        <w:t>Director of the Federal Reserve Bank of San Francisco (Salt Lake City Branch), 2003 to 2008</w:t>
      </w:r>
    </w:p>
    <w:p>
      <w:pPr>
        <w:spacing w:after="0" w:line="97"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F0000"/>
        </w:rPr>
        <w:t>Service to Merit</w:t>
      </w:r>
    </w:p>
    <w:p>
      <w:pPr>
        <w:spacing w:after="0" w:line="22"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Mr. Anderson brought more than 40 years of experience in the</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banking and fnancial services industries to the Board</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deliberatons. The Board believes Mr. Anderson provided insight</w:t>
      </w:r>
    </w:p>
    <w:p>
      <w:pPr>
        <w:ind w:left="380"/>
        <w:spacing w:after="0" w:line="227" w:lineRule="auto"/>
        <w:rPr>
          <w:sz w:val="20"/>
          <w:szCs w:val="20"/>
          <w:color w:val="auto"/>
        </w:rPr>
      </w:pPr>
      <w:r>
        <w:rPr>
          <w:rFonts w:ascii="Calibri" w:cs="Calibri" w:eastAsia="Calibri" w:hAnsi="Calibri"/>
          <w:sz w:val="14"/>
          <w:szCs w:val="14"/>
          <w:color w:val="auto"/>
        </w:rPr>
        <w:t>regarding natonal and internatonal fnancial and credit markets,</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as well as lending practces, which have been valuable to our</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growth strategy. Mr. Anderson also contributed extensive</w:t>
      </w:r>
    </w:p>
    <w:p>
      <w:pPr>
        <w:ind w:left="380"/>
        <w:spacing w:after="0" w:line="227" w:lineRule="auto"/>
        <w:rPr>
          <w:sz w:val="20"/>
          <w:szCs w:val="20"/>
          <w:color w:val="auto"/>
        </w:rPr>
      </w:pPr>
      <w:r>
        <w:rPr>
          <w:rFonts w:ascii="Calibri" w:cs="Calibri" w:eastAsia="Calibri" w:hAnsi="Calibri"/>
          <w:sz w:val="14"/>
          <w:szCs w:val="14"/>
          <w:color w:val="auto"/>
        </w:rPr>
        <w:t>business and corporate governance experience to the strategic</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planning and operatonal discussions of the Board.</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Mr. Anderson’s business and corporate governance experience</w:t>
      </w:r>
    </w:p>
    <w:p>
      <w:pPr>
        <w:ind w:left="380"/>
        <w:spacing w:after="0" w:line="227" w:lineRule="auto"/>
        <w:rPr>
          <w:sz w:val="20"/>
          <w:szCs w:val="20"/>
          <w:color w:val="auto"/>
        </w:rPr>
      </w:pPr>
      <w:r>
        <w:rPr>
          <w:rFonts w:ascii="Calibri" w:cs="Calibri" w:eastAsia="Calibri" w:hAnsi="Calibri"/>
          <w:sz w:val="14"/>
          <w:szCs w:val="14"/>
          <w:color w:val="auto"/>
        </w:rPr>
        <w:t>have been instrumental in the deliberatons of the Compensaton</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Commitee, which he chaired, the refnement of our executve</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compensaton practces and the enhancement of our human</w:t>
      </w:r>
    </w:p>
    <w:p>
      <w:pPr>
        <w:ind w:left="380"/>
        <w:spacing w:after="0" w:line="227" w:lineRule="auto"/>
        <w:rPr>
          <w:sz w:val="20"/>
          <w:szCs w:val="20"/>
          <w:color w:val="auto"/>
        </w:rPr>
      </w:pPr>
      <w:r>
        <w:rPr>
          <w:rFonts w:ascii="Calibri" w:cs="Calibri" w:eastAsia="Calibri" w:hAnsi="Calibri"/>
          <w:sz w:val="14"/>
          <w:szCs w:val="14"/>
          <w:color w:val="auto"/>
        </w:rPr>
        <w:t>resource and talent development eforts.</w:t>
      </w:r>
    </w:p>
    <w:p>
      <w:pPr>
        <w:spacing w:after="0" w:line="180"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Because Mr. Anderson has reached the age at which our</w:t>
      </w:r>
    </w:p>
    <w:p>
      <w:pPr>
        <w:ind w:left="380"/>
        <w:spacing w:after="0" w:line="227" w:lineRule="auto"/>
        <w:rPr>
          <w:sz w:val="20"/>
          <w:szCs w:val="20"/>
          <w:color w:val="auto"/>
        </w:rPr>
      </w:pPr>
      <w:r>
        <w:rPr>
          <w:rFonts w:ascii="Calibri" w:cs="Calibri" w:eastAsia="Calibri" w:hAnsi="Calibri"/>
          <w:sz w:val="14"/>
          <w:szCs w:val="14"/>
          <w:color w:val="auto"/>
        </w:rPr>
        <w:t>Governance Guidelines require him to submit his resignaton</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from the Board, the Board did not nominate him for re-electon</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as a director. Accordingly, Mr. Anderson’s service as a director</w:t>
      </w:r>
    </w:p>
    <w:p>
      <w:pPr>
        <w:ind w:left="380"/>
        <w:spacing w:after="0" w:line="227" w:lineRule="auto"/>
        <w:rPr>
          <w:sz w:val="20"/>
          <w:szCs w:val="20"/>
          <w:color w:val="auto"/>
        </w:rPr>
      </w:pPr>
      <w:r>
        <w:rPr>
          <w:rFonts w:ascii="Calibri" w:cs="Calibri" w:eastAsia="Calibri" w:hAnsi="Calibri"/>
          <w:sz w:val="14"/>
          <w:szCs w:val="14"/>
          <w:color w:val="auto"/>
        </w:rPr>
        <w:t>will conclude at the Annual Meetng.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17" w:name="page18"/>
    <w:bookmarkEnd w:id="17"/>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CORPORATE GOVERNANCE AND RELATED MATTERS</w:t>
      </w:r>
    </w:p>
    <w:p>
      <w:pPr>
        <w:spacing w:after="0" w:line="118"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Our Board of Directors</w:t>
      </w:r>
    </w:p>
    <w:p>
      <w:pPr>
        <w:spacing w:after="0" w:line="199" w:lineRule="exact"/>
        <w:rPr>
          <w:sz w:val="20"/>
          <w:szCs w:val="20"/>
          <w:color w:val="auto"/>
        </w:rPr>
      </w:pPr>
    </w:p>
    <w:p>
      <w:pPr>
        <w:ind w:left="200" w:right="399"/>
        <w:spacing w:after="0" w:line="233" w:lineRule="auto"/>
        <w:rPr>
          <w:sz w:val="20"/>
          <w:szCs w:val="20"/>
          <w:color w:val="auto"/>
        </w:rPr>
      </w:pPr>
      <w:r>
        <w:rPr>
          <w:rFonts w:ascii="Calibri" w:cs="Calibri" w:eastAsia="Calibri" w:hAnsi="Calibri"/>
          <w:sz w:val="18"/>
          <w:szCs w:val="18"/>
          <w:color w:val="auto"/>
        </w:rPr>
        <w:t>Our business afairs are managed subject to the oversight of the Board, which represents and is accountable to the shareholders of the Company. The Board advises and oversees management, which is responsible for the day-to-day operatons of the Company. The primary mission of the Board is to represent and protect the interests of our shareholders. As a result, the basic responsibility of our directors is to act in good faith and with due care so as to exercise their business judgment on an informed basis in what they reasonably and honestly believe to be in the best interests of the Company and its shareholders. The Board reviews and assesses our strategic, compettve and fnancial performance.</w:t>
      </w:r>
    </w:p>
    <w:p>
      <w:pPr>
        <w:spacing w:after="0" w:line="169"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Board Structure</w:t>
      </w:r>
    </w:p>
    <w:p>
      <w:pPr>
        <w:spacing w:after="0" w:line="141"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Chair of the Board</w:t>
      </w:r>
    </w:p>
    <w:p>
      <w:pPr>
        <w:spacing w:after="0" w:line="177" w:lineRule="exact"/>
        <w:rPr>
          <w:sz w:val="20"/>
          <w:szCs w:val="20"/>
          <w:color w:val="auto"/>
        </w:rPr>
      </w:pPr>
    </w:p>
    <w:p>
      <w:pPr>
        <w:ind w:left="200" w:right="239"/>
        <w:spacing w:after="0" w:line="235" w:lineRule="auto"/>
        <w:rPr>
          <w:sz w:val="20"/>
          <w:szCs w:val="20"/>
          <w:color w:val="auto"/>
        </w:rPr>
      </w:pPr>
      <w:r>
        <w:rPr>
          <w:rFonts w:ascii="Calibri" w:cs="Calibri" w:eastAsia="Calibri" w:hAnsi="Calibri"/>
          <w:sz w:val="18"/>
          <w:szCs w:val="18"/>
          <w:color w:val="auto"/>
        </w:rPr>
        <w:t>The Chair of the Board provides leadership to the Board and works with it to defne its structure, agenda and actvites in order to fulfll its responsibilites. The Chair works with senior management to help ensure that maters for which management is responsible are appropriately reported to the Board.</w:t>
      </w:r>
    </w:p>
    <w:p>
      <w:pPr>
        <w:spacing w:after="0" w:line="178" w:lineRule="exact"/>
        <w:rPr>
          <w:sz w:val="20"/>
          <w:szCs w:val="20"/>
          <w:color w:val="auto"/>
        </w:rPr>
      </w:pPr>
    </w:p>
    <w:p>
      <w:pPr>
        <w:ind w:left="200" w:right="219"/>
        <w:spacing w:after="0" w:line="234" w:lineRule="auto"/>
        <w:rPr>
          <w:sz w:val="20"/>
          <w:szCs w:val="20"/>
          <w:color w:val="auto"/>
        </w:rPr>
      </w:pPr>
      <w:r>
        <w:rPr>
          <w:rFonts w:ascii="Calibri" w:cs="Calibri" w:eastAsia="Calibri" w:hAnsi="Calibri"/>
          <w:sz w:val="18"/>
          <w:szCs w:val="18"/>
          <w:color w:val="auto"/>
        </w:rPr>
        <w:t>Fred P. Lampropoulos currently serves as the Chair of the Board, CEO and President of the Company. The Board and Governance Commitee believe that the traditonal practce of combining the roles of chair of the board and chief executve ofcer currently provides the preferred form of leadership for the Company. Given Mr. Lampropoulos’ vast experience since founding the Company in 1987, his role as an inventor and his involvement in fling of more than 300 patents and pending applicatons, the respect which he has earned from our employees, business partners and shareholders, and his proven leadership skills, the Board believes Mr. Lampropoulos’ contnued service in both capacites serves the best interests of our shareholders. Further, the Board believes Mr. Lampropoulos’ fulfllment of both responsibilites encourages accountability and efectve decision-making and provides strong leadership for employees and other stakeholders.</w:t>
      </w:r>
    </w:p>
    <w:p>
      <w:pPr>
        <w:spacing w:after="0" w:line="17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Independent Directors</w:t>
      </w:r>
    </w:p>
    <w:p>
      <w:pPr>
        <w:spacing w:after="0" w:line="177" w:lineRule="exact"/>
        <w:rPr>
          <w:sz w:val="20"/>
          <w:szCs w:val="20"/>
          <w:color w:val="auto"/>
        </w:rPr>
      </w:pPr>
    </w:p>
    <w:p>
      <w:pPr>
        <w:jc w:val="both"/>
        <w:ind w:left="200" w:right="439"/>
        <w:spacing w:after="0" w:line="254" w:lineRule="auto"/>
        <w:rPr>
          <w:sz w:val="20"/>
          <w:szCs w:val="20"/>
          <w:color w:val="auto"/>
        </w:rPr>
      </w:pPr>
      <w:r>
        <w:rPr>
          <w:rFonts w:ascii="Calibri" w:cs="Calibri" w:eastAsia="Calibri" w:hAnsi="Calibri"/>
          <w:sz w:val="17"/>
          <w:szCs w:val="17"/>
          <w:color w:val="auto"/>
        </w:rPr>
        <w:t>Under our Governance Guidelines, a majority of our directors should be independent directors who meet the director independence guidelines set forth in the Nasdaq Marketplace Rules. Among other things, each independent director should be free of signifcant business connectons with compettors, suppliers, or customers of the Company.</w:t>
      </w:r>
    </w:p>
    <w:p>
      <w:pPr>
        <w:spacing w:after="0" w:line="165" w:lineRule="exact"/>
        <w:rPr>
          <w:sz w:val="20"/>
          <w:szCs w:val="20"/>
          <w:color w:val="auto"/>
        </w:rPr>
      </w:pPr>
    </w:p>
    <w:p>
      <w:pPr>
        <w:ind w:left="200" w:right="239"/>
        <w:spacing w:after="0" w:line="235" w:lineRule="auto"/>
        <w:rPr>
          <w:sz w:val="20"/>
          <w:szCs w:val="20"/>
          <w:color w:val="auto"/>
        </w:rPr>
      </w:pPr>
      <w:r>
        <w:rPr>
          <w:rFonts w:ascii="Calibri" w:cs="Calibri" w:eastAsia="Calibri" w:hAnsi="Calibri"/>
          <w:sz w:val="18"/>
          <w:szCs w:val="18"/>
          <w:color w:val="auto"/>
        </w:rPr>
        <w:t>In 2023, the Governance Commitee undertook its annual review of director and nominee independence and recommended that the Board determine that Mr. Anderson, Mr. Carpenter, Admiral Evans, Mr. Floyd, Mr. Gunderson, Ms. Kaiser, Mr. McDonnell, Dr. Millner, and Ms. Ward each be designated as an independent director. If elected to the Board, we believe that Ms. Perez will also be designated as an independent director. Mr. Lampropoulos is not considered independent because of his employment as President and CEO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14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18" w:name="page19"/>
    <w:bookmarkEnd w:id="18"/>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CORPORATE GOVERNANCE AND RELATED MATTERS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Lead Independent Director</w:t>
      </w:r>
    </w:p>
    <w:p>
      <w:pPr>
        <w:spacing w:after="0" w:line="177" w:lineRule="exact"/>
        <w:rPr>
          <w:sz w:val="20"/>
          <w:szCs w:val="20"/>
          <w:color w:val="auto"/>
        </w:rPr>
      </w:pPr>
    </w:p>
    <w:p>
      <w:pPr>
        <w:ind w:left="200" w:right="259"/>
        <w:spacing w:after="0" w:line="258" w:lineRule="auto"/>
        <w:rPr>
          <w:sz w:val="20"/>
          <w:szCs w:val="20"/>
          <w:color w:val="auto"/>
        </w:rPr>
      </w:pPr>
      <w:r>
        <w:rPr>
          <w:rFonts w:ascii="Calibri" w:cs="Calibri" w:eastAsia="Calibri" w:hAnsi="Calibri"/>
          <w:sz w:val="17"/>
          <w:szCs w:val="17"/>
          <w:color w:val="auto"/>
        </w:rPr>
        <w:t>Since July 2021, Dr. Millner has served as the Lead Independent Director. The positon of Lead Independent Director comes with clearly delineated and comprehensive dutes, as set out in our Governance Guidelines. These dutes include:</w:t>
      </w:r>
    </w:p>
    <w:p>
      <w:pPr>
        <w:spacing w:after="0" w:line="179" w:lineRule="exact"/>
        <w:rPr>
          <w:sz w:val="20"/>
          <w:szCs w:val="20"/>
          <w:color w:val="auto"/>
        </w:rPr>
      </w:pPr>
    </w:p>
    <w:tbl>
      <w:tblPr>
        <w:tblLayout w:type="fixed"/>
        <w:tblInd w:w="380" w:type="dxa"/>
        <w:tblCellMar>
          <w:top w:w="0" w:type="dxa"/>
          <w:left w:w="0" w:type="dxa"/>
          <w:bottom w:w="0" w:type="dxa"/>
          <w:right w:w="0" w:type="dxa"/>
        </w:tblCellMar>
      </w:tblPr>
      <w:tr>
        <w:trPr>
          <w:trHeight w:val="229"/>
        </w:trPr>
        <w:tc>
          <w:tcPr>
            <w:tcW w:w="1640" w:type="dxa"/>
            <w:vAlign w:val="bottom"/>
            <w:vMerge w:val="restart"/>
          </w:tcPr>
          <w:p>
            <w:pPr>
              <w:spacing w:after="0"/>
              <w:rPr>
                <w:sz w:val="20"/>
                <w:szCs w:val="20"/>
                <w:color w:val="auto"/>
              </w:rPr>
            </w:pPr>
            <w:r>
              <w:rPr>
                <w:rFonts w:ascii="Calibri" w:cs="Calibri" w:eastAsia="Calibri" w:hAnsi="Calibri"/>
                <w:sz w:val="18"/>
                <w:szCs w:val="18"/>
                <w:b w:val="1"/>
                <w:bCs w:val="1"/>
                <w:color w:val="auto"/>
              </w:rPr>
              <w:t>Board meetngs and</w:t>
            </w:r>
          </w:p>
        </w:tc>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F0000"/>
              </w:rPr>
              <w:t xml:space="preserve">●  </w:t>
            </w:r>
            <w:r>
              <w:rPr>
                <w:rFonts w:ascii="Calibri" w:cs="Calibri" w:eastAsia="Calibri" w:hAnsi="Calibri"/>
                <w:sz w:val="18"/>
                <w:szCs w:val="18"/>
                <w:color w:val="000000"/>
              </w:rPr>
              <w:t>Authority to call meetngs of the independent directors</w:t>
            </w:r>
          </w:p>
        </w:tc>
        <w:tc>
          <w:tcPr>
            <w:tcW w:w="0" w:type="dxa"/>
            <w:vAlign w:val="bottom"/>
          </w:tcPr>
          <w:p>
            <w:pPr>
              <w:spacing w:after="0"/>
              <w:rPr>
                <w:sz w:val="1"/>
                <w:szCs w:val="1"/>
                <w:color w:val="auto"/>
              </w:rPr>
            </w:pPr>
          </w:p>
        </w:tc>
      </w:tr>
      <w:tr>
        <w:trPr>
          <w:trHeight w:val="103"/>
        </w:trPr>
        <w:tc>
          <w:tcPr>
            <w:tcW w:w="1640" w:type="dxa"/>
            <w:vAlign w:val="bottom"/>
            <w:vMerge w:val="continue"/>
          </w:tcPr>
          <w:p>
            <w:pPr>
              <w:spacing w:after="0"/>
              <w:rPr>
                <w:sz w:val="8"/>
                <w:szCs w:val="8"/>
                <w:color w:val="auto"/>
              </w:rPr>
            </w:pPr>
          </w:p>
        </w:tc>
        <w:tc>
          <w:tcPr>
            <w:tcW w:w="67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F0000"/>
              </w:rPr>
              <w:t xml:space="preserve">●  </w:t>
            </w:r>
            <w:r>
              <w:rPr>
                <w:rFonts w:ascii="Calibri" w:cs="Calibri" w:eastAsia="Calibri" w:hAnsi="Calibri"/>
                <w:sz w:val="18"/>
                <w:szCs w:val="18"/>
                <w:color w:val="000000"/>
              </w:rPr>
              <w:t>Presides at all meetngs of the Board at which the Chair is not present, including</w:t>
            </w:r>
          </w:p>
        </w:tc>
        <w:tc>
          <w:tcPr>
            <w:tcW w:w="0" w:type="dxa"/>
            <w:vAlign w:val="bottom"/>
          </w:tcPr>
          <w:p>
            <w:pPr>
              <w:spacing w:after="0"/>
              <w:rPr>
                <w:sz w:val="1"/>
                <w:szCs w:val="1"/>
                <w:color w:val="auto"/>
              </w:rPr>
            </w:pPr>
          </w:p>
        </w:tc>
      </w:tr>
      <w:tr>
        <w:trPr>
          <w:trHeight w:val="123"/>
        </w:trPr>
        <w:tc>
          <w:tcPr>
            <w:tcW w:w="1640" w:type="dxa"/>
            <w:vAlign w:val="bottom"/>
            <w:vMerge w:val="restart"/>
          </w:tcPr>
          <w:p>
            <w:pPr>
              <w:spacing w:after="0" w:line="216" w:lineRule="exact"/>
              <w:rPr>
                <w:sz w:val="20"/>
                <w:szCs w:val="20"/>
                <w:color w:val="auto"/>
              </w:rPr>
            </w:pPr>
            <w:r>
              <w:rPr>
                <w:rFonts w:ascii="Calibri" w:cs="Calibri" w:eastAsia="Calibri" w:hAnsi="Calibri"/>
                <w:sz w:val="18"/>
                <w:szCs w:val="18"/>
                <w:b w:val="1"/>
                <w:bCs w:val="1"/>
                <w:color w:val="auto"/>
              </w:rPr>
              <w:t>executve sessions</w:t>
            </w:r>
          </w:p>
        </w:tc>
        <w:tc>
          <w:tcPr>
            <w:tcW w:w="6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640" w:type="dxa"/>
            <w:vAlign w:val="bottom"/>
            <w:vMerge w:val="continue"/>
          </w:tcPr>
          <w:p>
            <w:pPr>
              <w:spacing w:after="0"/>
              <w:rPr>
                <w:sz w:val="8"/>
                <w:szCs w:val="8"/>
                <w:color w:val="auto"/>
              </w:rPr>
            </w:pPr>
          </w:p>
        </w:tc>
        <w:tc>
          <w:tcPr>
            <w:tcW w:w="6780" w:type="dxa"/>
            <w:vAlign w:val="bottom"/>
            <w:vMerge w:val="restart"/>
          </w:tcPr>
          <w:p>
            <w:pPr>
              <w:ind w:left="440"/>
              <w:spacing w:after="0" w:line="215" w:lineRule="exact"/>
              <w:rPr>
                <w:sz w:val="20"/>
                <w:szCs w:val="20"/>
                <w:color w:val="auto"/>
              </w:rPr>
            </w:pPr>
            <w:r>
              <w:rPr>
                <w:rFonts w:ascii="Calibri" w:cs="Calibri" w:eastAsia="Calibri" w:hAnsi="Calibri"/>
                <w:sz w:val="18"/>
                <w:szCs w:val="18"/>
                <w:color w:val="auto"/>
              </w:rPr>
              <w:t>executve sessions of the independent directors</w:t>
            </w: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6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640" w:type="dxa"/>
            <w:vAlign w:val="bottom"/>
            <w:tcBorders>
              <w:bottom w:val="single" w:sz="8" w:color="A6A6A6"/>
            </w:tcBorders>
          </w:tcPr>
          <w:p>
            <w:pPr>
              <w:spacing w:after="0"/>
              <w:rPr>
                <w:sz w:val="2"/>
                <w:szCs w:val="2"/>
                <w:color w:val="auto"/>
              </w:rPr>
            </w:pPr>
          </w:p>
        </w:tc>
        <w:tc>
          <w:tcPr>
            <w:tcW w:w="678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1640" w:type="dxa"/>
            <w:vAlign w:val="bottom"/>
          </w:tcPr>
          <w:p>
            <w:pPr>
              <w:spacing w:after="0"/>
              <w:rPr>
                <w:sz w:val="20"/>
                <w:szCs w:val="20"/>
                <w:color w:val="auto"/>
              </w:rPr>
            </w:pPr>
            <w:r>
              <w:rPr>
                <w:rFonts w:ascii="Calibri" w:cs="Calibri" w:eastAsia="Calibri" w:hAnsi="Calibri"/>
                <w:sz w:val="18"/>
                <w:szCs w:val="18"/>
                <w:b w:val="1"/>
                <w:bCs w:val="1"/>
                <w:color w:val="auto"/>
              </w:rPr>
              <w:t>Communicatng with</w:t>
            </w:r>
          </w:p>
        </w:tc>
        <w:tc>
          <w:tcPr>
            <w:tcW w:w="67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F0000"/>
              </w:rPr>
              <w:t xml:space="preserve">●  </w:t>
            </w:r>
            <w:r>
              <w:rPr>
                <w:rFonts w:ascii="Calibri" w:cs="Calibri" w:eastAsia="Calibri" w:hAnsi="Calibri"/>
                <w:sz w:val="18"/>
                <w:szCs w:val="18"/>
                <w:color w:val="000000"/>
              </w:rPr>
              <w:t>Serves as principal liaison between the Chair and the independent directors</w:t>
            </w:r>
          </w:p>
        </w:tc>
        <w:tc>
          <w:tcPr>
            <w:tcW w:w="0" w:type="dxa"/>
            <w:vAlign w:val="bottom"/>
          </w:tcPr>
          <w:p>
            <w:pPr>
              <w:spacing w:after="0"/>
              <w:rPr>
                <w:sz w:val="1"/>
                <w:szCs w:val="1"/>
                <w:color w:val="auto"/>
              </w:rPr>
            </w:pPr>
          </w:p>
        </w:tc>
      </w:tr>
      <w:tr>
        <w:trPr>
          <w:trHeight w:val="118"/>
        </w:trPr>
        <w:tc>
          <w:tcPr>
            <w:tcW w:w="1640" w:type="dxa"/>
            <w:vAlign w:val="bottom"/>
            <w:vMerge w:val="restart"/>
          </w:tcPr>
          <w:p>
            <w:pPr>
              <w:spacing w:after="0" w:line="216" w:lineRule="exact"/>
              <w:rPr>
                <w:sz w:val="20"/>
                <w:szCs w:val="20"/>
                <w:color w:val="auto"/>
              </w:rPr>
            </w:pPr>
            <w:r>
              <w:rPr>
                <w:rFonts w:ascii="Calibri" w:cs="Calibri" w:eastAsia="Calibri" w:hAnsi="Calibri"/>
                <w:sz w:val="18"/>
                <w:szCs w:val="18"/>
                <w:b w:val="1"/>
                <w:bCs w:val="1"/>
                <w:color w:val="auto"/>
              </w:rPr>
              <w:t>management</w:t>
            </w:r>
          </w:p>
        </w:tc>
        <w:tc>
          <w:tcPr>
            <w:tcW w:w="6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40" w:type="dxa"/>
            <w:vAlign w:val="bottom"/>
            <w:vMerge w:val="continue"/>
          </w:tcPr>
          <w:p>
            <w:pPr>
              <w:spacing w:after="0"/>
              <w:rPr>
                <w:sz w:val="8"/>
                <w:szCs w:val="8"/>
                <w:color w:val="auto"/>
              </w:rPr>
            </w:pPr>
          </w:p>
        </w:tc>
        <w:tc>
          <w:tcPr>
            <w:tcW w:w="6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640" w:type="dxa"/>
            <w:vAlign w:val="bottom"/>
            <w:tcBorders>
              <w:bottom w:val="single" w:sz="8" w:color="A6A6A6"/>
            </w:tcBorders>
          </w:tcPr>
          <w:p>
            <w:pPr>
              <w:spacing w:after="0"/>
              <w:rPr>
                <w:sz w:val="11"/>
                <w:szCs w:val="11"/>
                <w:color w:val="auto"/>
              </w:rPr>
            </w:pPr>
          </w:p>
        </w:tc>
        <w:tc>
          <w:tcPr>
            <w:tcW w:w="6780" w:type="dxa"/>
            <w:vAlign w:val="bottom"/>
            <w:tcBorders>
              <w:bottom w:val="single" w:sz="8" w:color="A6A6A6"/>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640" w:type="dxa"/>
            <w:vAlign w:val="bottom"/>
            <w:vMerge w:val="restart"/>
          </w:tcPr>
          <w:p>
            <w:pPr>
              <w:spacing w:after="0"/>
              <w:rPr>
                <w:sz w:val="20"/>
                <w:szCs w:val="20"/>
                <w:color w:val="auto"/>
              </w:rPr>
            </w:pPr>
            <w:r>
              <w:rPr>
                <w:rFonts w:ascii="Calibri" w:cs="Calibri" w:eastAsia="Calibri" w:hAnsi="Calibri"/>
                <w:sz w:val="18"/>
                <w:szCs w:val="18"/>
                <w:b w:val="1"/>
                <w:bCs w:val="1"/>
                <w:color w:val="auto"/>
              </w:rPr>
              <w:t>Agendas</w:t>
            </w:r>
          </w:p>
        </w:tc>
        <w:tc>
          <w:tcPr>
            <w:tcW w:w="678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F0000"/>
              </w:rPr>
              <w:t xml:space="preserve">●  </w:t>
            </w:r>
            <w:r>
              <w:rPr>
                <w:rFonts w:ascii="Calibri" w:cs="Calibri" w:eastAsia="Calibri" w:hAnsi="Calibri"/>
                <w:sz w:val="18"/>
                <w:szCs w:val="18"/>
                <w:color w:val="000000"/>
              </w:rPr>
              <w:t>Contributes to the development of and approves meetng agendas for the Board and</w:t>
            </w:r>
          </w:p>
        </w:tc>
        <w:tc>
          <w:tcPr>
            <w:tcW w:w="0" w:type="dxa"/>
            <w:vAlign w:val="bottom"/>
          </w:tcPr>
          <w:p>
            <w:pPr>
              <w:spacing w:after="0"/>
              <w:rPr>
                <w:sz w:val="1"/>
                <w:szCs w:val="1"/>
                <w:color w:val="auto"/>
              </w:rPr>
            </w:pPr>
          </w:p>
        </w:tc>
      </w:tr>
      <w:tr>
        <w:trPr>
          <w:trHeight w:val="93"/>
        </w:trPr>
        <w:tc>
          <w:tcPr>
            <w:tcW w:w="1640" w:type="dxa"/>
            <w:vAlign w:val="bottom"/>
            <w:vMerge w:val="continue"/>
          </w:tcPr>
          <w:p>
            <w:pPr>
              <w:spacing w:after="0"/>
              <w:rPr>
                <w:sz w:val="8"/>
                <w:szCs w:val="8"/>
                <w:color w:val="auto"/>
              </w:rPr>
            </w:pPr>
          </w:p>
        </w:tc>
        <w:tc>
          <w:tcPr>
            <w:tcW w:w="6780" w:type="dxa"/>
            <w:vAlign w:val="bottom"/>
            <w:vMerge w:val="restart"/>
          </w:tcPr>
          <w:p>
            <w:pPr>
              <w:ind w:left="440"/>
              <w:spacing w:after="0" w:line="215" w:lineRule="exact"/>
              <w:rPr>
                <w:sz w:val="20"/>
                <w:szCs w:val="20"/>
                <w:color w:val="auto"/>
              </w:rPr>
            </w:pPr>
            <w:r>
              <w:rPr>
                <w:rFonts w:ascii="Calibri" w:cs="Calibri" w:eastAsia="Calibri" w:hAnsi="Calibri"/>
                <w:sz w:val="18"/>
                <w:szCs w:val="18"/>
                <w:color w:val="auto"/>
              </w:rPr>
              <w:t>informaton sent to the Board by the Chair, including supportng materials</w:t>
            </w: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6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640" w:type="dxa"/>
            <w:vAlign w:val="bottom"/>
            <w:tcBorders>
              <w:bottom w:val="single" w:sz="8" w:color="A6A6A6"/>
            </w:tcBorders>
          </w:tcPr>
          <w:p>
            <w:pPr>
              <w:spacing w:after="0"/>
              <w:rPr>
                <w:sz w:val="2"/>
                <w:szCs w:val="2"/>
                <w:color w:val="auto"/>
              </w:rPr>
            </w:pPr>
          </w:p>
        </w:tc>
        <w:tc>
          <w:tcPr>
            <w:tcW w:w="678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640" w:type="dxa"/>
            <w:vAlign w:val="bottom"/>
            <w:vMerge w:val="restart"/>
          </w:tcPr>
          <w:p>
            <w:pPr>
              <w:spacing w:after="0"/>
              <w:rPr>
                <w:sz w:val="20"/>
                <w:szCs w:val="20"/>
                <w:color w:val="auto"/>
              </w:rPr>
            </w:pPr>
            <w:r>
              <w:rPr>
                <w:rFonts w:ascii="Calibri" w:cs="Calibri" w:eastAsia="Calibri" w:hAnsi="Calibri"/>
                <w:sz w:val="18"/>
                <w:szCs w:val="18"/>
                <w:b w:val="1"/>
                <w:bCs w:val="1"/>
                <w:color w:val="auto"/>
              </w:rPr>
              <w:t>Meetng Schedules</w:t>
            </w:r>
          </w:p>
        </w:tc>
        <w:tc>
          <w:tcPr>
            <w:tcW w:w="678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F0000"/>
              </w:rPr>
              <w:t xml:space="preserve">●  </w:t>
            </w:r>
            <w:r>
              <w:rPr>
                <w:rFonts w:ascii="Calibri" w:cs="Calibri" w:eastAsia="Calibri" w:hAnsi="Calibri"/>
                <w:sz w:val="18"/>
                <w:szCs w:val="18"/>
                <w:color w:val="000000"/>
              </w:rPr>
              <w:t>Approves meetng schedules for the Board and its commitees to facilitate sufcient tme</w:t>
            </w:r>
          </w:p>
        </w:tc>
        <w:tc>
          <w:tcPr>
            <w:tcW w:w="0" w:type="dxa"/>
            <w:vAlign w:val="bottom"/>
          </w:tcPr>
          <w:p>
            <w:pPr>
              <w:spacing w:after="0"/>
              <w:rPr>
                <w:sz w:val="1"/>
                <w:szCs w:val="1"/>
                <w:color w:val="auto"/>
              </w:rPr>
            </w:pPr>
          </w:p>
        </w:tc>
      </w:tr>
      <w:tr>
        <w:trPr>
          <w:trHeight w:val="93"/>
        </w:trPr>
        <w:tc>
          <w:tcPr>
            <w:tcW w:w="1640" w:type="dxa"/>
            <w:vAlign w:val="bottom"/>
            <w:vMerge w:val="continue"/>
          </w:tcPr>
          <w:p>
            <w:pPr>
              <w:spacing w:after="0"/>
              <w:rPr>
                <w:sz w:val="8"/>
                <w:szCs w:val="8"/>
                <w:color w:val="auto"/>
              </w:rPr>
            </w:pPr>
          </w:p>
        </w:tc>
        <w:tc>
          <w:tcPr>
            <w:tcW w:w="6780" w:type="dxa"/>
            <w:vAlign w:val="bottom"/>
            <w:vMerge w:val="restart"/>
          </w:tcPr>
          <w:p>
            <w:pPr>
              <w:ind w:left="440"/>
              <w:spacing w:after="0" w:line="215" w:lineRule="exact"/>
              <w:rPr>
                <w:sz w:val="20"/>
                <w:szCs w:val="20"/>
                <w:color w:val="auto"/>
              </w:rPr>
            </w:pPr>
            <w:r>
              <w:rPr>
                <w:rFonts w:ascii="Calibri" w:cs="Calibri" w:eastAsia="Calibri" w:hAnsi="Calibri"/>
                <w:sz w:val="18"/>
                <w:szCs w:val="18"/>
                <w:color w:val="auto"/>
              </w:rPr>
              <w:t>for discussion of all agenda items</w:t>
            </w: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6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640" w:type="dxa"/>
            <w:vAlign w:val="bottom"/>
            <w:tcBorders>
              <w:bottom w:val="single" w:sz="8" w:color="A6A6A6"/>
            </w:tcBorders>
          </w:tcPr>
          <w:p>
            <w:pPr>
              <w:spacing w:after="0"/>
              <w:rPr>
                <w:sz w:val="2"/>
                <w:szCs w:val="2"/>
                <w:color w:val="auto"/>
              </w:rPr>
            </w:pPr>
          </w:p>
        </w:tc>
        <w:tc>
          <w:tcPr>
            <w:tcW w:w="678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1640" w:type="dxa"/>
            <w:vAlign w:val="bottom"/>
          </w:tcPr>
          <w:p>
            <w:pPr>
              <w:spacing w:after="0"/>
              <w:rPr>
                <w:sz w:val="20"/>
                <w:szCs w:val="20"/>
                <w:color w:val="auto"/>
              </w:rPr>
            </w:pPr>
            <w:r>
              <w:rPr>
                <w:rFonts w:ascii="Calibri" w:cs="Calibri" w:eastAsia="Calibri" w:hAnsi="Calibri"/>
                <w:sz w:val="18"/>
                <w:szCs w:val="18"/>
                <w:b w:val="1"/>
                <w:bCs w:val="1"/>
                <w:color w:val="auto"/>
              </w:rPr>
              <w:t>Communicatng with</w:t>
            </w:r>
          </w:p>
        </w:tc>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F0000"/>
              </w:rPr>
              <w:t xml:space="preserve">●  </w:t>
            </w:r>
            <w:r>
              <w:rPr>
                <w:rFonts w:ascii="Calibri" w:cs="Calibri" w:eastAsia="Calibri" w:hAnsi="Calibri"/>
                <w:sz w:val="18"/>
                <w:szCs w:val="18"/>
                <w:color w:val="000000"/>
              </w:rPr>
              <w:t>Ensures availability for consultaton and direct communicaton with major shareholders</w:t>
            </w:r>
          </w:p>
        </w:tc>
        <w:tc>
          <w:tcPr>
            <w:tcW w:w="0" w:type="dxa"/>
            <w:vAlign w:val="bottom"/>
          </w:tcPr>
          <w:p>
            <w:pPr>
              <w:spacing w:after="0"/>
              <w:rPr>
                <w:sz w:val="1"/>
                <w:szCs w:val="1"/>
                <w:color w:val="auto"/>
              </w:rPr>
            </w:pPr>
          </w:p>
        </w:tc>
      </w:tr>
      <w:tr>
        <w:trPr>
          <w:trHeight w:val="215"/>
        </w:trPr>
        <w:tc>
          <w:tcPr>
            <w:tcW w:w="1640" w:type="dxa"/>
            <w:vAlign w:val="bottom"/>
          </w:tcPr>
          <w:p>
            <w:pPr>
              <w:spacing w:after="0" w:line="215" w:lineRule="exact"/>
              <w:rPr>
                <w:sz w:val="20"/>
                <w:szCs w:val="20"/>
                <w:color w:val="auto"/>
              </w:rPr>
            </w:pPr>
            <w:r>
              <w:rPr>
                <w:rFonts w:ascii="Calibri" w:cs="Calibri" w:eastAsia="Calibri" w:hAnsi="Calibri"/>
                <w:sz w:val="18"/>
                <w:szCs w:val="18"/>
                <w:b w:val="1"/>
                <w:bCs w:val="1"/>
                <w:color w:val="auto"/>
              </w:rPr>
              <w:t>Shareholders</w:t>
            </w:r>
          </w:p>
        </w:tc>
        <w:tc>
          <w:tcPr>
            <w:tcW w:w="6780" w:type="dxa"/>
            <w:vAlign w:val="bottom"/>
          </w:tcPr>
          <w:p>
            <w:pPr>
              <w:ind w:left="440"/>
              <w:spacing w:after="0" w:line="215" w:lineRule="exact"/>
              <w:rPr>
                <w:sz w:val="20"/>
                <w:szCs w:val="20"/>
                <w:color w:val="auto"/>
              </w:rPr>
            </w:pPr>
            <w:r>
              <w:rPr>
                <w:rFonts w:ascii="Calibri" w:cs="Calibri" w:eastAsia="Calibri" w:hAnsi="Calibri"/>
                <w:sz w:val="18"/>
                <w:szCs w:val="18"/>
                <w:color w:val="auto"/>
              </w:rPr>
              <w:t>of the Company upon reasonable request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-1767205</wp:posOffset>
            </wp:positionV>
            <wp:extent cx="68580" cy="18516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51660"/>
                    </a:xfrm>
                    <a:prstGeom prst="rect">
                      <a:avLst/>
                    </a:prstGeom>
                    <a:noFill/>
                  </pic:spPr>
                </pic:pic>
              </a:graphicData>
            </a:graphic>
          </wp:anchor>
        </w:drawing>
      </w:r>
    </w:p>
    <w:p>
      <w:pPr>
        <w:spacing w:after="0" w:line="292" w:lineRule="exact"/>
        <w:rPr>
          <w:sz w:val="20"/>
          <w:szCs w:val="20"/>
          <w:color w:val="auto"/>
        </w:rPr>
      </w:pPr>
    </w:p>
    <w:p>
      <w:pPr>
        <w:ind w:left="200" w:right="419"/>
        <w:spacing w:after="0" w:line="235" w:lineRule="auto"/>
        <w:rPr>
          <w:sz w:val="20"/>
          <w:szCs w:val="20"/>
          <w:color w:val="auto"/>
        </w:rPr>
      </w:pPr>
      <w:r>
        <w:rPr>
          <w:rFonts w:ascii="Calibri" w:cs="Calibri" w:eastAsia="Calibri" w:hAnsi="Calibri"/>
          <w:sz w:val="18"/>
          <w:szCs w:val="18"/>
          <w:color w:val="auto"/>
        </w:rPr>
        <w:t>Our independent directors regularly meet in executve session without the Chair present, at least once each quarter. During these sessions, independent directors discuss topics such as executve (including the CEO) succession planning, corporate governance, business strategy and Board responsibilites.</w:t>
      </w:r>
    </w:p>
    <w:p>
      <w:pPr>
        <w:spacing w:after="0" w:line="166"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Compositon and Selecton of Board Members</w:t>
      </w:r>
    </w:p>
    <w:p>
      <w:pPr>
        <w:spacing w:after="0" w:line="146" w:lineRule="exact"/>
        <w:rPr>
          <w:sz w:val="20"/>
          <w:szCs w:val="20"/>
          <w:color w:val="auto"/>
        </w:rPr>
      </w:pPr>
    </w:p>
    <w:p>
      <w:pPr>
        <w:ind w:left="200" w:right="319"/>
        <w:spacing w:after="0" w:line="235" w:lineRule="auto"/>
        <w:rPr>
          <w:sz w:val="20"/>
          <w:szCs w:val="20"/>
          <w:color w:val="auto"/>
        </w:rPr>
      </w:pPr>
      <w:r>
        <w:rPr>
          <w:rFonts w:ascii="Calibri" w:cs="Calibri" w:eastAsia="Calibri" w:hAnsi="Calibri"/>
          <w:sz w:val="18"/>
          <w:szCs w:val="18"/>
          <w:color w:val="auto"/>
        </w:rPr>
        <w:t>The Governance Commitee is responsible for reviewing annually with the Board the desired skills and characteristcs of directors, as well as the compositon of the Board as a whole. Directors should be individuals who have succeeded in their partcular feld and who demonstrate integrity, reliability, knowledge of corporate afairs, and an ability to work well together. Directors should have:</w:t>
      </w:r>
    </w:p>
    <w:p>
      <w:pPr>
        <w:spacing w:after="0" w:line="174" w:lineRule="exact"/>
        <w:rPr>
          <w:sz w:val="20"/>
          <w:szCs w:val="20"/>
          <w:color w:val="auto"/>
        </w:rPr>
      </w:pPr>
    </w:p>
    <w:p>
      <w:pPr>
        <w:ind w:left="540" w:hanging="331"/>
        <w:spacing w:after="0"/>
        <w:tabs>
          <w:tab w:leader="none" w:pos="540" w:val="left"/>
        </w:tabs>
        <w:numPr>
          <w:ilvl w:val="0"/>
          <w:numId w:val="4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demonstrated management ability at senior levels in successful organizatons;</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4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current or recent employment in positons of signifcant responsibility and decision-making;</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4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expertse in leading rapidly growing mult-natonal oragnizatons; or</w:t>
      </w:r>
    </w:p>
    <w:p>
      <w:pPr>
        <w:spacing w:after="0" w:line="190" w:lineRule="exact"/>
        <w:rPr>
          <w:rFonts w:ascii="Times New Roman" w:cs="Times New Roman" w:eastAsia="Times New Roman" w:hAnsi="Times New Roman"/>
          <w:sz w:val="18"/>
          <w:szCs w:val="18"/>
          <w:color w:val="AF0000"/>
        </w:rPr>
      </w:pPr>
    </w:p>
    <w:p>
      <w:pPr>
        <w:ind w:left="540" w:right="979" w:hanging="331"/>
        <w:spacing w:after="0" w:line="235" w:lineRule="auto"/>
        <w:tabs>
          <w:tab w:leader="none" w:pos="540" w:val="left"/>
        </w:tabs>
        <w:numPr>
          <w:ilvl w:val="0"/>
          <w:numId w:val="4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current and prior experience related to antcipated Board and commitee responsibilites in other areas of importance to the Company.</w:t>
      </w:r>
    </w:p>
    <w:p>
      <w:pPr>
        <w:spacing w:after="0" w:line="177" w:lineRule="exact"/>
        <w:rPr>
          <w:sz w:val="20"/>
          <w:szCs w:val="20"/>
          <w:color w:val="auto"/>
        </w:rPr>
      </w:pPr>
    </w:p>
    <w:p>
      <w:pPr>
        <w:ind w:left="200" w:right="239"/>
        <w:spacing w:after="0" w:line="233" w:lineRule="auto"/>
        <w:rPr>
          <w:sz w:val="20"/>
          <w:szCs w:val="20"/>
          <w:color w:val="auto"/>
        </w:rPr>
      </w:pPr>
      <w:r>
        <w:rPr>
          <w:rFonts w:ascii="Calibri" w:cs="Calibri" w:eastAsia="Calibri" w:hAnsi="Calibri"/>
          <w:sz w:val="18"/>
          <w:szCs w:val="18"/>
          <w:color w:val="auto"/>
        </w:rPr>
        <w:t>The Governance Commitee reviews the skills and characteristcs required of directors in the context of the current compositon of the Board. There is currently no set of specifc minimum qualifcatons that must be met by a nominee recommended by the Governance Commitee, as diferent factors may assume greater or lesser signifcance at partcular tmes and the needs of the Board may vary in light of its compositon and the Governance Commitee’s perceptons about future issues and needs. Additonally, in considering the compositon of the Board and identfying nominees, the Governance Commitee does not have a formal policy regarding the consideraton of gender, race, sexual preference, religion and other traits typically associated with the term “diversity.”</w:t>
      </w:r>
    </w:p>
    <w:p>
      <w:pPr>
        <w:spacing w:after="0" w:line="181" w:lineRule="exact"/>
        <w:rPr>
          <w:sz w:val="20"/>
          <w:szCs w:val="20"/>
          <w:color w:val="auto"/>
        </w:rPr>
      </w:pPr>
    </w:p>
    <w:p>
      <w:pPr>
        <w:ind w:left="200" w:right="219"/>
        <w:spacing w:after="0" w:line="235" w:lineRule="auto"/>
        <w:rPr>
          <w:sz w:val="20"/>
          <w:szCs w:val="20"/>
          <w:color w:val="auto"/>
        </w:rPr>
      </w:pPr>
      <w:r>
        <w:rPr>
          <w:rFonts w:ascii="Calibri" w:cs="Calibri" w:eastAsia="Calibri" w:hAnsi="Calibri"/>
          <w:sz w:val="18"/>
          <w:szCs w:val="18"/>
          <w:color w:val="auto"/>
        </w:rPr>
        <w:t>However, the Governance Commitee considers it important that the Board be composed of directors with a broad range of experience, areas of expertse and skills and considers several factors, including a candidate’s:</w:t>
      </w:r>
    </w:p>
    <w:p>
      <w:pPr>
        <w:spacing w:after="0" w:line="172" w:lineRule="exact"/>
        <w:rPr>
          <w:sz w:val="20"/>
          <w:szCs w:val="20"/>
          <w:color w:val="auto"/>
        </w:rPr>
      </w:pPr>
    </w:p>
    <w:p>
      <w:pPr>
        <w:ind w:left="540" w:hanging="331"/>
        <w:spacing w:after="0"/>
        <w:tabs>
          <w:tab w:leader="none" w:pos="540" w:val="left"/>
        </w:tabs>
        <w:numPr>
          <w:ilvl w:val="0"/>
          <w:numId w:val="42"/>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diversity;</w:t>
      </w:r>
    </w:p>
    <w:p>
      <w:pPr>
        <w:spacing w:after="0" w:line="185"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42"/>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gender;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19" w:name="page20"/>
    <w:bookmarkEnd w:id="19"/>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CORPORATE GOVERNANCE AND RELATED MATTERS</w:t>
      </w:r>
    </w:p>
    <w:p>
      <w:pPr>
        <w:spacing w:after="0" w:line="131" w:lineRule="exact"/>
        <w:rPr>
          <w:sz w:val="20"/>
          <w:szCs w:val="20"/>
          <w:color w:val="auto"/>
        </w:rPr>
      </w:pPr>
    </w:p>
    <w:p>
      <w:pPr>
        <w:ind w:left="540" w:hanging="331"/>
        <w:spacing w:after="0"/>
        <w:tabs>
          <w:tab w:leader="none" w:pos="540" w:val="left"/>
        </w:tabs>
        <w:numPr>
          <w:ilvl w:val="0"/>
          <w:numId w:val="43"/>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age;</w:t>
      </w:r>
    </w:p>
    <w:p>
      <w:pPr>
        <w:spacing w:after="0" w:line="185"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43"/>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skills;</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43"/>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integrity and moral responsibility;</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43"/>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policy-making experience;</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43"/>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ability to work constructvely with our management and other directors;</w:t>
      </w:r>
    </w:p>
    <w:p>
      <w:pPr>
        <w:spacing w:after="0" w:line="185"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43"/>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capacity to evaluate strategy and reach sound conclusions;</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43"/>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availability of tme to devote to the Board; and</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43"/>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awareness of relevant social, politcal, and economic trends afectng the Company.</w:t>
      </w:r>
    </w:p>
    <w:p>
      <w:pPr>
        <w:spacing w:after="0" w:line="190" w:lineRule="exact"/>
        <w:rPr>
          <w:sz w:val="20"/>
          <w:szCs w:val="20"/>
          <w:color w:val="auto"/>
        </w:rPr>
      </w:pPr>
    </w:p>
    <w:p>
      <w:pPr>
        <w:ind w:left="200" w:right="239"/>
        <w:spacing w:after="0" w:line="233" w:lineRule="auto"/>
        <w:rPr>
          <w:sz w:val="20"/>
          <w:szCs w:val="20"/>
          <w:color w:val="auto"/>
        </w:rPr>
      </w:pPr>
      <w:r>
        <w:rPr>
          <w:rFonts w:ascii="Calibri" w:cs="Calibri" w:eastAsia="Calibri" w:hAnsi="Calibri"/>
          <w:sz w:val="18"/>
          <w:szCs w:val="18"/>
          <w:color w:val="auto"/>
        </w:rPr>
        <w:t>The Governance Commitee uses a variety of methods for identfying and evaluatng director nominees. The Governance Commitee assesses the appropriate size of the Board, and whether any vacancies on the Board are expected due to retrement or otherwise. In the event that vacancies are antcipated, or otherwise arise, the Governance Commitee considers various potental candidates for director. Candidates may come to the atenton of the Governance Commitee through various means, including recommendatons from current directors, third-party advisory frms, shareholders or other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16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0" w:name="page21"/>
    <w:bookmarkEnd w:id="20"/>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CORPORATE GOVERNANCE AND RELATED MATTERS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Experience and Skills</w:t>
      </w:r>
    </w:p>
    <w:p>
      <w:pPr>
        <w:spacing w:after="0" w:line="177" w:lineRule="exact"/>
        <w:rPr>
          <w:sz w:val="20"/>
          <w:szCs w:val="20"/>
          <w:color w:val="auto"/>
        </w:rPr>
      </w:pPr>
    </w:p>
    <w:p>
      <w:pPr>
        <w:ind w:left="200" w:right="359"/>
        <w:spacing w:after="0" w:line="233" w:lineRule="auto"/>
        <w:rPr>
          <w:sz w:val="20"/>
          <w:szCs w:val="20"/>
          <w:color w:val="auto"/>
        </w:rPr>
      </w:pPr>
      <w:r>
        <w:rPr>
          <w:rFonts w:ascii="Calibri" w:cs="Calibri" w:eastAsia="Calibri" w:hAnsi="Calibri"/>
          <w:sz w:val="18"/>
          <w:szCs w:val="18"/>
          <w:color w:val="auto"/>
        </w:rPr>
        <w:t>The table below summarizes some of the relevant experience, qualifcatons and demographic informaton of each existng director and nominee identfed by the Governance Commitee. Although the Board believes each director and nominee provides the Company with extensive experience and skills which complement the experience and skills of other directors and nominees and are of great beneft to the Company and its shareholders, the following table identfes the core competencies of each director and nominee. The biographies above describe each director’s or nominee’s background in more detail.</w:t>
      </w:r>
    </w:p>
    <w:p>
      <w:pPr>
        <w:spacing w:after="0" w:line="18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F0000"/>
        </w:rPr>
        <w:t>Experience and Skills Matrix</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259"/>
        </w:trPr>
        <w:tc>
          <w:tcPr>
            <w:tcW w:w="1000" w:type="dxa"/>
            <w:vAlign w:val="bottom"/>
            <w:tcBorders>
              <w:top w:val="single" w:sz="8" w:color="AF0000"/>
            </w:tcBorders>
          </w:tcPr>
          <w:p>
            <w:pPr>
              <w:spacing w:after="0"/>
              <w:rPr>
                <w:sz w:val="22"/>
                <w:szCs w:val="22"/>
                <w:color w:val="auto"/>
              </w:rPr>
            </w:pPr>
          </w:p>
        </w:tc>
        <w:tc>
          <w:tcPr>
            <w:tcW w:w="660" w:type="dxa"/>
            <w:vAlign w:val="bottom"/>
            <w:tcBorders>
              <w:top w:val="single" w:sz="8" w:color="AF0000"/>
            </w:tcBorders>
            <w:shd w:val="clear" w:color="auto" w:fill="F2F2F2"/>
          </w:tcPr>
          <w:p>
            <w:pPr>
              <w:jc w:val="center"/>
              <w:spacing w:after="0"/>
              <w:rPr>
                <w:sz w:val="20"/>
                <w:szCs w:val="20"/>
                <w:color w:val="auto"/>
              </w:rPr>
            </w:pPr>
            <w:r>
              <w:rPr>
                <w:rFonts w:ascii="Calibri" w:cs="Calibri" w:eastAsia="Calibri" w:hAnsi="Calibri"/>
                <w:sz w:val="13"/>
                <w:szCs w:val="13"/>
                <w:b w:val="1"/>
                <w:bCs w:val="1"/>
                <w:color w:val="auto"/>
              </w:rPr>
              <w:t>A. Scot</w:t>
            </w:r>
          </w:p>
        </w:tc>
        <w:tc>
          <w:tcPr>
            <w:tcW w:w="660" w:type="dxa"/>
            <w:vAlign w:val="bottom"/>
            <w:tcBorders>
              <w:top w:val="single" w:sz="8" w:color="AF0000"/>
            </w:tcBorders>
          </w:tcPr>
          <w:p>
            <w:pPr>
              <w:jc w:val="center"/>
              <w:spacing w:after="0"/>
              <w:rPr>
                <w:sz w:val="20"/>
                <w:szCs w:val="20"/>
                <w:color w:val="auto"/>
              </w:rPr>
            </w:pPr>
            <w:r>
              <w:rPr>
                <w:rFonts w:ascii="Calibri" w:cs="Calibri" w:eastAsia="Calibri" w:hAnsi="Calibri"/>
                <w:sz w:val="13"/>
                <w:szCs w:val="13"/>
                <w:b w:val="1"/>
                <w:bCs w:val="1"/>
                <w:color w:val="auto"/>
                <w:w w:val="96"/>
              </w:rPr>
              <w:t>Lonny J.</w:t>
            </w:r>
          </w:p>
        </w:tc>
        <w:tc>
          <w:tcPr>
            <w:tcW w:w="660" w:type="dxa"/>
            <w:vAlign w:val="bottom"/>
            <w:tcBorders>
              <w:top w:val="single" w:sz="8" w:color="AF0000"/>
            </w:tcBorders>
            <w:shd w:val="clear" w:color="auto" w:fill="F2F2F2"/>
          </w:tcPr>
          <w:p>
            <w:pPr>
              <w:jc w:val="center"/>
              <w:spacing w:after="0"/>
              <w:rPr>
                <w:sz w:val="20"/>
                <w:szCs w:val="20"/>
                <w:color w:val="auto"/>
              </w:rPr>
            </w:pPr>
            <w:r>
              <w:rPr>
                <w:rFonts w:ascii="Calibri" w:cs="Calibri" w:eastAsia="Calibri" w:hAnsi="Calibri"/>
                <w:sz w:val="13"/>
                <w:szCs w:val="13"/>
                <w:b w:val="1"/>
                <w:bCs w:val="1"/>
                <w:color w:val="auto"/>
                <w:w w:val="96"/>
              </w:rPr>
              <w:t>Stephen C.</w:t>
            </w:r>
          </w:p>
        </w:tc>
        <w:tc>
          <w:tcPr>
            <w:tcW w:w="660" w:type="dxa"/>
            <w:vAlign w:val="bottom"/>
            <w:tcBorders>
              <w:top w:val="single" w:sz="8" w:color="AF0000"/>
            </w:tcBorders>
          </w:tcPr>
          <w:p>
            <w:pPr>
              <w:jc w:val="center"/>
              <w:spacing w:after="0"/>
              <w:rPr>
                <w:sz w:val="20"/>
                <w:szCs w:val="20"/>
                <w:color w:val="auto"/>
              </w:rPr>
            </w:pPr>
            <w:r>
              <w:rPr>
                <w:rFonts w:ascii="Calibri" w:cs="Calibri" w:eastAsia="Calibri" w:hAnsi="Calibri"/>
                <w:sz w:val="13"/>
                <w:szCs w:val="13"/>
                <w:b w:val="1"/>
                <w:bCs w:val="1"/>
                <w:color w:val="auto"/>
                <w:w w:val="98"/>
              </w:rPr>
              <w:t>David K.</w:t>
            </w:r>
          </w:p>
        </w:tc>
        <w:tc>
          <w:tcPr>
            <w:tcW w:w="680" w:type="dxa"/>
            <w:vAlign w:val="bottom"/>
            <w:tcBorders>
              <w:top w:val="single" w:sz="8" w:color="AF0000"/>
            </w:tcBorders>
            <w:shd w:val="clear" w:color="auto" w:fill="F2F2F2"/>
          </w:tcPr>
          <w:p>
            <w:pPr>
              <w:jc w:val="center"/>
              <w:spacing w:after="0"/>
              <w:rPr>
                <w:sz w:val="20"/>
                <w:szCs w:val="20"/>
                <w:color w:val="auto"/>
              </w:rPr>
            </w:pPr>
            <w:r>
              <w:rPr>
                <w:rFonts w:ascii="Calibri" w:cs="Calibri" w:eastAsia="Calibri" w:hAnsi="Calibri"/>
                <w:sz w:val="13"/>
                <w:szCs w:val="13"/>
                <w:b w:val="1"/>
                <w:bCs w:val="1"/>
                <w:color w:val="auto"/>
                <w:w w:val="97"/>
              </w:rPr>
              <w:t>Thomas J.</w:t>
            </w:r>
          </w:p>
        </w:tc>
        <w:tc>
          <w:tcPr>
            <w:tcW w:w="660" w:type="dxa"/>
            <w:vAlign w:val="bottom"/>
            <w:tcBorders>
              <w:top w:val="single" w:sz="8" w:color="AF0000"/>
            </w:tcBorders>
          </w:tcPr>
          <w:p>
            <w:pPr>
              <w:jc w:val="center"/>
              <w:spacing w:after="0"/>
              <w:rPr>
                <w:sz w:val="20"/>
                <w:szCs w:val="20"/>
                <w:color w:val="auto"/>
              </w:rPr>
            </w:pPr>
            <w:r>
              <w:rPr>
                <w:rFonts w:ascii="Calibri" w:cs="Calibri" w:eastAsia="Calibri" w:hAnsi="Calibri"/>
                <w:sz w:val="13"/>
                <w:szCs w:val="13"/>
                <w:b w:val="1"/>
                <w:bCs w:val="1"/>
                <w:color w:val="auto"/>
                <w:w w:val="94"/>
              </w:rPr>
              <w:t>Laura S.</w:t>
            </w:r>
          </w:p>
        </w:tc>
        <w:tc>
          <w:tcPr>
            <w:tcW w:w="800" w:type="dxa"/>
            <w:vAlign w:val="bottom"/>
            <w:tcBorders>
              <w:top w:val="single" w:sz="8" w:color="AF0000"/>
            </w:tcBorders>
            <w:shd w:val="clear" w:color="auto" w:fill="F2F2F2"/>
          </w:tcPr>
          <w:p>
            <w:pPr>
              <w:jc w:val="center"/>
              <w:spacing w:after="0"/>
              <w:rPr>
                <w:sz w:val="20"/>
                <w:szCs w:val="20"/>
                <w:color w:val="auto"/>
              </w:rPr>
            </w:pPr>
            <w:r>
              <w:rPr>
                <w:rFonts w:ascii="Calibri" w:cs="Calibri" w:eastAsia="Calibri" w:hAnsi="Calibri"/>
                <w:sz w:val="13"/>
                <w:szCs w:val="13"/>
                <w:b w:val="1"/>
                <w:bCs w:val="1"/>
                <w:color w:val="auto"/>
                <w:w w:val="96"/>
              </w:rPr>
              <w:t>Fred P.</w:t>
            </w:r>
          </w:p>
        </w:tc>
        <w:tc>
          <w:tcPr>
            <w:tcW w:w="660" w:type="dxa"/>
            <w:vAlign w:val="bottom"/>
            <w:tcBorders>
              <w:top w:val="single" w:sz="8" w:color="AF0000"/>
            </w:tcBorders>
          </w:tcPr>
          <w:p>
            <w:pPr>
              <w:ind w:left="60"/>
              <w:spacing w:after="0"/>
              <w:rPr>
                <w:sz w:val="20"/>
                <w:szCs w:val="20"/>
                <w:color w:val="auto"/>
              </w:rPr>
            </w:pPr>
            <w:r>
              <w:rPr>
                <w:rFonts w:ascii="Calibri" w:cs="Calibri" w:eastAsia="Calibri" w:hAnsi="Calibri"/>
                <w:sz w:val="13"/>
                <w:szCs w:val="13"/>
                <w:b w:val="1"/>
                <w:bCs w:val="1"/>
                <w:color w:val="auto"/>
              </w:rPr>
              <w:t>Michael R.</w:t>
            </w:r>
          </w:p>
        </w:tc>
        <w:tc>
          <w:tcPr>
            <w:tcW w:w="800" w:type="dxa"/>
            <w:vAlign w:val="bottom"/>
            <w:tcBorders>
              <w:top w:val="single" w:sz="8" w:color="AF0000"/>
            </w:tcBorders>
            <w:shd w:val="clear" w:color="auto" w:fill="F2F2F2"/>
          </w:tcPr>
          <w:p>
            <w:pPr>
              <w:jc w:val="center"/>
              <w:spacing w:after="0"/>
              <w:rPr>
                <w:sz w:val="20"/>
                <w:szCs w:val="20"/>
                <w:color w:val="auto"/>
              </w:rPr>
            </w:pPr>
            <w:r>
              <w:rPr>
                <w:rFonts w:ascii="Calibri" w:cs="Calibri" w:eastAsia="Calibri" w:hAnsi="Calibri"/>
                <w:sz w:val="13"/>
                <w:szCs w:val="13"/>
                <w:b w:val="1"/>
                <w:bCs w:val="1"/>
                <w:color w:val="auto"/>
                <w:w w:val="93"/>
              </w:rPr>
              <w:t>F. Ann</w:t>
            </w:r>
          </w:p>
        </w:tc>
        <w:tc>
          <w:tcPr>
            <w:tcW w:w="660" w:type="dxa"/>
            <w:vAlign w:val="bottom"/>
            <w:tcBorders>
              <w:top w:val="single" w:sz="8" w:color="AF0000"/>
            </w:tcBorders>
          </w:tcPr>
          <w:p>
            <w:pPr>
              <w:jc w:val="center"/>
              <w:spacing w:after="0"/>
              <w:rPr>
                <w:sz w:val="20"/>
                <w:szCs w:val="20"/>
                <w:color w:val="auto"/>
              </w:rPr>
            </w:pPr>
            <w:r>
              <w:rPr>
                <w:rFonts w:ascii="Calibri" w:cs="Calibri" w:eastAsia="Calibri" w:hAnsi="Calibri"/>
                <w:sz w:val="13"/>
                <w:szCs w:val="13"/>
                <w:b w:val="1"/>
                <w:bCs w:val="1"/>
                <w:color w:val="auto"/>
                <w:w w:val="97"/>
              </w:rPr>
              <w:t>Lynne N.</w:t>
            </w:r>
          </w:p>
        </w:tc>
        <w:tc>
          <w:tcPr>
            <w:tcW w:w="680" w:type="dxa"/>
            <w:vAlign w:val="bottom"/>
            <w:tcBorders>
              <w:top w:val="single" w:sz="8" w:color="AF0000"/>
            </w:tcBorders>
            <w:shd w:val="clear" w:color="auto" w:fill="F2F2F2"/>
          </w:tcPr>
          <w:p>
            <w:pPr>
              <w:jc w:val="center"/>
              <w:spacing w:after="0"/>
              <w:rPr>
                <w:sz w:val="20"/>
                <w:szCs w:val="20"/>
                <w:color w:val="auto"/>
              </w:rPr>
            </w:pPr>
            <w:r>
              <w:rPr>
                <w:rFonts w:ascii="Calibri" w:cs="Calibri" w:eastAsia="Calibri" w:hAnsi="Calibri"/>
                <w:sz w:val="13"/>
                <w:szCs w:val="13"/>
                <w:b w:val="1"/>
                <w:bCs w:val="1"/>
                <w:color w:val="auto"/>
                <w:w w:val="95"/>
              </w:rPr>
              <w:t>Silvia M.</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660" w:type="dxa"/>
            <w:vAlign w:val="bottom"/>
            <w:shd w:val="clear" w:color="auto" w:fill="F2F2F2"/>
          </w:tcPr>
          <w:p>
            <w:pPr>
              <w:jc w:val="center"/>
              <w:spacing w:after="0" w:line="149" w:lineRule="exact"/>
              <w:rPr>
                <w:sz w:val="20"/>
                <w:szCs w:val="20"/>
                <w:color w:val="auto"/>
              </w:rPr>
            </w:pPr>
            <w:r>
              <w:rPr>
                <w:rFonts w:ascii="Calibri" w:cs="Calibri" w:eastAsia="Calibri" w:hAnsi="Calibri"/>
                <w:sz w:val="13"/>
                <w:szCs w:val="13"/>
                <w:b w:val="1"/>
                <w:bCs w:val="1"/>
                <w:color w:val="auto"/>
                <w:w w:val="95"/>
              </w:rPr>
              <w:t>Anderson</w:t>
            </w: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Carpenter</w:t>
            </w:r>
          </w:p>
        </w:tc>
        <w:tc>
          <w:tcPr>
            <w:tcW w:w="660" w:type="dxa"/>
            <w:vAlign w:val="bottom"/>
            <w:shd w:val="clear" w:color="auto" w:fill="F2F2F2"/>
          </w:tcPr>
          <w:p>
            <w:pPr>
              <w:jc w:val="center"/>
              <w:spacing w:after="0" w:line="149" w:lineRule="exact"/>
              <w:rPr>
                <w:sz w:val="20"/>
                <w:szCs w:val="20"/>
                <w:color w:val="auto"/>
              </w:rPr>
            </w:pPr>
            <w:r>
              <w:rPr>
                <w:rFonts w:ascii="Calibri" w:cs="Calibri" w:eastAsia="Calibri" w:hAnsi="Calibri"/>
                <w:sz w:val="13"/>
                <w:szCs w:val="13"/>
                <w:b w:val="1"/>
                <w:bCs w:val="1"/>
                <w:color w:val="auto"/>
                <w:w w:val="96"/>
              </w:rPr>
              <w:t>Evans</w:t>
            </w: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Floyd</w:t>
            </w:r>
          </w:p>
        </w:tc>
        <w:tc>
          <w:tcPr>
            <w:tcW w:w="680" w:type="dxa"/>
            <w:vAlign w:val="bottom"/>
            <w:shd w:val="clear" w:color="auto" w:fill="F2F2F2"/>
          </w:tcPr>
          <w:p>
            <w:pPr>
              <w:jc w:val="center"/>
              <w:spacing w:after="0" w:line="149" w:lineRule="exact"/>
              <w:rPr>
                <w:sz w:val="20"/>
                <w:szCs w:val="20"/>
                <w:color w:val="auto"/>
              </w:rPr>
            </w:pPr>
            <w:r>
              <w:rPr>
                <w:rFonts w:ascii="Calibri" w:cs="Calibri" w:eastAsia="Calibri" w:hAnsi="Calibri"/>
                <w:sz w:val="13"/>
                <w:szCs w:val="13"/>
                <w:b w:val="1"/>
                <w:bCs w:val="1"/>
                <w:color w:val="auto"/>
                <w:w w:val="93"/>
              </w:rPr>
              <w:t>Gunderson</w:t>
            </w: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Kaiser</w:t>
            </w:r>
          </w:p>
        </w:tc>
        <w:tc>
          <w:tcPr>
            <w:tcW w:w="800" w:type="dxa"/>
            <w:vAlign w:val="bottom"/>
            <w:shd w:val="clear" w:color="auto" w:fill="F2F2F2"/>
          </w:tcPr>
          <w:p>
            <w:pPr>
              <w:jc w:val="center"/>
              <w:spacing w:after="0" w:line="149" w:lineRule="exact"/>
              <w:rPr>
                <w:sz w:val="20"/>
                <w:szCs w:val="20"/>
                <w:color w:val="auto"/>
              </w:rPr>
            </w:pPr>
            <w:r>
              <w:rPr>
                <w:rFonts w:ascii="Calibri" w:cs="Calibri" w:eastAsia="Calibri" w:hAnsi="Calibri"/>
                <w:sz w:val="13"/>
                <w:szCs w:val="13"/>
                <w:b w:val="1"/>
                <w:bCs w:val="1"/>
                <w:color w:val="auto"/>
                <w:w w:val="98"/>
              </w:rPr>
              <w:t>Lampropoulos</w:t>
            </w:r>
          </w:p>
        </w:tc>
        <w:tc>
          <w:tcPr>
            <w:tcW w:w="660" w:type="dxa"/>
            <w:vAlign w:val="bottom"/>
          </w:tcPr>
          <w:p>
            <w:pPr>
              <w:ind w:left="40"/>
              <w:spacing w:after="0" w:line="149" w:lineRule="exact"/>
              <w:rPr>
                <w:sz w:val="20"/>
                <w:szCs w:val="20"/>
                <w:color w:val="auto"/>
              </w:rPr>
            </w:pPr>
            <w:r>
              <w:rPr>
                <w:rFonts w:ascii="Calibri" w:cs="Calibri" w:eastAsia="Calibri" w:hAnsi="Calibri"/>
                <w:sz w:val="13"/>
                <w:szCs w:val="13"/>
                <w:b w:val="1"/>
                <w:bCs w:val="1"/>
                <w:color w:val="auto"/>
              </w:rPr>
              <w:t>McDonnell</w:t>
            </w:r>
          </w:p>
        </w:tc>
        <w:tc>
          <w:tcPr>
            <w:tcW w:w="800" w:type="dxa"/>
            <w:vAlign w:val="bottom"/>
            <w:shd w:val="clear" w:color="auto" w:fill="F2F2F2"/>
          </w:tcPr>
          <w:p>
            <w:pPr>
              <w:jc w:val="center"/>
              <w:spacing w:after="0" w:line="149" w:lineRule="exact"/>
              <w:rPr>
                <w:sz w:val="20"/>
                <w:szCs w:val="20"/>
                <w:color w:val="auto"/>
              </w:rPr>
            </w:pPr>
            <w:r>
              <w:rPr>
                <w:rFonts w:ascii="Calibri" w:cs="Calibri" w:eastAsia="Calibri" w:hAnsi="Calibri"/>
                <w:sz w:val="13"/>
                <w:szCs w:val="13"/>
                <w:b w:val="1"/>
                <w:bCs w:val="1"/>
                <w:color w:val="auto"/>
                <w:w w:val="95"/>
              </w:rPr>
              <w:t>Millner, ED.D.</w:t>
            </w: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3"/>
              </w:rPr>
              <w:t>Ward</w:t>
            </w:r>
          </w:p>
        </w:tc>
        <w:tc>
          <w:tcPr>
            <w:tcW w:w="680" w:type="dxa"/>
            <w:vAlign w:val="bottom"/>
            <w:shd w:val="clear" w:color="auto" w:fill="F2F2F2"/>
          </w:tcPr>
          <w:p>
            <w:pPr>
              <w:jc w:val="center"/>
              <w:spacing w:after="0" w:line="149" w:lineRule="exact"/>
              <w:rPr>
                <w:sz w:val="20"/>
                <w:szCs w:val="20"/>
                <w:color w:val="auto"/>
              </w:rPr>
            </w:pPr>
            <w:r>
              <w:rPr>
                <w:rFonts w:ascii="Calibri" w:cs="Calibri" w:eastAsia="Calibri" w:hAnsi="Calibri"/>
                <w:sz w:val="13"/>
                <w:szCs w:val="13"/>
                <w:b w:val="1"/>
                <w:bCs w:val="1"/>
                <w:color w:val="auto"/>
                <w:w w:val="93"/>
              </w:rPr>
              <w:t>Perez</w:t>
            </w:r>
          </w:p>
        </w:tc>
        <w:tc>
          <w:tcPr>
            <w:tcW w:w="0" w:type="dxa"/>
            <w:vAlign w:val="bottom"/>
          </w:tcPr>
          <w:p>
            <w:pPr>
              <w:spacing w:after="0"/>
              <w:rPr>
                <w:sz w:val="1"/>
                <w:szCs w:val="1"/>
                <w:color w:val="auto"/>
              </w:rPr>
            </w:pPr>
          </w:p>
        </w:tc>
      </w:tr>
      <w:tr>
        <w:trPr>
          <w:trHeight w:val="72"/>
        </w:trPr>
        <w:tc>
          <w:tcPr>
            <w:tcW w:w="1000" w:type="dxa"/>
            <w:vAlign w:val="bottom"/>
            <w:tcBorders>
              <w:bottom w:val="single" w:sz="8" w:color="AF0000"/>
            </w:tcBorders>
          </w:tcPr>
          <w:p>
            <w:pPr>
              <w:spacing w:after="0"/>
              <w:rPr>
                <w:sz w:val="6"/>
                <w:szCs w:val="6"/>
                <w:color w:val="auto"/>
              </w:rPr>
            </w:pPr>
          </w:p>
        </w:tc>
        <w:tc>
          <w:tcPr>
            <w:tcW w:w="660" w:type="dxa"/>
            <w:vAlign w:val="bottom"/>
            <w:tcBorders>
              <w:bottom w:val="single" w:sz="8" w:color="AF0000"/>
            </w:tcBorders>
            <w:shd w:val="clear" w:color="auto" w:fill="F2F2F2"/>
          </w:tcPr>
          <w:p>
            <w:pPr>
              <w:spacing w:after="0"/>
              <w:rPr>
                <w:sz w:val="6"/>
                <w:szCs w:val="6"/>
                <w:color w:val="auto"/>
              </w:rPr>
            </w:pPr>
          </w:p>
        </w:tc>
        <w:tc>
          <w:tcPr>
            <w:tcW w:w="660" w:type="dxa"/>
            <w:vAlign w:val="bottom"/>
            <w:tcBorders>
              <w:bottom w:val="single" w:sz="8" w:color="AF0000"/>
            </w:tcBorders>
          </w:tcPr>
          <w:p>
            <w:pPr>
              <w:spacing w:after="0"/>
              <w:rPr>
                <w:sz w:val="6"/>
                <w:szCs w:val="6"/>
                <w:color w:val="auto"/>
              </w:rPr>
            </w:pPr>
          </w:p>
        </w:tc>
        <w:tc>
          <w:tcPr>
            <w:tcW w:w="660" w:type="dxa"/>
            <w:vAlign w:val="bottom"/>
            <w:tcBorders>
              <w:bottom w:val="single" w:sz="8" w:color="AF0000"/>
            </w:tcBorders>
            <w:shd w:val="clear" w:color="auto" w:fill="F2F2F2"/>
          </w:tcPr>
          <w:p>
            <w:pPr>
              <w:spacing w:after="0"/>
              <w:rPr>
                <w:sz w:val="6"/>
                <w:szCs w:val="6"/>
                <w:color w:val="auto"/>
              </w:rPr>
            </w:pPr>
          </w:p>
        </w:tc>
        <w:tc>
          <w:tcPr>
            <w:tcW w:w="660" w:type="dxa"/>
            <w:vAlign w:val="bottom"/>
            <w:tcBorders>
              <w:bottom w:val="single" w:sz="8" w:color="AF0000"/>
            </w:tcBorders>
          </w:tcPr>
          <w:p>
            <w:pPr>
              <w:spacing w:after="0"/>
              <w:rPr>
                <w:sz w:val="6"/>
                <w:szCs w:val="6"/>
                <w:color w:val="auto"/>
              </w:rPr>
            </w:pPr>
          </w:p>
        </w:tc>
        <w:tc>
          <w:tcPr>
            <w:tcW w:w="680" w:type="dxa"/>
            <w:vAlign w:val="bottom"/>
            <w:tcBorders>
              <w:bottom w:val="single" w:sz="8" w:color="AF0000"/>
            </w:tcBorders>
            <w:shd w:val="clear" w:color="auto" w:fill="F2F2F2"/>
          </w:tcPr>
          <w:p>
            <w:pPr>
              <w:spacing w:after="0"/>
              <w:rPr>
                <w:sz w:val="6"/>
                <w:szCs w:val="6"/>
                <w:color w:val="auto"/>
              </w:rPr>
            </w:pPr>
          </w:p>
        </w:tc>
        <w:tc>
          <w:tcPr>
            <w:tcW w:w="660" w:type="dxa"/>
            <w:vAlign w:val="bottom"/>
            <w:tcBorders>
              <w:bottom w:val="single" w:sz="8" w:color="AF0000"/>
            </w:tcBorders>
          </w:tcPr>
          <w:p>
            <w:pPr>
              <w:spacing w:after="0"/>
              <w:rPr>
                <w:sz w:val="6"/>
                <w:szCs w:val="6"/>
                <w:color w:val="auto"/>
              </w:rPr>
            </w:pPr>
          </w:p>
        </w:tc>
        <w:tc>
          <w:tcPr>
            <w:tcW w:w="800" w:type="dxa"/>
            <w:vAlign w:val="bottom"/>
            <w:tcBorders>
              <w:bottom w:val="single" w:sz="8" w:color="AF0000"/>
            </w:tcBorders>
            <w:shd w:val="clear" w:color="auto" w:fill="F2F2F2"/>
          </w:tcPr>
          <w:p>
            <w:pPr>
              <w:spacing w:after="0"/>
              <w:rPr>
                <w:sz w:val="6"/>
                <w:szCs w:val="6"/>
                <w:color w:val="auto"/>
              </w:rPr>
            </w:pPr>
          </w:p>
        </w:tc>
        <w:tc>
          <w:tcPr>
            <w:tcW w:w="660" w:type="dxa"/>
            <w:vAlign w:val="bottom"/>
            <w:tcBorders>
              <w:bottom w:val="single" w:sz="8" w:color="AF0000"/>
            </w:tcBorders>
          </w:tcPr>
          <w:p>
            <w:pPr>
              <w:spacing w:after="0"/>
              <w:rPr>
                <w:sz w:val="6"/>
                <w:szCs w:val="6"/>
                <w:color w:val="auto"/>
              </w:rPr>
            </w:pPr>
          </w:p>
        </w:tc>
        <w:tc>
          <w:tcPr>
            <w:tcW w:w="800" w:type="dxa"/>
            <w:vAlign w:val="bottom"/>
            <w:tcBorders>
              <w:bottom w:val="single" w:sz="8" w:color="AF0000"/>
            </w:tcBorders>
            <w:shd w:val="clear" w:color="auto" w:fill="F2F2F2"/>
          </w:tcPr>
          <w:p>
            <w:pPr>
              <w:spacing w:after="0"/>
              <w:rPr>
                <w:sz w:val="6"/>
                <w:szCs w:val="6"/>
                <w:color w:val="auto"/>
              </w:rPr>
            </w:pPr>
          </w:p>
        </w:tc>
        <w:tc>
          <w:tcPr>
            <w:tcW w:w="660" w:type="dxa"/>
            <w:vAlign w:val="bottom"/>
            <w:tcBorders>
              <w:bottom w:val="single" w:sz="8" w:color="AF0000"/>
            </w:tcBorders>
          </w:tcPr>
          <w:p>
            <w:pPr>
              <w:spacing w:after="0"/>
              <w:rPr>
                <w:sz w:val="6"/>
                <w:szCs w:val="6"/>
                <w:color w:val="auto"/>
              </w:rPr>
            </w:pPr>
          </w:p>
        </w:tc>
        <w:tc>
          <w:tcPr>
            <w:tcW w:w="680" w:type="dxa"/>
            <w:vAlign w:val="bottom"/>
            <w:tcBorders>
              <w:bottom w:val="single" w:sz="8" w:color="AF0000"/>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Calibri" w:cs="Calibri" w:eastAsia="Calibri" w:hAnsi="Calibri"/>
                <w:sz w:val="14"/>
                <w:szCs w:val="14"/>
                <w:b w:val="1"/>
                <w:bCs w:val="1"/>
                <w:color w:val="auto"/>
              </w:rPr>
              <w:t>Board Tenure</w:t>
            </w:r>
          </w:p>
        </w:tc>
        <w:tc>
          <w:tcPr>
            <w:tcW w:w="660" w:type="dxa"/>
            <w:vAlign w:val="bottom"/>
            <w:shd w:val="clear" w:color="auto" w:fill="F2F2F2"/>
          </w:tcPr>
          <w:p>
            <w:pPr>
              <w:jc w:val="center"/>
              <w:spacing w:after="0"/>
              <w:rPr>
                <w:sz w:val="20"/>
                <w:szCs w:val="20"/>
                <w:color w:val="auto"/>
              </w:rPr>
            </w:pPr>
            <w:r>
              <w:rPr>
                <w:rFonts w:ascii="Calibri" w:cs="Calibri" w:eastAsia="Calibri" w:hAnsi="Calibri"/>
                <w:sz w:val="13"/>
                <w:szCs w:val="13"/>
                <w:color w:val="auto"/>
                <w:w w:val="90"/>
              </w:rPr>
              <w:t>13</w:t>
            </w:r>
          </w:p>
        </w:tc>
        <w:tc>
          <w:tcPr>
            <w:tcW w:w="660" w:type="dxa"/>
            <w:vAlign w:val="bottom"/>
          </w:tcPr>
          <w:p>
            <w:pPr>
              <w:jc w:val="center"/>
              <w:spacing w:after="0"/>
              <w:rPr>
                <w:sz w:val="20"/>
                <w:szCs w:val="20"/>
                <w:color w:val="auto"/>
              </w:rPr>
            </w:pPr>
            <w:r>
              <w:rPr>
                <w:rFonts w:ascii="Calibri" w:cs="Calibri" w:eastAsia="Calibri" w:hAnsi="Calibri"/>
                <w:sz w:val="13"/>
                <w:szCs w:val="13"/>
                <w:color w:val="auto"/>
                <w:w w:val="90"/>
              </w:rPr>
              <w:t>4</w:t>
            </w:r>
          </w:p>
        </w:tc>
        <w:tc>
          <w:tcPr>
            <w:tcW w:w="660" w:type="dxa"/>
            <w:vAlign w:val="bottom"/>
            <w:shd w:val="clear" w:color="auto" w:fill="F2F2F2"/>
          </w:tcPr>
          <w:p>
            <w:pPr>
              <w:jc w:val="center"/>
              <w:spacing w:after="0"/>
              <w:rPr>
                <w:sz w:val="20"/>
                <w:szCs w:val="20"/>
                <w:color w:val="auto"/>
              </w:rPr>
            </w:pPr>
            <w:r>
              <w:rPr>
                <w:rFonts w:ascii="Calibri" w:cs="Calibri" w:eastAsia="Calibri" w:hAnsi="Calibri"/>
                <w:sz w:val="13"/>
                <w:szCs w:val="13"/>
                <w:color w:val="auto"/>
                <w:w w:val="90"/>
              </w:rPr>
              <w:t>3</w:t>
            </w:r>
          </w:p>
        </w:tc>
        <w:tc>
          <w:tcPr>
            <w:tcW w:w="660" w:type="dxa"/>
            <w:vAlign w:val="bottom"/>
          </w:tcPr>
          <w:p>
            <w:pPr>
              <w:jc w:val="center"/>
              <w:spacing w:after="0"/>
              <w:rPr>
                <w:sz w:val="20"/>
                <w:szCs w:val="20"/>
                <w:color w:val="auto"/>
              </w:rPr>
            </w:pPr>
            <w:r>
              <w:rPr>
                <w:rFonts w:ascii="Calibri" w:cs="Calibri" w:eastAsia="Calibri" w:hAnsi="Calibri"/>
                <w:sz w:val="13"/>
                <w:szCs w:val="13"/>
                <w:color w:val="auto"/>
              </w:rPr>
              <w:t>4</w:t>
            </w:r>
          </w:p>
        </w:tc>
        <w:tc>
          <w:tcPr>
            <w:tcW w:w="680" w:type="dxa"/>
            <w:vAlign w:val="bottom"/>
            <w:shd w:val="clear" w:color="auto" w:fill="F2F2F2"/>
          </w:tcPr>
          <w:p>
            <w:pPr>
              <w:jc w:val="center"/>
              <w:spacing w:after="0"/>
              <w:rPr>
                <w:sz w:val="20"/>
                <w:szCs w:val="20"/>
                <w:color w:val="auto"/>
              </w:rPr>
            </w:pPr>
            <w:r>
              <w:rPr>
                <w:rFonts w:ascii="Calibri" w:cs="Calibri" w:eastAsia="Calibri" w:hAnsi="Calibri"/>
                <w:sz w:val="13"/>
                <w:szCs w:val="13"/>
                <w:color w:val="auto"/>
              </w:rPr>
              <w:t>7</w:t>
            </w:r>
          </w:p>
        </w:tc>
        <w:tc>
          <w:tcPr>
            <w:tcW w:w="660" w:type="dxa"/>
            <w:vAlign w:val="bottom"/>
          </w:tcPr>
          <w:p>
            <w:pPr>
              <w:jc w:val="center"/>
              <w:spacing w:after="0"/>
              <w:rPr>
                <w:sz w:val="20"/>
                <w:szCs w:val="20"/>
                <w:color w:val="auto"/>
              </w:rPr>
            </w:pPr>
            <w:r>
              <w:rPr>
                <w:rFonts w:ascii="Calibri" w:cs="Calibri" w:eastAsia="Calibri" w:hAnsi="Calibri"/>
                <w:sz w:val="13"/>
                <w:szCs w:val="13"/>
                <w:color w:val="auto"/>
              </w:rPr>
              <w:t>2</w:t>
            </w:r>
          </w:p>
        </w:tc>
        <w:tc>
          <w:tcPr>
            <w:tcW w:w="800" w:type="dxa"/>
            <w:vAlign w:val="bottom"/>
            <w:shd w:val="clear" w:color="auto" w:fill="F2F2F2"/>
          </w:tcPr>
          <w:p>
            <w:pPr>
              <w:jc w:val="center"/>
              <w:spacing w:after="0"/>
              <w:rPr>
                <w:sz w:val="20"/>
                <w:szCs w:val="20"/>
                <w:color w:val="auto"/>
              </w:rPr>
            </w:pPr>
            <w:r>
              <w:rPr>
                <w:rFonts w:ascii="Calibri" w:cs="Calibri" w:eastAsia="Calibri" w:hAnsi="Calibri"/>
                <w:sz w:val="13"/>
                <w:szCs w:val="13"/>
                <w:color w:val="auto"/>
                <w:w w:val="90"/>
              </w:rPr>
              <w:t>37</w:t>
            </w:r>
          </w:p>
        </w:tc>
        <w:tc>
          <w:tcPr>
            <w:tcW w:w="660" w:type="dxa"/>
            <w:vAlign w:val="bottom"/>
          </w:tcPr>
          <w:p>
            <w:pPr>
              <w:jc w:val="center"/>
              <w:spacing w:after="0"/>
              <w:rPr>
                <w:sz w:val="20"/>
                <w:szCs w:val="20"/>
                <w:color w:val="auto"/>
              </w:rPr>
            </w:pPr>
            <w:r>
              <w:rPr>
                <w:rFonts w:ascii="Calibri" w:cs="Calibri" w:eastAsia="Calibri" w:hAnsi="Calibri"/>
                <w:sz w:val="13"/>
                <w:szCs w:val="13"/>
                <w:color w:val="auto"/>
                <w:w w:val="90"/>
              </w:rPr>
              <w:t>2</w:t>
            </w:r>
          </w:p>
        </w:tc>
        <w:tc>
          <w:tcPr>
            <w:tcW w:w="800" w:type="dxa"/>
            <w:vAlign w:val="bottom"/>
            <w:shd w:val="clear" w:color="auto" w:fill="F2F2F2"/>
          </w:tcPr>
          <w:p>
            <w:pPr>
              <w:jc w:val="center"/>
              <w:spacing w:after="0"/>
              <w:rPr>
                <w:sz w:val="20"/>
                <w:szCs w:val="20"/>
                <w:color w:val="auto"/>
              </w:rPr>
            </w:pPr>
            <w:r>
              <w:rPr>
                <w:rFonts w:ascii="Calibri" w:cs="Calibri" w:eastAsia="Calibri" w:hAnsi="Calibri"/>
                <w:sz w:val="13"/>
                <w:szCs w:val="13"/>
                <w:color w:val="auto"/>
                <w:w w:val="90"/>
              </w:rPr>
              <w:t>9</w:t>
            </w:r>
          </w:p>
        </w:tc>
        <w:tc>
          <w:tcPr>
            <w:tcW w:w="660" w:type="dxa"/>
            <w:vAlign w:val="bottom"/>
          </w:tcPr>
          <w:p>
            <w:pPr>
              <w:jc w:val="center"/>
              <w:spacing w:after="0"/>
              <w:rPr>
                <w:sz w:val="20"/>
                <w:szCs w:val="20"/>
                <w:color w:val="auto"/>
              </w:rPr>
            </w:pPr>
            <w:r>
              <w:rPr>
                <w:rFonts w:ascii="Calibri" w:cs="Calibri" w:eastAsia="Calibri" w:hAnsi="Calibri"/>
                <w:sz w:val="13"/>
                <w:szCs w:val="13"/>
                <w:color w:val="auto"/>
                <w:w w:val="90"/>
              </w:rPr>
              <w:t>5</w:t>
            </w:r>
          </w:p>
        </w:tc>
        <w:tc>
          <w:tcPr>
            <w:tcW w:w="680" w:type="dxa"/>
            <w:vAlign w:val="bottom"/>
            <w:shd w:val="clear" w:color="auto" w:fill="F2F2F2"/>
          </w:tcPr>
          <w:p>
            <w:pPr>
              <w:jc w:val="center"/>
              <w:spacing w:after="0"/>
              <w:rPr>
                <w:sz w:val="20"/>
                <w:szCs w:val="20"/>
                <w:color w:val="auto"/>
              </w:rPr>
            </w:pPr>
            <w:r>
              <w:rPr>
                <w:rFonts w:ascii="Calibri" w:cs="Calibri" w:eastAsia="Calibri" w:hAnsi="Calibri"/>
                <w:sz w:val="13"/>
                <w:szCs w:val="13"/>
                <w:color w:val="auto"/>
                <w:w w:val="99"/>
              </w:rPr>
              <w:t>Nominee</w:t>
            </w:r>
          </w:p>
        </w:tc>
        <w:tc>
          <w:tcPr>
            <w:tcW w:w="0" w:type="dxa"/>
            <w:vAlign w:val="bottom"/>
          </w:tcPr>
          <w:p>
            <w:pPr>
              <w:spacing w:after="0"/>
              <w:rPr>
                <w:sz w:val="1"/>
                <w:szCs w:val="1"/>
                <w:color w:val="auto"/>
              </w:rPr>
            </w:pPr>
          </w:p>
        </w:tc>
      </w:tr>
      <w:tr>
        <w:trPr>
          <w:trHeight w:val="85"/>
        </w:trPr>
        <w:tc>
          <w:tcPr>
            <w:tcW w:w="1000" w:type="dxa"/>
            <w:vAlign w:val="bottom"/>
            <w:tcBorders>
              <w:bottom w:val="single" w:sz="8" w:color="AF0000"/>
            </w:tcBorders>
          </w:tcPr>
          <w:p>
            <w:pPr>
              <w:spacing w:after="0"/>
              <w:rPr>
                <w:sz w:val="7"/>
                <w:szCs w:val="7"/>
                <w:color w:val="auto"/>
              </w:rPr>
            </w:pPr>
          </w:p>
        </w:tc>
        <w:tc>
          <w:tcPr>
            <w:tcW w:w="660" w:type="dxa"/>
            <w:vAlign w:val="bottom"/>
            <w:tcBorders>
              <w:bottom w:val="single" w:sz="8" w:color="AF0000"/>
            </w:tcBorders>
            <w:shd w:val="clear" w:color="auto" w:fill="F2F2F2"/>
          </w:tcPr>
          <w:p>
            <w:pPr>
              <w:spacing w:after="0"/>
              <w:rPr>
                <w:sz w:val="7"/>
                <w:szCs w:val="7"/>
                <w:color w:val="auto"/>
              </w:rPr>
            </w:pPr>
          </w:p>
        </w:tc>
        <w:tc>
          <w:tcPr>
            <w:tcW w:w="660" w:type="dxa"/>
            <w:vAlign w:val="bottom"/>
            <w:tcBorders>
              <w:bottom w:val="single" w:sz="8" w:color="AF0000"/>
            </w:tcBorders>
          </w:tcPr>
          <w:p>
            <w:pPr>
              <w:spacing w:after="0"/>
              <w:rPr>
                <w:sz w:val="7"/>
                <w:szCs w:val="7"/>
                <w:color w:val="auto"/>
              </w:rPr>
            </w:pPr>
          </w:p>
        </w:tc>
        <w:tc>
          <w:tcPr>
            <w:tcW w:w="660" w:type="dxa"/>
            <w:vAlign w:val="bottom"/>
            <w:tcBorders>
              <w:bottom w:val="single" w:sz="8" w:color="AF0000"/>
            </w:tcBorders>
            <w:shd w:val="clear" w:color="auto" w:fill="F2F2F2"/>
          </w:tcPr>
          <w:p>
            <w:pPr>
              <w:spacing w:after="0"/>
              <w:rPr>
                <w:sz w:val="7"/>
                <w:szCs w:val="7"/>
                <w:color w:val="auto"/>
              </w:rPr>
            </w:pPr>
          </w:p>
        </w:tc>
        <w:tc>
          <w:tcPr>
            <w:tcW w:w="660" w:type="dxa"/>
            <w:vAlign w:val="bottom"/>
            <w:tcBorders>
              <w:bottom w:val="single" w:sz="8" w:color="AF0000"/>
            </w:tcBorders>
          </w:tcPr>
          <w:p>
            <w:pPr>
              <w:spacing w:after="0"/>
              <w:rPr>
                <w:sz w:val="7"/>
                <w:szCs w:val="7"/>
                <w:color w:val="auto"/>
              </w:rPr>
            </w:pPr>
          </w:p>
        </w:tc>
        <w:tc>
          <w:tcPr>
            <w:tcW w:w="680" w:type="dxa"/>
            <w:vAlign w:val="bottom"/>
            <w:tcBorders>
              <w:bottom w:val="single" w:sz="8" w:color="AF0000"/>
            </w:tcBorders>
            <w:shd w:val="clear" w:color="auto" w:fill="F2F2F2"/>
          </w:tcPr>
          <w:p>
            <w:pPr>
              <w:spacing w:after="0"/>
              <w:rPr>
                <w:sz w:val="7"/>
                <w:szCs w:val="7"/>
                <w:color w:val="auto"/>
              </w:rPr>
            </w:pPr>
          </w:p>
        </w:tc>
        <w:tc>
          <w:tcPr>
            <w:tcW w:w="660" w:type="dxa"/>
            <w:vAlign w:val="bottom"/>
            <w:tcBorders>
              <w:bottom w:val="single" w:sz="8" w:color="AF0000"/>
            </w:tcBorders>
          </w:tcPr>
          <w:p>
            <w:pPr>
              <w:spacing w:after="0"/>
              <w:rPr>
                <w:sz w:val="7"/>
                <w:szCs w:val="7"/>
                <w:color w:val="auto"/>
              </w:rPr>
            </w:pPr>
          </w:p>
        </w:tc>
        <w:tc>
          <w:tcPr>
            <w:tcW w:w="800" w:type="dxa"/>
            <w:vAlign w:val="bottom"/>
            <w:tcBorders>
              <w:bottom w:val="single" w:sz="8" w:color="AF0000"/>
            </w:tcBorders>
            <w:shd w:val="clear" w:color="auto" w:fill="F2F2F2"/>
          </w:tcPr>
          <w:p>
            <w:pPr>
              <w:spacing w:after="0"/>
              <w:rPr>
                <w:sz w:val="7"/>
                <w:szCs w:val="7"/>
                <w:color w:val="auto"/>
              </w:rPr>
            </w:pPr>
          </w:p>
        </w:tc>
        <w:tc>
          <w:tcPr>
            <w:tcW w:w="660" w:type="dxa"/>
            <w:vAlign w:val="bottom"/>
            <w:tcBorders>
              <w:bottom w:val="single" w:sz="8" w:color="AF0000"/>
            </w:tcBorders>
          </w:tcPr>
          <w:p>
            <w:pPr>
              <w:spacing w:after="0"/>
              <w:rPr>
                <w:sz w:val="7"/>
                <w:szCs w:val="7"/>
                <w:color w:val="auto"/>
              </w:rPr>
            </w:pPr>
          </w:p>
        </w:tc>
        <w:tc>
          <w:tcPr>
            <w:tcW w:w="800" w:type="dxa"/>
            <w:vAlign w:val="bottom"/>
            <w:tcBorders>
              <w:bottom w:val="single" w:sz="8" w:color="AF0000"/>
            </w:tcBorders>
            <w:shd w:val="clear" w:color="auto" w:fill="F2F2F2"/>
          </w:tcPr>
          <w:p>
            <w:pPr>
              <w:spacing w:after="0"/>
              <w:rPr>
                <w:sz w:val="7"/>
                <w:szCs w:val="7"/>
                <w:color w:val="auto"/>
              </w:rPr>
            </w:pPr>
          </w:p>
        </w:tc>
        <w:tc>
          <w:tcPr>
            <w:tcW w:w="660" w:type="dxa"/>
            <w:vAlign w:val="bottom"/>
            <w:tcBorders>
              <w:bottom w:val="single" w:sz="8" w:color="AF0000"/>
            </w:tcBorders>
          </w:tcPr>
          <w:p>
            <w:pPr>
              <w:spacing w:after="0"/>
              <w:rPr>
                <w:sz w:val="7"/>
                <w:szCs w:val="7"/>
                <w:color w:val="auto"/>
              </w:rPr>
            </w:pPr>
          </w:p>
        </w:tc>
        <w:tc>
          <w:tcPr>
            <w:tcW w:w="680" w:type="dxa"/>
            <w:vAlign w:val="bottom"/>
            <w:tcBorders>
              <w:bottom w:val="single" w:sz="8" w:color="AF0000"/>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Calibri" w:cs="Calibri" w:eastAsia="Calibri" w:hAnsi="Calibri"/>
                <w:sz w:val="14"/>
                <w:szCs w:val="14"/>
                <w:b w:val="1"/>
                <w:bCs w:val="1"/>
                <w:color w:val="auto"/>
              </w:rPr>
              <w:t>Age</w:t>
            </w:r>
          </w:p>
        </w:tc>
        <w:tc>
          <w:tcPr>
            <w:tcW w:w="660" w:type="dxa"/>
            <w:vAlign w:val="bottom"/>
            <w:shd w:val="clear" w:color="auto" w:fill="F2F2F2"/>
          </w:tcPr>
          <w:p>
            <w:pPr>
              <w:jc w:val="center"/>
              <w:spacing w:after="0"/>
              <w:rPr>
                <w:sz w:val="20"/>
                <w:szCs w:val="20"/>
                <w:color w:val="auto"/>
              </w:rPr>
            </w:pPr>
            <w:r>
              <w:rPr>
                <w:rFonts w:ascii="Calibri" w:cs="Calibri" w:eastAsia="Calibri" w:hAnsi="Calibri"/>
                <w:sz w:val="13"/>
                <w:szCs w:val="13"/>
                <w:color w:val="auto"/>
                <w:w w:val="90"/>
              </w:rPr>
              <w:t>77</w:t>
            </w:r>
          </w:p>
        </w:tc>
        <w:tc>
          <w:tcPr>
            <w:tcW w:w="660" w:type="dxa"/>
            <w:vAlign w:val="bottom"/>
          </w:tcPr>
          <w:p>
            <w:pPr>
              <w:jc w:val="center"/>
              <w:spacing w:after="0"/>
              <w:rPr>
                <w:sz w:val="20"/>
                <w:szCs w:val="20"/>
                <w:color w:val="auto"/>
              </w:rPr>
            </w:pPr>
            <w:r>
              <w:rPr>
                <w:rFonts w:ascii="Calibri" w:cs="Calibri" w:eastAsia="Calibri" w:hAnsi="Calibri"/>
                <w:sz w:val="13"/>
                <w:szCs w:val="13"/>
                <w:color w:val="auto"/>
                <w:w w:val="90"/>
              </w:rPr>
              <w:t>62</w:t>
            </w:r>
          </w:p>
        </w:tc>
        <w:tc>
          <w:tcPr>
            <w:tcW w:w="660" w:type="dxa"/>
            <w:vAlign w:val="bottom"/>
            <w:shd w:val="clear" w:color="auto" w:fill="F2F2F2"/>
          </w:tcPr>
          <w:p>
            <w:pPr>
              <w:jc w:val="center"/>
              <w:spacing w:after="0"/>
              <w:rPr>
                <w:sz w:val="20"/>
                <w:szCs w:val="20"/>
                <w:color w:val="auto"/>
              </w:rPr>
            </w:pPr>
            <w:r>
              <w:rPr>
                <w:rFonts w:ascii="Calibri" w:cs="Calibri" w:eastAsia="Calibri" w:hAnsi="Calibri"/>
                <w:sz w:val="13"/>
                <w:szCs w:val="13"/>
                <w:color w:val="auto"/>
                <w:w w:val="90"/>
              </w:rPr>
              <w:t>59</w:t>
            </w:r>
          </w:p>
        </w:tc>
        <w:tc>
          <w:tcPr>
            <w:tcW w:w="660" w:type="dxa"/>
            <w:vAlign w:val="bottom"/>
          </w:tcPr>
          <w:p>
            <w:pPr>
              <w:jc w:val="center"/>
              <w:spacing w:after="0"/>
              <w:rPr>
                <w:sz w:val="20"/>
                <w:szCs w:val="20"/>
                <w:color w:val="auto"/>
              </w:rPr>
            </w:pPr>
            <w:r>
              <w:rPr>
                <w:rFonts w:ascii="Calibri" w:cs="Calibri" w:eastAsia="Calibri" w:hAnsi="Calibri"/>
                <w:sz w:val="13"/>
                <w:szCs w:val="13"/>
                <w:color w:val="auto"/>
                <w:w w:val="90"/>
              </w:rPr>
              <w:t>63</w:t>
            </w:r>
          </w:p>
        </w:tc>
        <w:tc>
          <w:tcPr>
            <w:tcW w:w="680" w:type="dxa"/>
            <w:vAlign w:val="bottom"/>
            <w:shd w:val="clear" w:color="auto" w:fill="F2F2F2"/>
          </w:tcPr>
          <w:p>
            <w:pPr>
              <w:jc w:val="center"/>
              <w:spacing w:after="0"/>
              <w:rPr>
                <w:sz w:val="20"/>
                <w:szCs w:val="20"/>
                <w:color w:val="auto"/>
              </w:rPr>
            </w:pPr>
            <w:r>
              <w:rPr>
                <w:rFonts w:ascii="Calibri" w:cs="Calibri" w:eastAsia="Calibri" w:hAnsi="Calibri"/>
                <w:sz w:val="13"/>
                <w:szCs w:val="13"/>
                <w:color w:val="auto"/>
                <w:w w:val="90"/>
              </w:rPr>
              <w:t>73</w:t>
            </w:r>
          </w:p>
        </w:tc>
        <w:tc>
          <w:tcPr>
            <w:tcW w:w="660" w:type="dxa"/>
            <w:vAlign w:val="bottom"/>
          </w:tcPr>
          <w:p>
            <w:pPr>
              <w:jc w:val="center"/>
              <w:spacing w:after="0"/>
              <w:rPr>
                <w:sz w:val="20"/>
                <w:szCs w:val="20"/>
                <w:color w:val="auto"/>
              </w:rPr>
            </w:pPr>
            <w:r>
              <w:rPr>
                <w:rFonts w:ascii="Calibri" w:cs="Calibri" w:eastAsia="Calibri" w:hAnsi="Calibri"/>
                <w:sz w:val="13"/>
                <w:szCs w:val="13"/>
                <w:color w:val="auto"/>
                <w:w w:val="90"/>
              </w:rPr>
              <w:t>63</w:t>
            </w:r>
          </w:p>
        </w:tc>
        <w:tc>
          <w:tcPr>
            <w:tcW w:w="800" w:type="dxa"/>
            <w:vAlign w:val="bottom"/>
            <w:shd w:val="clear" w:color="auto" w:fill="F2F2F2"/>
          </w:tcPr>
          <w:p>
            <w:pPr>
              <w:jc w:val="center"/>
              <w:spacing w:after="0"/>
              <w:rPr>
                <w:sz w:val="20"/>
                <w:szCs w:val="20"/>
                <w:color w:val="auto"/>
              </w:rPr>
            </w:pPr>
            <w:r>
              <w:rPr>
                <w:rFonts w:ascii="Calibri" w:cs="Calibri" w:eastAsia="Calibri" w:hAnsi="Calibri"/>
                <w:sz w:val="13"/>
                <w:szCs w:val="13"/>
                <w:color w:val="auto"/>
                <w:w w:val="90"/>
              </w:rPr>
              <w:t>74</w:t>
            </w:r>
          </w:p>
        </w:tc>
        <w:tc>
          <w:tcPr>
            <w:tcW w:w="660" w:type="dxa"/>
            <w:vAlign w:val="bottom"/>
          </w:tcPr>
          <w:p>
            <w:pPr>
              <w:jc w:val="center"/>
              <w:spacing w:after="0"/>
              <w:rPr>
                <w:sz w:val="20"/>
                <w:szCs w:val="20"/>
                <w:color w:val="auto"/>
              </w:rPr>
            </w:pPr>
            <w:r>
              <w:rPr>
                <w:rFonts w:ascii="Calibri" w:cs="Calibri" w:eastAsia="Calibri" w:hAnsi="Calibri"/>
                <w:sz w:val="13"/>
                <w:szCs w:val="13"/>
                <w:color w:val="auto"/>
              </w:rPr>
              <w:t>60</w:t>
            </w:r>
          </w:p>
        </w:tc>
        <w:tc>
          <w:tcPr>
            <w:tcW w:w="800" w:type="dxa"/>
            <w:vAlign w:val="bottom"/>
            <w:shd w:val="clear" w:color="auto" w:fill="F2F2F2"/>
          </w:tcPr>
          <w:p>
            <w:pPr>
              <w:jc w:val="center"/>
              <w:spacing w:after="0"/>
              <w:rPr>
                <w:sz w:val="20"/>
                <w:szCs w:val="20"/>
                <w:color w:val="auto"/>
              </w:rPr>
            </w:pPr>
            <w:r>
              <w:rPr>
                <w:rFonts w:ascii="Calibri" w:cs="Calibri" w:eastAsia="Calibri" w:hAnsi="Calibri"/>
                <w:sz w:val="13"/>
                <w:szCs w:val="13"/>
                <w:color w:val="auto"/>
                <w:w w:val="90"/>
              </w:rPr>
              <w:t>72</w:t>
            </w:r>
          </w:p>
        </w:tc>
        <w:tc>
          <w:tcPr>
            <w:tcW w:w="660" w:type="dxa"/>
            <w:vAlign w:val="bottom"/>
          </w:tcPr>
          <w:p>
            <w:pPr>
              <w:jc w:val="center"/>
              <w:spacing w:after="0"/>
              <w:rPr>
                <w:sz w:val="20"/>
                <w:szCs w:val="20"/>
                <w:color w:val="auto"/>
              </w:rPr>
            </w:pPr>
            <w:r>
              <w:rPr>
                <w:rFonts w:ascii="Calibri" w:cs="Calibri" w:eastAsia="Calibri" w:hAnsi="Calibri"/>
                <w:sz w:val="13"/>
                <w:szCs w:val="13"/>
                <w:color w:val="auto"/>
              </w:rPr>
              <w:t>65</w:t>
            </w:r>
          </w:p>
        </w:tc>
        <w:tc>
          <w:tcPr>
            <w:tcW w:w="680" w:type="dxa"/>
            <w:vAlign w:val="bottom"/>
            <w:shd w:val="clear" w:color="auto" w:fill="F2F2F2"/>
          </w:tcPr>
          <w:p>
            <w:pPr>
              <w:jc w:val="center"/>
              <w:spacing w:after="0"/>
              <w:rPr>
                <w:sz w:val="20"/>
                <w:szCs w:val="20"/>
                <w:color w:val="auto"/>
              </w:rPr>
            </w:pPr>
            <w:r>
              <w:rPr>
                <w:rFonts w:ascii="Calibri" w:cs="Calibri" w:eastAsia="Calibri" w:hAnsi="Calibri"/>
                <w:sz w:val="13"/>
                <w:szCs w:val="13"/>
                <w:color w:val="auto"/>
                <w:w w:val="90"/>
              </w:rPr>
              <w:t>57</w:t>
            </w:r>
          </w:p>
        </w:tc>
        <w:tc>
          <w:tcPr>
            <w:tcW w:w="0" w:type="dxa"/>
            <w:vAlign w:val="bottom"/>
          </w:tcPr>
          <w:p>
            <w:pPr>
              <w:spacing w:after="0"/>
              <w:rPr>
                <w:sz w:val="1"/>
                <w:szCs w:val="1"/>
                <w:color w:val="auto"/>
              </w:rPr>
            </w:pPr>
          </w:p>
        </w:tc>
      </w:tr>
      <w:tr>
        <w:trPr>
          <w:trHeight w:val="85"/>
        </w:trPr>
        <w:tc>
          <w:tcPr>
            <w:tcW w:w="1000" w:type="dxa"/>
            <w:vAlign w:val="bottom"/>
            <w:tcBorders>
              <w:bottom w:val="single" w:sz="8" w:color="AF0000"/>
            </w:tcBorders>
          </w:tcPr>
          <w:p>
            <w:pPr>
              <w:spacing w:after="0"/>
              <w:rPr>
                <w:sz w:val="7"/>
                <w:szCs w:val="7"/>
                <w:color w:val="auto"/>
              </w:rPr>
            </w:pPr>
          </w:p>
        </w:tc>
        <w:tc>
          <w:tcPr>
            <w:tcW w:w="660" w:type="dxa"/>
            <w:vAlign w:val="bottom"/>
            <w:tcBorders>
              <w:bottom w:val="single" w:sz="8" w:color="AF0000"/>
            </w:tcBorders>
            <w:shd w:val="clear" w:color="auto" w:fill="F2F2F2"/>
          </w:tcPr>
          <w:p>
            <w:pPr>
              <w:spacing w:after="0"/>
              <w:rPr>
                <w:sz w:val="7"/>
                <w:szCs w:val="7"/>
                <w:color w:val="auto"/>
              </w:rPr>
            </w:pPr>
          </w:p>
        </w:tc>
        <w:tc>
          <w:tcPr>
            <w:tcW w:w="660" w:type="dxa"/>
            <w:vAlign w:val="bottom"/>
            <w:tcBorders>
              <w:bottom w:val="single" w:sz="8" w:color="AF0000"/>
            </w:tcBorders>
          </w:tcPr>
          <w:p>
            <w:pPr>
              <w:spacing w:after="0"/>
              <w:rPr>
                <w:sz w:val="7"/>
                <w:szCs w:val="7"/>
                <w:color w:val="auto"/>
              </w:rPr>
            </w:pPr>
          </w:p>
        </w:tc>
        <w:tc>
          <w:tcPr>
            <w:tcW w:w="660" w:type="dxa"/>
            <w:vAlign w:val="bottom"/>
            <w:tcBorders>
              <w:bottom w:val="single" w:sz="8" w:color="AF0000"/>
            </w:tcBorders>
            <w:shd w:val="clear" w:color="auto" w:fill="F2F2F2"/>
          </w:tcPr>
          <w:p>
            <w:pPr>
              <w:spacing w:after="0"/>
              <w:rPr>
                <w:sz w:val="7"/>
                <w:szCs w:val="7"/>
                <w:color w:val="auto"/>
              </w:rPr>
            </w:pPr>
          </w:p>
        </w:tc>
        <w:tc>
          <w:tcPr>
            <w:tcW w:w="660" w:type="dxa"/>
            <w:vAlign w:val="bottom"/>
            <w:tcBorders>
              <w:bottom w:val="single" w:sz="8" w:color="AF0000"/>
            </w:tcBorders>
          </w:tcPr>
          <w:p>
            <w:pPr>
              <w:spacing w:after="0"/>
              <w:rPr>
                <w:sz w:val="7"/>
                <w:szCs w:val="7"/>
                <w:color w:val="auto"/>
              </w:rPr>
            </w:pPr>
          </w:p>
        </w:tc>
        <w:tc>
          <w:tcPr>
            <w:tcW w:w="680" w:type="dxa"/>
            <w:vAlign w:val="bottom"/>
            <w:tcBorders>
              <w:bottom w:val="single" w:sz="8" w:color="AF0000"/>
            </w:tcBorders>
            <w:shd w:val="clear" w:color="auto" w:fill="F2F2F2"/>
          </w:tcPr>
          <w:p>
            <w:pPr>
              <w:spacing w:after="0"/>
              <w:rPr>
                <w:sz w:val="7"/>
                <w:szCs w:val="7"/>
                <w:color w:val="auto"/>
              </w:rPr>
            </w:pPr>
          </w:p>
        </w:tc>
        <w:tc>
          <w:tcPr>
            <w:tcW w:w="660" w:type="dxa"/>
            <w:vAlign w:val="bottom"/>
            <w:tcBorders>
              <w:bottom w:val="single" w:sz="8" w:color="AF0000"/>
            </w:tcBorders>
          </w:tcPr>
          <w:p>
            <w:pPr>
              <w:spacing w:after="0"/>
              <w:rPr>
                <w:sz w:val="7"/>
                <w:szCs w:val="7"/>
                <w:color w:val="auto"/>
              </w:rPr>
            </w:pPr>
          </w:p>
        </w:tc>
        <w:tc>
          <w:tcPr>
            <w:tcW w:w="800" w:type="dxa"/>
            <w:vAlign w:val="bottom"/>
            <w:tcBorders>
              <w:bottom w:val="single" w:sz="8" w:color="AF0000"/>
            </w:tcBorders>
            <w:shd w:val="clear" w:color="auto" w:fill="F2F2F2"/>
          </w:tcPr>
          <w:p>
            <w:pPr>
              <w:spacing w:after="0"/>
              <w:rPr>
                <w:sz w:val="7"/>
                <w:szCs w:val="7"/>
                <w:color w:val="auto"/>
              </w:rPr>
            </w:pPr>
          </w:p>
        </w:tc>
        <w:tc>
          <w:tcPr>
            <w:tcW w:w="660" w:type="dxa"/>
            <w:vAlign w:val="bottom"/>
            <w:tcBorders>
              <w:bottom w:val="single" w:sz="8" w:color="AF0000"/>
            </w:tcBorders>
          </w:tcPr>
          <w:p>
            <w:pPr>
              <w:spacing w:after="0"/>
              <w:rPr>
                <w:sz w:val="7"/>
                <w:szCs w:val="7"/>
                <w:color w:val="auto"/>
              </w:rPr>
            </w:pPr>
          </w:p>
        </w:tc>
        <w:tc>
          <w:tcPr>
            <w:tcW w:w="800" w:type="dxa"/>
            <w:vAlign w:val="bottom"/>
            <w:tcBorders>
              <w:bottom w:val="single" w:sz="8" w:color="AF0000"/>
            </w:tcBorders>
            <w:shd w:val="clear" w:color="auto" w:fill="F2F2F2"/>
          </w:tcPr>
          <w:p>
            <w:pPr>
              <w:spacing w:after="0"/>
              <w:rPr>
                <w:sz w:val="7"/>
                <w:szCs w:val="7"/>
                <w:color w:val="auto"/>
              </w:rPr>
            </w:pPr>
          </w:p>
        </w:tc>
        <w:tc>
          <w:tcPr>
            <w:tcW w:w="660" w:type="dxa"/>
            <w:vAlign w:val="bottom"/>
            <w:tcBorders>
              <w:bottom w:val="single" w:sz="8" w:color="AF0000"/>
            </w:tcBorders>
          </w:tcPr>
          <w:p>
            <w:pPr>
              <w:spacing w:after="0"/>
              <w:rPr>
                <w:sz w:val="7"/>
                <w:szCs w:val="7"/>
                <w:color w:val="auto"/>
              </w:rPr>
            </w:pPr>
          </w:p>
        </w:tc>
        <w:tc>
          <w:tcPr>
            <w:tcW w:w="680" w:type="dxa"/>
            <w:vAlign w:val="bottom"/>
            <w:tcBorders>
              <w:bottom w:val="single" w:sz="8" w:color="AF0000"/>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1000" w:type="dxa"/>
            <w:vAlign w:val="bottom"/>
          </w:tcPr>
          <w:p>
            <w:pPr>
              <w:ind w:left="20"/>
              <w:spacing w:after="0"/>
              <w:rPr>
                <w:sz w:val="20"/>
                <w:szCs w:val="20"/>
                <w:color w:val="auto"/>
              </w:rPr>
            </w:pPr>
            <w:r>
              <w:rPr>
                <w:rFonts w:ascii="Calibri" w:cs="Calibri" w:eastAsia="Calibri" w:hAnsi="Calibri"/>
                <w:sz w:val="13"/>
                <w:szCs w:val="13"/>
                <w:color w:val="auto"/>
              </w:rPr>
              <w:t>Leadership</w:t>
            </w:r>
          </w:p>
        </w:tc>
        <w:tc>
          <w:tcPr>
            <w:tcW w:w="66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66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680" w:type="dxa"/>
            <w:vAlign w:val="bottom"/>
            <w:shd w:val="clear" w:color="auto" w:fill="F2F2F2"/>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8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8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6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000" w:type="dxa"/>
            <w:vAlign w:val="bottom"/>
            <w:vMerge w:val="restart"/>
          </w:tcPr>
          <w:p>
            <w:pPr>
              <w:ind w:left="20"/>
              <w:spacing w:after="0" w:line="149" w:lineRule="exact"/>
              <w:rPr>
                <w:sz w:val="20"/>
                <w:szCs w:val="20"/>
                <w:color w:val="auto"/>
              </w:rPr>
            </w:pPr>
            <w:r>
              <w:rPr>
                <w:rFonts w:ascii="Calibri" w:cs="Calibri" w:eastAsia="Calibri" w:hAnsi="Calibri"/>
                <w:sz w:val="13"/>
                <w:szCs w:val="13"/>
                <w:color w:val="auto"/>
              </w:rPr>
              <w:t>experience</w:t>
            </w:r>
          </w:p>
        </w:tc>
        <w:tc>
          <w:tcPr>
            <w:tcW w:w="660" w:type="dxa"/>
            <w:vAlign w:val="bottom"/>
            <w:vMerge w:val="continue"/>
            <w:shd w:val="clear" w:color="auto" w:fill="F2F2F2"/>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continue"/>
            <w:shd w:val="clear" w:color="auto" w:fill="F2F2F2"/>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shd w:val="clear" w:color="auto" w:fill="F2F2F2"/>
          </w:tcPr>
          <w:p>
            <w:pPr>
              <w:spacing w:after="0"/>
              <w:rPr>
                <w:sz w:val="8"/>
                <w:szCs w:val="8"/>
                <w:color w:val="auto"/>
              </w:rPr>
            </w:pPr>
          </w:p>
        </w:tc>
        <w:tc>
          <w:tcPr>
            <w:tcW w:w="660" w:type="dxa"/>
            <w:vAlign w:val="bottom"/>
            <w:vMerge w:val="continue"/>
          </w:tcPr>
          <w:p>
            <w:pPr>
              <w:spacing w:after="0"/>
              <w:rPr>
                <w:sz w:val="8"/>
                <w:szCs w:val="8"/>
                <w:color w:val="auto"/>
              </w:rPr>
            </w:pPr>
          </w:p>
        </w:tc>
        <w:tc>
          <w:tcPr>
            <w:tcW w:w="800" w:type="dxa"/>
            <w:vAlign w:val="bottom"/>
            <w:vMerge w:val="continue"/>
            <w:shd w:val="clear" w:color="auto" w:fill="F2F2F2"/>
          </w:tcPr>
          <w:p>
            <w:pPr>
              <w:spacing w:after="0"/>
              <w:rPr>
                <w:sz w:val="8"/>
                <w:szCs w:val="8"/>
                <w:color w:val="auto"/>
              </w:rPr>
            </w:pPr>
          </w:p>
        </w:tc>
        <w:tc>
          <w:tcPr>
            <w:tcW w:w="660" w:type="dxa"/>
            <w:vAlign w:val="bottom"/>
            <w:vMerge w:val="continue"/>
          </w:tcPr>
          <w:p>
            <w:pPr>
              <w:spacing w:after="0"/>
              <w:rPr>
                <w:sz w:val="8"/>
                <w:szCs w:val="8"/>
                <w:color w:val="auto"/>
              </w:rPr>
            </w:pPr>
          </w:p>
        </w:tc>
        <w:tc>
          <w:tcPr>
            <w:tcW w:w="800" w:type="dxa"/>
            <w:vAlign w:val="bottom"/>
            <w:vMerge w:val="continue"/>
            <w:shd w:val="clear" w:color="auto" w:fill="F2F2F2"/>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000" w:type="dxa"/>
            <w:vAlign w:val="bottom"/>
            <w:vMerge w:val="continue"/>
          </w:tcPr>
          <w:p>
            <w:pPr>
              <w:spacing w:after="0"/>
              <w:rPr>
                <w:sz w:val="3"/>
                <w:szCs w:val="3"/>
                <w:color w:val="auto"/>
              </w:rPr>
            </w:pPr>
          </w:p>
        </w:tc>
        <w:tc>
          <w:tcPr>
            <w:tcW w:w="66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100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000" w:type="dxa"/>
            <w:vAlign w:val="bottom"/>
          </w:tcPr>
          <w:p>
            <w:pPr>
              <w:ind w:left="20"/>
              <w:spacing w:after="0"/>
              <w:rPr>
                <w:sz w:val="20"/>
                <w:szCs w:val="20"/>
                <w:color w:val="auto"/>
              </w:rPr>
            </w:pPr>
            <w:r>
              <w:rPr>
                <w:rFonts w:ascii="Calibri" w:cs="Calibri" w:eastAsia="Calibri" w:hAnsi="Calibri"/>
                <w:sz w:val="13"/>
                <w:szCs w:val="13"/>
                <w:color w:val="auto"/>
              </w:rPr>
              <w:t>Financial</w:t>
            </w:r>
          </w:p>
        </w:tc>
        <w:tc>
          <w:tcPr>
            <w:tcW w:w="66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tcPr>
          <w:p>
            <w:pPr>
              <w:spacing w:after="0"/>
              <w:rPr>
                <w:sz w:val="16"/>
                <w:szCs w:val="16"/>
                <w:color w:val="auto"/>
              </w:rPr>
            </w:pPr>
          </w:p>
        </w:tc>
        <w:tc>
          <w:tcPr>
            <w:tcW w:w="66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w w:val="82"/>
              </w:rPr>
              <w:t>●</w:t>
            </w:r>
          </w:p>
        </w:tc>
        <w:tc>
          <w:tcPr>
            <w:tcW w:w="660" w:type="dxa"/>
            <w:vAlign w:val="bottom"/>
          </w:tcPr>
          <w:p>
            <w:pPr>
              <w:spacing w:after="0"/>
              <w:rPr>
                <w:sz w:val="16"/>
                <w:szCs w:val="16"/>
                <w:color w:val="auto"/>
              </w:rPr>
            </w:pPr>
          </w:p>
        </w:tc>
        <w:tc>
          <w:tcPr>
            <w:tcW w:w="8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80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000" w:type="dxa"/>
            <w:vAlign w:val="bottom"/>
            <w:vMerge w:val="restart"/>
          </w:tcPr>
          <w:p>
            <w:pPr>
              <w:ind w:left="20"/>
              <w:spacing w:after="0" w:line="149" w:lineRule="exact"/>
              <w:rPr>
                <w:sz w:val="20"/>
                <w:szCs w:val="20"/>
                <w:color w:val="auto"/>
              </w:rPr>
            </w:pPr>
            <w:r>
              <w:rPr>
                <w:rFonts w:ascii="Calibri" w:cs="Calibri" w:eastAsia="Calibri" w:hAnsi="Calibri"/>
                <w:sz w:val="13"/>
                <w:szCs w:val="13"/>
                <w:color w:val="auto"/>
              </w:rPr>
              <w:t>transactons</w:t>
            </w:r>
          </w:p>
        </w:tc>
        <w:tc>
          <w:tcPr>
            <w:tcW w:w="660" w:type="dxa"/>
            <w:vAlign w:val="bottom"/>
            <w:vMerge w:val="continue"/>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vMerge w:val="continue"/>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shd w:val="clear" w:color="auto" w:fill="F2F2F2"/>
          </w:tcPr>
          <w:p>
            <w:pPr>
              <w:spacing w:after="0"/>
              <w:rPr>
                <w:sz w:val="8"/>
                <w:szCs w:val="8"/>
                <w:color w:val="auto"/>
              </w:rPr>
            </w:pPr>
          </w:p>
        </w:tc>
        <w:tc>
          <w:tcPr>
            <w:tcW w:w="660" w:type="dxa"/>
            <w:vAlign w:val="bottom"/>
            <w:vMerge w:val="continue"/>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000" w:type="dxa"/>
            <w:vAlign w:val="bottom"/>
            <w:vMerge w:val="continue"/>
          </w:tcPr>
          <w:p>
            <w:pPr>
              <w:spacing w:after="0"/>
              <w:rPr>
                <w:sz w:val="3"/>
                <w:szCs w:val="3"/>
                <w:color w:val="auto"/>
              </w:rPr>
            </w:pPr>
          </w:p>
        </w:tc>
        <w:tc>
          <w:tcPr>
            <w:tcW w:w="66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100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000" w:type="dxa"/>
            <w:vAlign w:val="bottom"/>
          </w:tcPr>
          <w:p>
            <w:pPr>
              <w:ind w:left="20"/>
              <w:spacing w:after="0"/>
              <w:rPr>
                <w:sz w:val="20"/>
                <w:szCs w:val="20"/>
                <w:color w:val="auto"/>
              </w:rPr>
            </w:pPr>
            <w:r>
              <w:rPr>
                <w:rFonts w:ascii="Calibri" w:cs="Calibri" w:eastAsia="Calibri" w:hAnsi="Calibri"/>
                <w:sz w:val="13"/>
                <w:szCs w:val="13"/>
                <w:color w:val="auto"/>
              </w:rPr>
              <w:t>Financial</w:t>
            </w:r>
          </w:p>
        </w:tc>
        <w:tc>
          <w:tcPr>
            <w:tcW w:w="66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tcPr>
          <w:p>
            <w:pPr>
              <w:spacing w:after="0"/>
              <w:rPr>
                <w:sz w:val="16"/>
                <w:szCs w:val="16"/>
                <w:color w:val="auto"/>
              </w:rPr>
            </w:pPr>
          </w:p>
        </w:tc>
        <w:tc>
          <w:tcPr>
            <w:tcW w:w="66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w w:val="82"/>
              </w:rPr>
              <w:t>●</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800" w:type="dxa"/>
            <w:vAlign w:val="bottom"/>
            <w:shd w:val="clear" w:color="auto" w:fill="F2F2F2"/>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8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6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000" w:type="dxa"/>
            <w:vAlign w:val="bottom"/>
            <w:vMerge w:val="restart"/>
          </w:tcPr>
          <w:p>
            <w:pPr>
              <w:ind w:left="20"/>
              <w:spacing w:after="0" w:line="149" w:lineRule="exact"/>
              <w:rPr>
                <w:sz w:val="20"/>
                <w:szCs w:val="20"/>
                <w:color w:val="auto"/>
              </w:rPr>
            </w:pPr>
            <w:r>
              <w:rPr>
                <w:rFonts w:ascii="Calibri" w:cs="Calibri" w:eastAsia="Calibri" w:hAnsi="Calibri"/>
                <w:sz w:val="13"/>
                <w:szCs w:val="13"/>
                <w:color w:val="auto"/>
              </w:rPr>
              <w:t>management</w:t>
            </w:r>
          </w:p>
        </w:tc>
        <w:tc>
          <w:tcPr>
            <w:tcW w:w="660" w:type="dxa"/>
            <w:vAlign w:val="bottom"/>
            <w:vMerge w:val="continue"/>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vMerge w:val="continue"/>
            <w:shd w:val="clear" w:color="auto" w:fill="F2F2F2"/>
          </w:tcPr>
          <w:p>
            <w:pPr>
              <w:spacing w:after="0"/>
              <w:rPr>
                <w:sz w:val="8"/>
                <w:szCs w:val="8"/>
                <w:color w:val="auto"/>
              </w:rPr>
            </w:pPr>
          </w:p>
        </w:tc>
        <w:tc>
          <w:tcPr>
            <w:tcW w:w="660" w:type="dxa"/>
            <w:vAlign w:val="bottom"/>
            <w:vMerge w:val="continue"/>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660" w:type="dxa"/>
            <w:vAlign w:val="bottom"/>
            <w:vMerge w:val="continue"/>
          </w:tcPr>
          <w:p>
            <w:pPr>
              <w:spacing w:after="0"/>
              <w:rPr>
                <w:sz w:val="8"/>
                <w:szCs w:val="8"/>
                <w:color w:val="auto"/>
              </w:rPr>
            </w:pPr>
          </w:p>
        </w:tc>
        <w:tc>
          <w:tcPr>
            <w:tcW w:w="800" w:type="dxa"/>
            <w:vAlign w:val="bottom"/>
            <w:vMerge w:val="continue"/>
            <w:shd w:val="clear" w:color="auto" w:fill="F2F2F2"/>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000" w:type="dxa"/>
            <w:vAlign w:val="bottom"/>
            <w:vMerge w:val="continue"/>
          </w:tcPr>
          <w:p>
            <w:pPr>
              <w:spacing w:after="0"/>
              <w:rPr>
                <w:sz w:val="3"/>
                <w:szCs w:val="3"/>
                <w:color w:val="auto"/>
              </w:rPr>
            </w:pPr>
          </w:p>
        </w:tc>
        <w:tc>
          <w:tcPr>
            <w:tcW w:w="66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100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000" w:type="dxa"/>
            <w:vAlign w:val="bottom"/>
          </w:tcPr>
          <w:p>
            <w:pPr>
              <w:ind w:left="20"/>
              <w:spacing w:after="0"/>
              <w:rPr>
                <w:sz w:val="20"/>
                <w:szCs w:val="20"/>
                <w:color w:val="auto"/>
              </w:rPr>
            </w:pPr>
            <w:r>
              <w:rPr>
                <w:rFonts w:ascii="Calibri" w:cs="Calibri" w:eastAsia="Calibri" w:hAnsi="Calibri"/>
                <w:sz w:val="13"/>
                <w:szCs w:val="13"/>
                <w:color w:val="auto"/>
              </w:rPr>
              <w:t>Global strategic</w:t>
            </w:r>
          </w:p>
        </w:tc>
        <w:tc>
          <w:tcPr>
            <w:tcW w:w="66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68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tcPr>
          <w:p>
            <w:pPr>
              <w:spacing w:after="0"/>
              <w:rPr>
                <w:sz w:val="16"/>
                <w:szCs w:val="16"/>
                <w:color w:val="auto"/>
              </w:rPr>
            </w:pPr>
          </w:p>
        </w:tc>
        <w:tc>
          <w:tcPr>
            <w:tcW w:w="80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w w:val="82"/>
              </w:rPr>
              <w:t>●</w:t>
            </w:r>
          </w:p>
        </w:tc>
        <w:tc>
          <w:tcPr>
            <w:tcW w:w="0" w:type="dxa"/>
            <w:vAlign w:val="bottom"/>
          </w:tcPr>
          <w:p>
            <w:pPr>
              <w:spacing w:after="0"/>
              <w:rPr>
                <w:sz w:val="1"/>
                <w:szCs w:val="1"/>
                <w:color w:val="auto"/>
              </w:rPr>
            </w:pPr>
          </w:p>
        </w:tc>
      </w:tr>
      <w:tr>
        <w:trPr>
          <w:trHeight w:val="103"/>
        </w:trPr>
        <w:tc>
          <w:tcPr>
            <w:tcW w:w="1000" w:type="dxa"/>
            <w:vAlign w:val="bottom"/>
            <w:vMerge w:val="restart"/>
          </w:tcPr>
          <w:p>
            <w:pPr>
              <w:ind w:left="20"/>
              <w:spacing w:after="0" w:line="149" w:lineRule="exact"/>
              <w:rPr>
                <w:sz w:val="20"/>
                <w:szCs w:val="20"/>
                <w:color w:val="auto"/>
              </w:rPr>
            </w:pPr>
            <w:r>
              <w:rPr>
                <w:rFonts w:ascii="Calibri" w:cs="Calibri" w:eastAsia="Calibri" w:hAnsi="Calibri"/>
                <w:sz w:val="13"/>
                <w:szCs w:val="13"/>
                <w:color w:val="auto"/>
              </w:rPr>
              <w:t>planning</w:t>
            </w:r>
          </w:p>
        </w:tc>
        <w:tc>
          <w:tcPr>
            <w:tcW w:w="66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vMerge w:val="continue"/>
            <w:shd w:val="clear" w:color="auto" w:fill="F2F2F2"/>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000" w:type="dxa"/>
            <w:vAlign w:val="bottom"/>
            <w:vMerge w:val="continue"/>
          </w:tcPr>
          <w:p>
            <w:pPr>
              <w:spacing w:after="0"/>
              <w:rPr>
                <w:sz w:val="3"/>
                <w:szCs w:val="3"/>
                <w:color w:val="auto"/>
              </w:rPr>
            </w:pPr>
          </w:p>
        </w:tc>
        <w:tc>
          <w:tcPr>
            <w:tcW w:w="66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0" w:type="dxa"/>
            <w:vAlign w:val="bottom"/>
          </w:tcPr>
          <w:p>
            <w:pPr>
              <w:spacing w:after="0"/>
              <w:rPr>
                <w:sz w:val="1"/>
                <w:szCs w:val="1"/>
                <w:color w:val="auto"/>
              </w:rPr>
            </w:pPr>
          </w:p>
        </w:tc>
      </w:tr>
      <w:tr>
        <w:trPr>
          <w:trHeight w:val="65"/>
        </w:trPr>
        <w:tc>
          <w:tcPr>
            <w:tcW w:w="100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1000" w:type="dxa"/>
            <w:vAlign w:val="bottom"/>
          </w:tcPr>
          <w:p>
            <w:pPr>
              <w:ind w:left="20"/>
              <w:spacing w:after="0"/>
              <w:rPr>
                <w:sz w:val="20"/>
                <w:szCs w:val="20"/>
                <w:color w:val="auto"/>
              </w:rPr>
            </w:pPr>
            <w:r>
              <w:rPr>
                <w:rFonts w:ascii="Calibri" w:cs="Calibri" w:eastAsia="Calibri" w:hAnsi="Calibri"/>
                <w:sz w:val="13"/>
                <w:szCs w:val="13"/>
                <w:color w:val="auto"/>
              </w:rPr>
              <w:t>Medical device</w:t>
            </w:r>
          </w:p>
        </w:tc>
        <w:tc>
          <w:tcPr>
            <w:tcW w:w="660" w:type="dxa"/>
            <w:vAlign w:val="bottom"/>
            <w:shd w:val="clear" w:color="auto" w:fill="F2F2F2"/>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660" w:type="dxa"/>
            <w:vAlign w:val="bottom"/>
            <w:shd w:val="clear" w:color="auto" w:fill="F2F2F2"/>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6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w w:val="82"/>
              </w:rPr>
              <w:t>●</w:t>
            </w:r>
          </w:p>
        </w:tc>
        <w:tc>
          <w:tcPr>
            <w:tcW w:w="660" w:type="dxa"/>
            <w:vAlign w:val="bottom"/>
          </w:tcPr>
          <w:p>
            <w:pPr>
              <w:spacing w:after="0"/>
              <w:rPr>
                <w:sz w:val="16"/>
                <w:szCs w:val="16"/>
                <w:color w:val="auto"/>
              </w:rPr>
            </w:pPr>
          </w:p>
        </w:tc>
        <w:tc>
          <w:tcPr>
            <w:tcW w:w="8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tcPr>
          <w:p>
            <w:pPr>
              <w:spacing w:after="0"/>
              <w:rPr>
                <w:sz w:val="16"/>
                <w:szCs w:val="16"/>
                <w:color w:val="auto"/>
              </w:rPr>
            </w:pPr>
          </w:p>
        </w:tc>
        <w:tc>
          <w:tcPr>
            <w:tcW w:w="80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w w:val="82"/>
              </w:rPr>
              <w:t>●</w:t>
            </w:r>
          </w:p>
        </w:tc>
        <w:tc>
          <w:tcPr>
            <w:tcW w:w="0" w:type="dxa"/>
            <w:vAlign w:val="bottom"/>
          </w:tcPr>
          <w:p>
            <w:pPr>
              <w:spacing w:after="0"/>
              <w:rPr>
                <w:sz w:val="1"/>
                <w:szCs w:val="1"/>
                <w:color w:val="auto"/>
              </w:rPr>
            </w:pPr>
          </w:p>
        </w:tc>
      </w:tr>
      <w:tr>
        <w:trPr>
          <w:trHeight w:val="149"/>
        </w:trPr>
        <w:tc>
          <w:tcPr>
            <w:tcW w:w="1000" w:type="dxa"/>
            <w:vAlign w:val="bottom"/>
          </w:tcPr>
          <w:p>
            <w:pPr>
              <w:ind w:left="20"/>
              <w:spacing w:after="0" w:line="149" w:lineRule="exact"/>
              <w:rPr>
                <w:sz w:val="20"/>
                <w:szCs w:val="20"/>
                <w:color w:val="auto"/>
              </w:rPr>
            </w:pPr>
            <w:r>
              <w:rPr>
                <w:rFonts w:ascii="Calibri" w:cs="Calibri" w:eastAsia="Calibri" w:hAnsi="Calibri"/>
                <w:sz w:val="13"/>
                <w:szCs w:val="13"/>
                <w:color w:val="auto"/>
              </w:rPr>
              <w:t>industry</w:t>
            </w:r>
          </w:p>
        </w:tc>
        <w:tc>
          <w:tcPr>
            <w:tcW w:w="660" w:type="dxa"/>
            <w:vAlign w:val="bottom"/>
            <w:shd w:val="clear" w:color="auto" w:fill="F2F2F2"/>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vMerge w:val="continue"/>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ind w:left="20"/>
              <w:spacing w:after="0" w:line="149" w:lineRule="exact"/>
              <w:rPr>
                <w:sz w:val="20"/>
                <w:szCs w:val="20"/>
                <w:color w:val="auto"/>
              </w:rPr>
            </w:pPr>
            <w:r>
              <w:rPr>
                <w:rFonts w:ascii="Calibri" w:cs="Calibri" w:eastAsia="Calibri" w:hAnsi="Calibri"/>
                <w:sz w:val="13"/>
                <w:szCs w:val="13"/>
                <w:color w:val="auto"/>
              </w:rPr>
              <w:t>knowledge</w:t>
            </w:r>
          </w:p>
        </w:tc>
        <w:tc>
          <w:tcPr>
            <w:tcW w:w="66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00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000" w:type="dxa"/>
            <w:vAlign w:val="bottom"/>
          </w:tcPr>
          <w:p>
            <w:pPr>
              <w:ind w:left="20"/>
              <w:spacing w:after="0"/>
              <w:rPr>
                <w:sz w:val="20"/>
                <w:szCs w:val="20"/>
                <w:color w:val="auto"/>
              </w:rPr>
            </w:pPr>
            <w:r>
              <w:rPr>
                <w:rFonts w:ascii="Calibri" w:cs="Calibri" w:eastAsia="Calibri" w:hAnsi="Calibri"/>
                <w:sz w:val="13"/>
                <w:szCs w:val="13"/>
                <w:color w:val="auto"/>
              </w:rPr>
              <w:t>R&amp;D innovaton</w:t>
            </w:r>
          </w:p>
        </w:tc>
        <w:tc>
          <w:tcPr>
            <w:tcW w:w="660" w:type="dxa"/>
            <w:vAlign w:val="bottom"/>
            <w:shd w:val="clear" w:color="auto" w:fill="F2F2F2"/>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shd w:val="clear" w:color="auto" w:fill="F2F2F2"/>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shd w:val="clear" w:color="auto" w:fill="F2F2F2"/>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tcPr>
          <w:p>
            <w:pPr>
              <w:spacing w:after="0"/>
              <w:rPr>
                <w:sz w:val="21"/>
                <w:szCs w:val="21"/>
                <w:color w:val="auto"/>
              </w:rPr>
            </w:pPr>
          </w:p>
        </w:tc>
        <w:tc>
          <w:tcPr>
            <w:tcW w:w="800" w:type="dxa"/>
            <w:vAlign w:val="bottom"/>
            <w:shd w:val="clear" w:color="auto" w:fill="F2F2F2"/>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70"/>
        </w:trPr>
        <w:tc>
          <w:tcPr>
            <w:tcW w:w="1000" w:type="dxa"/>
            <w:vAlign w:val="bottom"/>
            <w:tcBorders>
              <w:bottom w:val="single" w:sz="8" w:color="A6A6A6"/>
            </w:tcBorders>
          </w:tcPr>
          <w:p>
            <w:pPr>
              <w:spacing w:after="0"/>
              <w:rPr>
                <w:sz w:val="6"/>
                <w:szCs w:val="6"/>
                <w:color w:val="auto"/>
              </w:rPr>
            </w:pPr>
          </w:p>
        </w:tc>
        <w:tc>
          <w:tcPr>
            <w:tcW w:w="66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66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68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80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80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680" w:type="dxa"/>
            <w:vAlign w:val="bottom"/>
            <w:tcBorders>
              <w:bottom w:val="single" w:sz="8" w:color="A6A6A6"/>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000" w:type="dxa"/>
            <w:vAlign w:val="bottom"/>
          </w:tcPr>
          <w:p>
            <w:pPr>
              <w:ind w:left="20"/>
              <w:spacing w:after="0"/>
              <w:rPr>
                <w:sz w:val="20"/>
                <w:szCs w:val="20"/>
                <w:color w:val="auto"/>
              </w:rPr>
            </w:pPr>
            <w:r>
              <w:rPr>
                <w:rFonts w:ascii="Calibri" w:cs="Calibri" w:eastAsia="Calibri" w:hAnsi="Calibri"/>
                <w:sz w:val="13"/>
                <w:szCs w:val="13"/>
                <w:color w:val="auto"/>
              </w:rPr>
              <w:t>Marketng &amp; sales</w:t>
            </w:r>
          </w:p>
        </w:tc>
        <w:tc>
          <w:tcPr>
            <w:tcW w:w="660" w:type="dxa"/>
            <w:vAlign w:val="bottom"/>
            <w:shd w:val="clear" w:color="auto" w:fill="F2F2F2"/>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shd w:val="clear" w:color="auto" w:fill="F2F2F2"/>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F0000"/>
              </w:rPr>
              <w:t>●</w:t>
            </w:r>
          </w:p>
        </w:tc>
        <w:tc>
          <w:tcPr>
            <w:tcW w:w="680" w:type="dxa"/>
            <w:vAlign w:val="bottom"/>
            <w:shd w:val="clear" w:color="auto" w:fill="F2F2F2"/>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shd w:val="clear" w:color="auto" w:fill="F2F2F2"/>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shd w:val="clear" w:color="auto" w:fill="F2F2F2"/>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shd w:val="clear" w:color="auto" w:fill="F2F2F2"/>
          </w:tcPr>
          <w:p>
            <w:pPr>
              <w:jc w:val="center"/>
              <w:spacing w:after="0"/>
              <w:rPr>
                <w:sz w:val="20"/>
                <w:szCs w:val="20"/>
                <w:color w:val="auto"/>
              </w:rPr>
            </w:pPr>
            <w:r>
              <w:rPr>
                <w:rFonts w:ascii="Arial" w:cs="Arial" w:eastAsia="Arial" w:hAnsi="Arial"/>
                <w:sz w:val="16"/>
                <w:szCs w:val="16"/>
                <w:color w:val="AF0000"/>
                <w:w w:val="82"/>
              </w:rPr>
              <w:t>●</w:t>
            </w:r>
          </w:p>
        </w:tc>
        <w:tc>
          <w:tcPr>
            <w:tcW w:w="0" w:type="dxa"/>
            <w:vAlign w:val="bottom"/>
          </w:tcPr>
          <w:p>
            <w:pPr>
              <w:spacing w:after="0"/>
              <w:rPr>
                <w:sz w:val="1"/>
                <w:szCs w:val="1"/>
                <w:color w:val="auto"/>
              </w:rPr>
            </w:pPr>
          </w:p>
        </w:tc>
      </w:tr>
      <w:tr>
        <w:trPr>
          <w:trHeight w:val="70"/>
        </w:trPr>
        <w:tc>
          <w:tcPr>
            <w:tcW w:w="1000" w:type="dxa"/>
            <w:vAlign w:val="bottom"/>
            <w:tcBorders>
              <w:bottom w:val="single" w:sz="8" w:color="A6A6A6"/>
            </w:tcBorders>
          </w:tcPr>
          <w:p>
            <w:pPr>
              <w:spacing w:after="0"/>
              <w:rPr>
                <w:sz w:val="6"/>
                <w:szCs w:val="6"/>
                <w:color w:val="auto"/>
              </w:rPr>
            </w:pPr>
          </w:p>
        </w:tc>
        <w:tc>
          <w:tcPr>
            <w:tcW w:w="66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66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68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80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80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680" w:type="dxa"/>
            <w:vAlign w:val="bottom"/>
            <w:tcBorders>
              <w:bottom w:val="single" w:sz="8" w:color="A6A6A6"/>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000" w:type="dxa"/>
            <w:vAlign w:val="bottom"/>
          </w:tcPr>
          <w:p>
            <w:pPr>
              <w:ind w:left="20"/>
              <w:spacing w:after="0"/>
              <w:rPr>
                <w:sz w:val="20"/>
                <w:szCs w:val="20"/>
                <w:color w:val="auto"/>
              </w:rPr>
            </w:pPr>
            <w:r>
              <w:rPr>
                <w:rFonts w:ascii="Calibri" w:cs="Calibri" w:eastAsia="Calibri" w:hAnsi="Calibri"/>
                <w:sz w:val="13"/>
                <w:szCs w:val="13"/>
                <w:color w:val="auto"/>
              </w:rPr>
              <w:t>Operatons</w:t>
            </w:r>
          </w:p>
        </w:tc>
        <w:tc>
          <w:tcPr>
            <w:tcW w:w="660" w:type="dxa"/>
            <w:vAlign w:val="bottom"/>
            <w:shd w:val="clear" w:color="auto" w:fill="F2F2F2"/>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F0000"/>
              </w:rPr>
              <w:t>●</w:t>
            </w:r>
          </w:p>
        </w:tc>
        <w:tc>
          <w:tcPr>
            <w:tcW w:w="660" w:type="dxa"/>
            <w:vAlign w:val="bottom"/>
            <w:shd w:val="clear" w:color="auto" w:fill="F2F2F2"/>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shd w:val="clear" w:color="auto" w:fill="F2F2F2"/>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F0000"/>
              </w:rPr>
              <w:t>●</w:t>
            </w:r>
          </w:p>
        </w:tc>
        <w:tc>
          <w:tcPr>
            <w:tcW w:w="800" w:type="dxa"/>
            <w:vAlign w:val="bottom"/>
            <w:shd w:val="clear" w:color="auto" w:fill="F2F2F2"/>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shd w:val="clear" w:color="auto" w:fill="F2F2F2"/>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shd w:val="clear" w:color="auto" w:fill="F2F2F2"/>
          </w:tcPr>
          <w:p>
            <w:pPr>
              <w:jc w:val="center"/>
              <w:spacing w:after="0"/>
              <w:rPr>
                <w:sz w:val="20"/>
                <w:szCs w:val="20"/>
                <w:color w:val="auto"/>
              </w:rPr>
            </w:pPr>
            <w:r>
              <w:rPr>
                <w:rFonts w:ascii="Arial" w:cs="Arial" w:eastAsia="Arial" w:hAnsi="Arial"/>
                <w:sz w:val="16"/>
                <w:szCs w:val="16"/>
                <w:color w:val="AF0000"/>
                <w:w w:val="82"/>
              </w:rPr>
              <w:t>●</w:t>
            </w:r>
          </w:p>
        </w:tc>
        <w:tc>
          <w:tcPr>
            <w:tcW w:w="0" w:type="dxa"/>
            <w:vAlign w:val="bottom"/>
          </w:tcPr>
          <w:p>
            <w:pPr>
              <w:spacing w:after="0"/>
              <w:rPr>
                <w:sz w:val="1"/>
                <w:szCs w:val="1"/>
                <w:color w:val="auto"/>
              </w:rPr>
            </w:pPr>
          </w:p>
        </w:tc>
      </w:tr>
      <w:tr>
        <w:trPr>
          <w:trHeight w:val="70"/>
        </w:trPr>
        <w:tc>
          <w:tcPr>
            <w:tcW w:w="1000" w:type="dxa"/>
            <w:vAlign w:val="bottom"/>
            <w:tcBorders>
              <w:bottom w:val="single" w:sz="8" w:color="A6A6A6"/>
            </w:tcBorders>
          </w:tcPr>
          <w:p>
            <w:pPr>
              <w:spacing w:after="0"/>
              <w:rPr>
                <w:sz w:val="6"/>
                <w:szCs w:val="6"/>
                <w:color w:val="auto"/>
              </w:rPr>
            </w:pPr>
          </w:p>
        </w:tc>
        <w:tc>
          <w:tcPr>
            <w:tcW w:w="66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66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68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80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800" w:type="dxa"/>
            <w:vAlign w:val="bottom"/>
            <w:tcBorders>
              <w:bottom w:val="single" w:sz="8" w:color="A6A6A6"/>
            </w:tcBorders>
            <w:shd w:val="clear" w:color="auto" w:fill="F2F2F2"/>
          </w:tcPr>
          <w:p>
            <w:pPr>
              <w:spacing w:after="0"/>
              <w:rPr>
                <w:sz w:val="6"/>
                <w:szCs w:val="6"/>
                <w:color w:val="auto"/>
              </w:rPr>
            </w:pPr>
          </w:p>
        </w:tc>
        <w:tc>
          <w:tcPr>
            <w:tcW w:w="660" w:type="dxa"/>
            <w:vAlign w:val="bottom"/>
            <w:tcBorders>
              <w:bottom w:val="single" w:sz="8" w:color="A6A6A6"/>
            </w:tcBorders>
          </w:tcPr>
          <w:p>
            <w:pPr>
              <w:spacing w:after="0"/>
              <w:rPr>
                <w:sz w:val="6"/>
                <w:szCs w:val="6"/>
                <w:color w:val="auto"/>
              </w:rPr>
            </w:pPr>
          </w:p>
        </w:tc>
        <w:tc>
          <w:tcPr>
            <w:tcW w:w="680" w:type="dxa"/>
            <w:vAlign w:val="bottom"/>
            <w:tcBorders>
              <w:bottom w:val="single" w:sz="8" w:color="A6A6A6"/>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000" w:type="dxa"/>
            <w:vAlign w:val="bottom"/>
          </w:tcPr>
          <w:p>
            <w:pPr>
              <w:ind w:left="20"/>
              <w:spacing w:after="0"/>
              <w:rPr>
                <w:sz w:val="20"/>
                <w:szCs w:val="20"/>
                <w:color w:val="auto"/>
              </w:rPr>
            </w:pPr>
            <w:r>
              <w:rPr>
                <w:rFonts w:ascii="Calibri" w:cs="Calibri" w:eastAsia="Calibri" w:hAnsi="Calibri"/>
                <w:sz w:val="13"/>
                <w:szCs w:val="13"/>
                <w:color w:val="auto"/>
              </w:rPr>
              <w:t>Governance &amp;</w:t>
            </w:r>
          </w:p>
        </w:tc>
        <w:tc>
          <w:tcPr>
            <w:tcW w:w="660" w:type="dxa"/>
            <w:vAlign w:val="bottom"/>
            <w:shd w:val="clear" w:color="auto" w:fill="F2F2F2"/>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66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000" w:type="dxa"/>
            <w:vAlign w:val="bottom"/>
            <w:vMerge w:val="restart"/>
          </w:tcPr>
          <w:p>
            <w:pPr>
              <w:ind w:left="20"/>
              <w:spacing w:after="0" w:line="149" w:lineRule="exact"/>
              <w:rPr>
                <w:sz w:val="20"/>
                <w:szCs w:val="20"/>
                <w:color w:val="auto"/>
              </w:rPr>
            </w:pPr>
            <w:r>
              <w:rPr>
                <w:rFonts w:ascii="Calibri" w:cs="Calibri" w:eastAsia="Calibri" w:hAnsi="Calibri"/>
                <w:sz w:val="13"/>
                <w:szCs w:val="13"/>
                <w:color w:val="auto"/>
              </w:rPr>
              <w:t>regulatory</w:t>
            </w:r>
          </w:p>
        </w:tc>
        <w:tc>
          <w:tcPr>
            <w:tcW w:w="660" w:type="dxa"/>
            <w:vAlign w:val="bottom"/>
            <w:shd w:val="clear" w:color="auto" w:fill="F2F2F2"/>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66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0" w:type="dxa"/>
            <w:vAlign w:val="bottom"/>
          </w:tcPr>
          <w:p>
            <w:pPr>
              <w:spacing w:after="0"/>
              <w:rPr>
                <w:sz w:val="1"/>
                <w:szCs w:val="1"/>
                <w:color w:val="auto"/>
              </w:rPr>
            </w:pPr>
          </w:p>
        </w:tc>
      </w:tr>
      <w:tr>
        <w:trPr>
          <w:trHeight w:val="65"/>
        </w:trPr>
        <w:tc>
          <w:tcPr>
            <w:tcW w:w="100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1000" w:type="dxa"/>
            <w:vAlign w:val="bottom"/>
          </w:tcPr>
          <w:p>
            <w:pPr>
              <w:ind w:left="20"/>
              <w:spacing w:after="0"/>
              <w:rPr>
                <w:sz w:val="20"/>
                <w:szCs w:val="20"/>
                <w:color w:val="auto"/>
              </w:rPr>
            </w:pPr>
            <w:r>
              <w:rPr>
                <w:rFonts w:ascii="Calibri" w:cs="Calibri" w:eastAsia="Calibri" w:hAnsi="Calibri"/>
                <w:sz w:val="13"/>
                <w:szCs w:val="13"/>
                <w:color w:val="auto"/>
              </w:rPr>
              <w:t>Investor &amp;</w:t>
            </w:r>
          </w:p>
        </w:tc>
        <w:tc>
          <w:tcPr>
            <w:tcW w:w="66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w w:val="82"/>
              </w:rPr>
              <w:t>●</w:t>
            </w:r>
          </w:p>
        </w:tc>
        <w:tc>
          <w:tcPr>
            <w:tcW w:w="660" w:type="dxa"/>
            <w:vAlign w:val="bottom"/>
          </w:tcPr>
          <w:p>
            <w:pPr>
              <w:spacing w:after="0"/>
              <w:rPr>
                <w:sz w:val="16"/>
                <w:szCs w:val="16"/>
                <w:color w:val="auto"/>
              </w:rPr>
            </w:pPr>
          </w:p>
        </w:tc>
        <w:tc>
          <w:tcPr>
            <w:tcW w:w="8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80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0"/>
              <w:spacing w:after="0" w:line="149" w:lineRule="exact"/>
              <w:rPr>
                <w:sz w:val="20"/>
                <w:szCs w:val="20"/>
                <w:color w:val="auto"/>
              </w:rPr>
            </w:pPr>
            <w:r>
              <w:rPr>
                <w:rFonts w:ascii="Calibri" w:cs="Calibri" w:eastAsia="Calibri" w:hAnsi="Calibri"/>
                <w:sz w:val="13"/>
                <w:szCs w:val="13"/>
                <w:color w:val="auto"/>
              </w:rPr>
              <w:t>stakeholder</w:t>
            </w:r>
          </w:p>
        </w:tc>
        <w:tc>
          <w:tcPr>
            <w:tcW w:w="66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vMerge w:val="continue"/>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shd w:val="clear" w:color="auto" w:fill="F2F2F2"/>
          </w:tcPr>
          <w:p>
            <w:pPr>
              <w:spacing w:after="0"/>
              <w:rPr>
                <w:sz w:val="12"/>
                <w:szCs w:val="12"/>
                <w:color w:val="auto"/>
              </w:rPr>
            </w:pPr>
          </w:p>
        </w:tc>
        <w:tc>
          <w:tcPr>
            <w:tcW w:w="660" w:type="dxa"/>
            <w:vAlign w:val="bottom"/>
            <w:vMerge w:val="continue"/>
          </w:tcPr>
          <w:p>
            <w:pPr>
              <w:spacing w:after="0"/>
              <w:rPr>
                <w:sz w:val="12"/>
                <w:szCs w:val="12"/>
                <w:color w:val="auto"/>
              </w:rPr>
            </w:pPr>
          </w:p>
        </w:tc>
        <w:tc>
          <w:tcPr>
            <w:tcW w:w="80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ind w:left="20"/>
              <w:spacing w:after="0" w:line="149" w:lineRule="exact"/>
              <w:rPr>
                <w:sz w:val="20"/>
                <w:szCs w:val="20"/>
                <w:color w:val="auto"/>
              </w:rPr>
            </w:pPr>
            <w:r>
              <w:rPr>
                <w:rFonts w:ascii="Calibri" w:cs="Calibri" w:eastAsia="Calibri" w:hAnsi="Calibri"/>
                <w:sz w:val="13"/>
                <w:szCs w:val="13"/>
                <w:color w:val="auto"/>
              </w:rPr>
              <w:t>relatons</w:t>
            </w:r>
          </w:p>
        </w:tc>
        <w:tc>
          <w:tcPr>
            <w:tcW w:w="66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00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1000" w:type="dxa"/>
            <w:vAlign w:val="bottom"/>
          </w:tcPr>
          <w:p>
            <w:pPr>
              <w:ind w:left="20"/>
              <w:spacing w:after="0"/>
              <w:rPr>
                <w:sz w:val="20"/>
                <w:szCs w:val="20"/>
                <w:color w:val="auto"/>
              </w:rPr>
            </w:pPr>
            <w:r>
              <w:rPr>
                <w:rFonts w:ascii="Calibri" w:cs="Calibri" w:eastAsia="Calibri" w:hAnsi="Calibri"/>
                <w:sz w:val="13"/>
                <w:szCs w:val="13"/>
                <w:color w:val="auto"/>
              </w:rPr>
              <w:t>Digital, data &amp;</w:t>
            </w:r>
          </w:p>
        </w:tc>
        <w:tc>
          <w:tcPr>
            <w:tcW w:w="66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shd w:val="clear" w:color="auto" w:fill="F2F2F2"/>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6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000" w:type="dxa"/>
            <w:vAlign w:val="bottom"/>
            <w:vMerge w:val="restart"/>
          </w:tcPr>
          <w:p>
            <w:pPr>
              <w:ind w:left="20"/>
              <w:spacing w:after="0" w:line="149" w:lineRule="exact"/>
              <w:rPr>
                <w:sz w:val="20"/>
                <w:szCs w:val="20"/>
                <w:color w:val="auto"/>
              </w:rPr>
            </w:pPr>
            <w:r>
              <w:rPr>
                <w:rFonts w:ascii="Calibri" w:cs="Calibri" w:eastAsia="Calibri" w:hAnsi="Calibri"/>
                <w:sz w:val="13"/>
                <w:szCs w:val="13"/>
                <w:color w:val="auto"/>
              </w:rPr>
              <w:t>analytcs</w:t>
            </w:r>
          </w:p>
        </w:tc>
        <w:tc>
          <w:tcPr>
            <w:tcW w:w="66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vMerge w:val="continue"/>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66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0" w:type="dxa"/>
            <w:vAlign w:val="bottom"/>
          </w:tcPr>
          <w:p>
            <w:pPr>
              <w:spacing w:after="0"/>
              <w:rPr>
                <w:sz w:val="1"/>
                <w:szCs w:val="1"/>
                <w:color w:val="auto"/>
              </w:rPr>
            </w:pPr>
          </w:p>
        </w:tc>
      </w:tr>
      <w:tr>
        <w:trPr>
          <w:trHeight w:val="65"/>
        </w:trPr>
        <w:tc>
          <w:tcPr>
            <w:tcW w:w="100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1000" w:type="dxa"/>
            <w:vAlign w:val="bottom"/>
          </w:tcPr>
          <w:p>
            <w:pPr>
              <w:ind w:left="20"/>
              <w:spacing w:after="0"/>
              <w:rPr>
                <w:sz w:val="20"/>
                <w:szCs w:val="20"/>
                <w:color w:val="auto"/>
              </w:rPr>
            </w:pPr>
            <w:r>
              <w:rPr>
                <w:rFonts w:ascii="Calibri" w:cs="Calibri" w:eastAsia="Calibri" w:hAnsi="Calibri"/>
                <w:sz w:val="13"/>
                <w:szCs w:val="13"/>
                <w:color w:val="auto"/>
              </w:rPr>
              <w:t>IT systems &amp;</w:t>
            </w:r>
          </w:p>
        </w:tc>
        <w:tc>
          <w:tcPr>
            <w:tcW w:w="66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shd w:val="clear" w:color="auto" w:fill="F2F2F2"/>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6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000" w:type="dxa"/>
            <w:vAlign w:val="bottom"/>
            <w:vMerge w:val="restart"/>
          </w:tcPr>
          <w:p>
            <w:pPr>
              <w:ind w:left="20"/>
              <w:spacing w:after="0" w:line="149" w:lineRule="exact"/>
              <w:rPr>
                <w:sz w:val="20"/>
                <w:szCs w:val="20"/>
                <w:color w:val="auto"/>
              </w:rPr>
            </w:pPr>
            <w:r>
              <w:rPr>
                <w:rFonts w:ascii="Calibri" w:cs="Calibri" w:eastAsia="Calibri" w:hAnsi="Calibri"/>
                <w:sz w:val="13"/>
                <w:szCs w:val="13"/>
                <w:color w:val="auto"/>
              </w:rPr>
              <w:t>cybersecurity</w:t>
            </w:r>
          </w:p>
        </w:tc>
        <w:tc>
          <w:tcPr>
            <w:tcW w:w="66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vMerge w:val="continue"/>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66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shd w:val="clear" w:color="auto" w:fill="F2F2F2"/>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0" w:type="dxa"/>
            <w:vAlign w:val="bottom"/>
          </w:tcPr>
          <w:p>
            <w:pPr>
              <w:spacing w:after="0"/>
              <w:rPr>
                <w:sz w:val="1"/>
                <w:szCs w:val="1"/>
                <w:color w:val="auto"/>
              </w:rPr>
            </w:pPr>
          </w:p>
        </w:tc>
      </w:tr>
      <w:tr>
        <w:trPr>
          <w:trHeight w:val="65"/>
        </w:trPr>
        <w:tc>
          <w:tcPr>
            <w:tcW w:w="100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shd w:val="clear" w:color="auto" w:fill="F2F2F2"/>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1000" w:type="dxa"/>
            <w:vAlign w:val="bottom"/>
          </w:tcPr>
          <w:p>
            <w:pPr>
              <w:ind w:left="20"/>
              <w:spacing w:after="0"/>
              <w:rPr>
                <w:sz w:val="20"/>
                <w:szCs w:val="20"/>
                <w:color w:val="auto"/>
              </w:rPr>
            </w:pPr>
            <w:r>
              <w:rPr>
                <w:rFonts w:ascii="Calibri" w:cs="Calibri" w:eastAsia="Calibri" w:hAnsi="Calibri"/>
                <w:sz w:val="13"/>
                <w:szCs w:val="13"/>
                <w:color w:val="auto"/>
              </w:rPr>
              <w:t>Talent</w:t>
            </w:r>
          </w:p>
        </w:tc>
        <w:tc>
          <w:tcPr>
            <w:tcW w:w="66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tcPr>
          <w:p>
            <w:pPr>
              <w:spacing w:after="0"/>
              <w:rPr>
                <w:sz w:val="16"/>
                <w:szCs w:val="16"/>
                <w:color w:val="auto"/>
              </w:rPr>
            </w:pPr>
          </w:p>
        </w:tc>
        <w:tc>
          <w:tcPr>
            <w:tcW w:w="66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color w:val="AF0000"/>
              </w:rPr>
              <w:t>●</w:t>
            </w:r>
          </w:p>
        </w:tc>
        <w:tc>
          <w:tcPr>
            <w:tcW w:w="800" w:type="dxa"/>
            <w:vAlign w:val="bottom"/>
            <w:shd w:val="clear" w:color="auto" w:fill="F2F2F2"/>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F0000"/>
              </w:rPr>
              <w:t>●</w:t>
            </w:r>
          </w:p>
        </w:tc>
        <w:tc>
          <w:tcPr>
            <w:tcW w:w="660" w:type="dxa"/>
            <w:vAlign w:val="bottom"/>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0"/>
              <w:spacing w:after="0" w:line="149" w:lineRule="exact"/>
              <w:rPr>
                <w:sz w:val="20"/>
                <w:szCs w:val="20"/>
                <w:color w:val="auto"/>
              </w:rPr>
            </w:pPr>
            <w:r>
              <w:rPr>
                <w:rFonts w:ascii="Calibri" w:cs="Calibri" w:eastAsia="Calibri" w:hAnsi="Calibri"/>
                <w:sz w:val="13"/>
                <w:szCs w:val="13"/>
                <w:color w:val="auto"/>
              </w:rPr>
              <w:t>management &amp;</w:t>
            </w:r>
          </w:p>
        </w:tc>
        <w:tc>
          <w:tcPr>
            <w:tcW w:w="660" w:type="dxa"/>
            <w:vAlign w:val="bottom"/>
            <w:vMerge w:val="continue"/>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shd w:val="clear" w:color="auto" w:fill="F2F2F2"/>
          </w:tcPr>
          <w:p>
            <w:pPr>
              <w:spacing w:after="0"/>
              <w:rPr>
                <w:sz w:val="12"/>
                <w:szCs w:val="12"/>
                <w:color w:val="auto"/>
              </w:rPr>
            </w:pPr>
          </w:p>
        </w:tc>
        <w:tc>
          <w:tcPr>
            <w:tcW w:w="660" w:type="dxa"/>
            <w:vAlign w:val="bottom"/>
            <w:vMerge w:val="continue"/>
          </w:tcPr>
          <w:p>
            <w:pPr>
              <w:spacing w:after="0"/>
              <w:rPr>
                <w:sz w:val="12"/>
                <w:szCs w:val="12"/>
                <w:color w:val="auto"/>
              </w:rPr>
            </w:pPr>
          </w:p>
        </w:tc>
        <w:tc>
          <w:tcPr>
            <w:tcW w:w="80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ind w:left="20"/>
              <w:spacing w:after="0" w:line="149" w:lineRule="exact"/>
              <w:rPr>
                <w:sz w:val="20"/>
                <w:szCs w:val="20"/>
                <w:color w:val="auto"/>
              </w:rPr>
            </w:pPr>
            <w:r>
              <w:rPr>
                <w:rFonts w:ascii="Calibri" w:cs="Calibri" w:eastAsia="Calibri" w:hAnsi="Calibri"/>
                <w:sz w:val="13"/>
                <w:szCs w:val="13"/>
                <w:color w:val="auto"/>
              </w:rPr>
              <w:t>compensaton</w:t>
            </w:r>
          </w:p>
        </w:tc>
        <w:tc>
          <w:tcPr>
            <w:tcW w:w="66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shd w:val="clear" w:color="auto" w:fill="F2F2F2"/>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000" w:type="dxa"/>
            <w:vAlign w:val="bottom"/>
            <w:tcBorders>
              <w:bottom w:val="single" w:sz="8" w:color="C00000"/>
            </w:tcBorders>
          </w:tcPr>
          <w:p>
            <w:pPr>
              <w:spacing w:after="0"/>
              <w:rPr>
                <w:sz w:val="6"/>
                <w:szCs w:val="6"/>
                <w:color w:val="auto"/>
              </w:rPr>
            </w:pPr>
          </w:p>
        </w:tc>
        <w:tc>
          <w:tcPr>
            <w:tcW w:w="660" w:type="dxa"/>
            <w:vAlign w:val="bottom"/>
            <w:tcBorders>
              <w:bottom w:val="single" w:sz="8" w:color="C00000"/>
            </w:tcBorders>
            <w:shd w:val="clear" w:color="auto" w:fill="F2F2F2"/>
          </w:tcPr>
          <w:p>
            <w:pPr>
              <w:spacing w:after="0"/>
              <w:rPr>
                <w:sz w:val="6"/>
                <w:szCs w:val="6"/>
                <w:color w:val="auto"/>
              </w:rPr>
            </w:pPr>
          </w:p>
        </w:tc>
        <w:tc>
          <w:tcPr>
            <w:tcW w:w="660" w:type="dxa"/>
            <w:vAlign w:val="bottom"/>
            <w:tcBorders>
              <w:bottom w:val="single" w:sz="8" w:color="C00000"/>
            </w:tcBorders>
          </w:tcPr>
          <w:p>
            <w:pPr>
              <w:spacing w:after="0"/>
              <w:rPr>
                <w:sz w:val="6"/>
                <w:szCs w:val="6"/>
                <w:color w:val="auto"/>
              </w:rPr>
            </w:pPr>
          </w:p>
        </w:tc>
        <w:tc>
          <w:tcPr>
            <w:tcW w:w="660" w:type="dxa"/>
            <w:vAlign w:val="bottom"/>
            <w:tcBorders>
              <w:bottom w:val="single" w:sz="8" w:color="C00000"/>
            </w:tcBorders>
            <w:shd w:val="clear" w:color="auto" w:fill="F2F2F2"/>
          </w:tcPr>
          <w:p>
            <w:pPr>
              <w:spacing w:after="0"/>
              <w:rPr>
                <w:sz w:val="6"/>
                <w:szCs w:val="6"/>
                <w:color w:val="auto"/>
              </w:rPr>
            </w:pPr>
          </w:p>
        </w:tc>
        <w:tc>
          <w:tcPr>
            <w:tcW w:w="660" w:type="dxa"/>
            <w:vAlign w:val="bottom"/>
            <w:tcBorders>
              <w:bottom w:val="single" w:sz="8" w:color="C00000"/>
            </w:tcBorders>
          </w:tcPr>
          <w:p>
            <w:pPr>
              <w:spacing w:after="0"/>
              <w:rPr>
                <w:sz w:val="6"/>
                <w:szCs w:val="6"/>
                <w:color w:val="auto"/>
              </w:rPr>
            </w:pPr>
          </w:p>
        </w:tc>
        <w:tc>
          <w:tcPr>
            <w:tcW w:w="680" w:type="dxa"/>
            <w:vAlign w:val="bottom"/>
            <w:tcBorders>
              <w:bottom w:val="single" w:sz="8" w:color="C00000"/>
            </w:tcBorders>
            <w:shd w:val="clear" w:color="auto" w:fill="F2F2F2"/>
          </w:tcPr>
          <w:p>
            <w:pPr>
              <w:spacing w:after="0"/>
              <w:rPr>
                <w:sz w:val="6"/>
                <w:szCs w:val="6"/>
                <w:color w:val="auto"/>
              </w:rPr>
            </w:pPr>
          </w:p>
        </w:tc>
        <w:tc>
          <w:tcPr>
            <w:tcW w:w="660" w:type="dxa"/>
            <w:vAlign w:val="bottom"/>
            <w:tcBorders>
              <w:bottom w:val="single" w:sz="8" w:color="C00000"/>
            </w:tcBorders>
          </w:tcPr>
          <w:p>
            <w:pPr>
              <w:spacing w:after="0"/>
              <w:rPr>
                <w:sz w:val="6"/>
                <w:szCs w:val="6"/>
                <w:color w:val="auto"/>
              </w:rPr>
            </w:pPr>
          </w:p>
        </w:tc>
        <w:tc>
          <w:tcPr>
            <w:tcW w:w="800" w:type="dxa"/>
            <w:vAlign w:val="bottom"/>
            <w:tcBorders>
              <w:bottom w:val="single" w:sz="8" w:color="C00000"/>
            </w:tcBorders>
            <w:shd w:val="clear" w:color="auto" w:fill="F2F2F2"/>
          </w:tcPr>
          <w:p>
            <w:pPr>
              <w:spacing w:after="0"/>
              <w:rPr>
                <w:sz w:val="6"/>
                <w:szCs w:val="6"/>
                <w:color w:val="auto"/>
              </w:rPr>
            </w:pPr>
          </w:p>
        </w:tc>
        <w:tc>
          <w:tcPr>
            <w:tcW w:w="660" w:type="dxa"/>
            <w:vAlign w:val="bottom"/>
            <w:tcBorders>
              <w:bottom w:val="single" w:sz="8" w:color="C00000"/>
            </w:tcBorders>
          </w:tcPr>
          <w:p>
            <w:pPr>
              <w:spacing w:after="0"/>
              <w:rPr>
                <w:sz w:val="6"/>
                <w:szCs w:val="6"/>
                <w:color w:val="auto"/>
              </w:rPr>
            </w:pPr>
          </w:p>
        </w:tc>
        <w:tc>
          <w:tcPr>
            <w:tcW w:w="800" w:type="dxa"/>
            <w:vAlign w:val="bottom"/>
            <w:tcBorders>
              <w:bottom w:val="single" w:sz="8" w:color="C00000"/>
            </w:tcBorders>
            <w:shd w:val="clear" w:color="auto" w:fill="F2F2F2"/>
          </w:tcPr>
          <w:p>
            <w:pPr>
              <w:spacing w:after="0"/>
              <w:rPr>
                <w:sz w:val="6"/>
                <w:szCs w:val="6"/>
                <w:color w:val="auto"/>
              </w:rPr>
            </w:pPr>
          </w:p>
        </w:tc>
        <w:tc>
          <w:tcPr>
            <w:tcW w:w="660" w:type="dxa"/>
            <w:vAlign w:val="bottom"/>
            <w:tcBorders>
              <w:bottom w:val="single" w:sz="8" w:color="C00000"/>
            </w:tcBorders>
          </w:tcPr>
          <w:p>
            <w:pPr>
              <w:spacing w:after="0"/>
              <w:rPr>
                <w:sz w:val="6"/>
                <w:szCs w:val="6"/>
                <w:color w:val="auto"/>
              </w:rPr>
            </w:pPr>
          </w:p>
        </w:tc>
        <w:tc>
          <w:tcPr>
            <w:tcW w:w="680" w:type="dxa"/>
            <w:vAlign w:val="bottom"/>
            <w:tcBorders>
              <w:bottom w:val="single" w:sz="8" w:color="C00000"/>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1" w:name="page22"/>
    <w:bookmarkEnd w:id="21"/>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CORPORATE GOVERNANCE AND RELATED MATTERS</w:t>
      </w:r>
    </w:p>
    <w:p>
      <w:pPr>
        <w:spacing w:after="0" w:line="131"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Board Diversity</w:t>
      </w:r>
    </w:p>
    <w:p>
      <w:pPr>
        <w:spacing w:after="0" w:line="177" w:lineRule="exact"/>
        <w:rPr>
          <w:sz w:val="20"/>
          <w:szCs w:val="20"/>
          <w:color w:val="auto"/>
        </w:rPr>
      </w:pPr>
    </w:p>
    <w:p>
      <w:pPr>
        <w:ind w:left="200" w:right="419"/>
        <w:spacing w:after="0" w:line="235" w:lineRule="auto"/>
        <w:rPr>
          <w:sz w:val="20"/>
          <w:szCs w:val="20"/>
          <w:color w:val="auto"/>
        </w:rPr>
      </w:pPr>
      <w:r>
        <w:rPr>
          <w:rFonts w:ascii="Calibri" w:cs="Calibri" w:eastAsia="Calibri" w:hAnsi="Calibri"/>
          <w:sz w:val="18"/>
          <w:szCs w:val="18"/>
          <w:color w:val="auto"/>
        </w:rPr>
        <w:t>The Company is commited to diversity and inclusion, and believes it is important that the Board is composed of individuals representng the diversity of our communites. The Governance Commitee seeks director nominees with a broad diversity of experience, professions, skills and backgrounds.</w:t>
      </w:r>
    </w:p>
    <w:p>
      <w:pPr>
        <w:spacing w:after="0" w:line="178" w:lineRule="exact"/>
        <w:rPr>
          <w:sz w:val="20"/>
          <w:szCs w:val="20"/>
          <w:color w:val="auto"/>
        </w:rPr>
      </w:pPr>
    </w:p>
    <w:p>
      <w:pPr>
        <w:ind w:left="200" w:right="699"/>
        <w:spacing w:after="0" w:line="235" w:lineRule="auto"/>
        <w:rPr>
          <w:sz w:val="20"/>
          <w:szCs w:val="20"/>
          <w:color w:val="auto"/>
        </w:rPr>
      </w:pPr>
      <w:r>
        <w:rPr>
          <w:rFonts w:ascii="Calibri" w:cs="Calibri" w:eastAsia="Calibri" w:hAnsi="Calibri"/>
          <w:sz w:val="18"/>
          <w:szCs w:val="18"/>
          <w:color w:val="auto"/>
        </w:rPr>
        <w:t>The table below reports self-identfed gender and demographic statstcs for the Board, as consttuted prior to the Annual Meetng, in the format required by the Nasdaq Marketplace Rules.</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F0000"/>
        </w:rPr>
        <w:t>Board Diversity Matrix</w:t>
      </w:r>
    </w:p>
    <w:p>
      <w:pPr>
        <w:jc w:val="center"/>
        <w:ind w:right="19"/>
        <w:spacing w:after="0" w:line="235" w:lineRule="auto"/>
        <w:rPr>
          <w:sz w:val="20"/>
          <w:szCs w:val="20"/>
          <w:color w:val="auto"/>
        </w:rPr>
      </w:pPr>
      <w:r>
        <w:rPr>
          <w:rFonts w:ascii="Calibri" w:cs="Calibri" w:eastAsia="Calibri" w:hAnsi="Calibri"/>
          <w:sz w:val="18"/>
          <w:szCs w:val="18"/>
          <w:b w:val="1"/>
          <w:bCs w:val="1"/>
          <w:color w:val="AF0000"/>
        </w:rPr>
        <w:t>(as of April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127000</wp:posOffset>
            </wp:positionV>
            <wp:extent cx="4457700" cy="30518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57700" cy="3051810"/>
                    </a:xfrm>
                    <a:prstGeom prst="rect">
                      <a:avLst/>
                    </a:prstGeom>
                    <a:noFill/>
                  </pic:spPr>
                </pic:pic>
              </a:graphicData>
            </a:graphic>
          </wp:anchor>
        </w:drawing>
      </w:r>
    </w:p>
    <w:p>
      <w:pPr>
        <w:spacing w:after="0" w:line="254" w:lineRule="exact"/>
        <w:rPr>
          <w:sz w:val="20"/>
          <w:szCs w:val="20"/>
          <w:color w:val="auto"/>
        </w:rPr>
      </w:pPr>
    </w:p>
    <w:p>
      <w:pPr>
        <w:ind w:left="1020"/>
        <w:spacing w:after="0"/>
        <w:rPr>
          <w:sz w:val="20"/>
          <w:szCs w:val="20"/>
          <w:color w:val="auto"/>
        </w:rPr>
      </w:pPr>
      <w:r>
        <w:rPr>
          <w:rFonts w:ascii="Calibri" w:cs="Calibri" w:eastAsia="Calibri" w:hAnsi="Calibri"/>
          <w:sz w:val="16"/>
          <w:szCs w:val="16"/>
          <w:b w:val="1"/>
          <w:bCs w:val="1"/>
          <w:color w:val="auto"/>
        </w:rPr>
        <w:t>Board Size</w:t>
      </w:r>
    </w:p>
    <w:p>
      <w:pPr>
        <w:spacing w:after="0" w:line="115"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3380" w:type="dxa"/>
            <w:vAlign w:val="bottom"/>
          </w:tcPr>
          <w:p>
            <w:pPr>
              <w:ind w:left="480"/>
              <w:spacing w:after="0"/>
              <w:rPr>
                <w:sz w:val="20"/>
                <w:szCs w:val="20"/>
                <w:color w:val="auto"/>
              </w:rPr>
            </w:pPr>
            <w:r>
              <w:rPr>
                <w:rFonts w:ascii="Calibri" w:cs="Calibri" w:eastAsia="Calibri" w:hAnsi="Calibri"/>
                <w:sz w:val="16"/>
                <w:szCs w:val="16"/>
                <w:color w:val="auto"/>
              </w:rPr>
              <w:t>Total Number of Directors</w:t>
            </w: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gridSpan w:val="2"/>
          </w:tcPr>
          <w:p>
            <w:pPr>
              <w:jc w:val="right"/>
              <w:ind w:right="739"/>
              <w:spacing w:after="0"/>
              <w:rPr>
                <w:sz w:val="20"/>
                <w:szCs w:val="20"/>
                <w:color w:val="auto"/>
              </w:rPr>
            </w:pPr>
            <w:r>
              <w:rPr>
                <w:rFonts w:ascii="Calibri" w:cs="Calibri" w:eastAsia="Calibri" w:hAnsi="Calibri"/>
                <w:sz w:val="16"/>
                <w:szCs w:val="16"/>
                <w:color w:val="auto"/>
              </w:rPr>
              <w:t>10</w:t>
            </w:r>
          </w:p>
        </w:tc>
        <w:tc>
          <w:tcPr>
            <w:tcW w:w="920" w:type="dxa"/>
            <w:vAlign w:val="bottom"/>
          </w:tcPr>
          <w:p>
            <w:pPr>
              <w:spacing w:after="0"/>
              <w:rPr>
                <w:sz w:val="16"/>
                <w:szCs w:val="16"/>
                <w:color w:val="auto"/>
              </w:rPr>
            </w:pPr>
          </w:p>
        </w:tc>
      </w:tr>
      <w:tr>
        <w:trPr>
          <w:trHeight w:val="75"/>
        </w:trPr>
        <w:tc>
          <w:tcPr>
            <w:tcW w:w="3380" w:type="dxa"/>
            <w:vAlign w:val="bottom"/>
            <w:tcBorders>
              <w:bottom w:val="single" w:sz="8" w:color="AF0000"/>
            </w:tcBorders>
          </w:tcPr>
          <w:p>
            <w:pPr>
              <w:spacing w:after="0"/>
              <w:rPr>
                <w:sz w:val="6"/>
                <w:szCs w:val="6"/>
                <w:color w:val="auto"/>
              </w:rPr>
            </w:pPr>
          </w:p>
        </w:tc>
        <w:tc>
          <w:tcPr>
            <w:tcW w:w="900" w:type="dxa"/>
            <w:vAlign w:val="bottom"/>
            <w:tcBorders>
              <w:bottom w:val="single" w:sz="8" w:color="AF0000"/>
            </w:tcBorders>
          </w:tcPr>
          <w:p>
            <w:pPr>
              <w:spacing w:after="0"/>
              <w:rPr>
                <w:sz w:val="6"/>
                <w:szCs w:val="6"/>
                <w:color w:val="auto"/>
              </w:rPr>
            </w:pPr>
          </w:p>
        </w:tc>
        <w:tc>
          <w:tcPr>
            <w:tcW w:w="740" w:type="dxa"/>
            <w:vAlign w:val="bottom"/>
            <w:tcBorders>
              <w:bottom w:val="single" w:sz="8" w:color="AF0000"/>
            </w:tcBorders>
          </w:tcPr>
          <w:p>
            <w:pPr>
              <w:spacing w:after="0"/>
              <w:rPr>
                <w:sz w:val="6"/>
                <w:szCs w:val="6"/>
                <w:color w:val="auto"/>
              </w:rPr>
            </w:pPr>
          </w:p>
        </w:tc>
        <w:tc>
          <w:tcPr>
            <w:tcW w:w="180" w:type="dxa"/>
            <w:vAlign w:val="bottom"/>
            <w:tcBorders>
              <w:bottom w:val="single" w:sz="8" w:color="AF0000"/>
            </w:tcBorders>
          </w:tcPr>
          <w:p>
            <w:pPr>
              <w:spacing w:after="0"/>
              <w:rPr>
                <w:sz w:val="6"/>
                <w:szCs w:val="6"/>
                <w:color w:val="auto"/>
              </w:rPr>
            </w:pPr>
          </w:p>
        </w:tc>
        <w:tc>
          <w:tcPr>
            <w:tcW w:w="900" w:type="dxa"/>
            <w:vAlign w:val="bottom"/>
            <w:tcBorders>
              <w:bottom w:val="single" w:sz="8" w:color="AF0000"/>
            </w:tcBorders>
          </w:tcPr>
          <w:p>
            <w:pPr>
              <w:spacing w:after="0"/>
              <w:rPr>
                <w:sz w:val="6"/>
                <w:szCs w:val="6"/>
                <w:color w:val="auto"/>
              </w:rPr>
            </w:pPr>
          </w:p>
        </w:tc>
        <w:tc>
          <w:tcPr>
            <w:tcW w:w="920" w:type="dxa"/>
            <w:vAlign w:val="bottom"/>
            <w:tcBorders>
              <w:bottom w:val="single" w:sz="8" w:color="AF0000"/>
            </w:tcBorders>
          </w:tcPr>
          <w:p>
            <w:pPr>
              <w:spacing w:after="0"/>
              <w:rPr>
                <w:sz w:val="6"/>
                <w:szCs w:val="6"/>
                <w:color w:val="auto"/>
              </w:rPr>
            </w:pPr>
          </w:p>
        </w:tc>
      </w:tr>
      <w:tr>
        <w:trPr>
          <w:trHeight w:val="229"/>
        </w:trPr>
        <w:tc>
          <w:tcPr>
            <w:tcW w:w="3380" w:type="dxa"/>
            <w:vAlign w:val="bottom"/>
          </w:tcPr>
          <w:p>
            <w:pPr>
              <w:spacing w:after="0"/>
              <w:rPr>
                <w:sz w:val="19"/>
                <w:szCs w:val="19"/>
                <w:color w:val="auto"/>
              </w:rPr>
            </w:pPr>
          </w:p>
        </w:tc>
        <w:tc>
          <w:tcPr>
            <w:tcW w:w="900" w:type="dxa"/>
            <w:vAlign w:val="bottom"/>
            <w:shd w:val="clear" w:color="auto" w:fill="F2F2F2"/>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shd w:val="clear" w:color="auto" w:fill="F2F2F2"/>
          </w:tcPr>
          <w:p>
            <w:pPr>
              <w:spacing w:after="0"/>
              <w:rPr>
                <w:sz w:val="19"/>
                <w:szCs w:val="19"/>
                <w:color w:val="auto"/>
              </w:rPr>
            </w:pPr>
          </w:p>
        </w:tc>
        <w:tc>
          <w:tcPr>
            <w:tcW w:w="920" w:type="dxa"/>
            <w:vAlign w:val="bottom"/>
          </w:tcPr>
          <w:p>
            <w:pPr>
              <w:jc w:val="center"/>
              <w:spacing w:after="0"/>
              <w:rPr>
                <w:sz w:val="20"/>
                <w:szCs w:val="20"/>
                <w:color w:val="auto"/>
              </w:rPr>
            </w:pPr>
            <w:r>
              <w:rPr>
                <w:rFonts w:ascii="Calibri" w:cs="Calibri" w:eastAsia="Calibri" w:hAnsi="Calibri"/>
                <w:sz w:val="16"/>
                <w:szCs w:val="16"/>
                <w:b w:val="1"/>
                <w:bCs w:val="1"/>
                <w:color w:val="auto"/>
              </w:rPr>
              <w:t>Did Not</w:t>
            </w:r>
          </w:p>
        </w:tc>
      </w:tr>
      <w:tr>
        <w:trPr>
          <w:trHeight w:val="198"/>
        </w:trPr>
        <w:tc>
          <w:tcPr>
            <w:tcW w:w="3380" w:type="dxa"/>
            <w:vAlign w:val="bottom"/>
          </w:tcPr>
          <w:p>
            <w:pPr>
              <w:spacing w:after="0"/>
              <w:rPr>
                <w:sz w:val="17"/>
                <w:szCs w:val="17"/>
                <w:color w:val="auto"/>
              </w:rPr>
            </w:pPr>
          </w:p>
        </w:tc>
        <w:tc>
          <w:tcPr>
            <w:tcW w:w="900" w:type="dxa"/>
            <w:vAlign w:val="bottom"/>
            <w:shd w:val="clear" w:color="auto" w:fill="F2F2F2"/>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shd w:val="clear" w:color="auto" w:fill="F2F2F2"/>
          </w:tcPr>
          <w:p>
            <w:pPr>
              <w:spacing w:after="0"/>
              <w:rPr>
                <w:sz w:val="17"/>
                <w:szCs w:val="17"/>
                <w:color w:val="auto"/>
              </w:rPr>
            </w:pPr>
          </w:p>
        </w:tc>
        <w:tc>
          <w:tcPr>
            <w:tcW w:w="92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Disclose</w:t>
            </w:r>
          </w:p>
        </w:tc>
      </w:tr>
      <w:tr>
        <w:trPr>
          <w:trHeight w:val="193"/>
        </w:trPr>
        <w:tc>
          <w:tcPr>
            <w:tcW w:w="3380" w:type="dxa"/>
            <w:vAlign w:val="bottom"/>
          </w:tcPr>
          <w:p>
            <w:pPr>
              <w:spacing w:after="0"/>
              <w:rPr>
                <w:sz w:val="16"/>
                <w:szCs w:val="16"/>
                <w:color w:val="auto"/>
              </w:rPr>
            </w:pPr>
          </w:p>
        </w:tc>
        <w:tc>
          <w:tcPr>
            <w:tcW w:w="900" w:type="dxa"/>
            <w:vAlign w:val="bottom"/>
            <w:shd w:val="clear" w:color="auto" w:fill="F2F2F2"/>
          </w:tcPr>
          <w:p>
            <w:pPr>
              <w:ind w:left="220"/>
              <w:spacing w:after="0" w:line="193" w:lineRule="exact"/>
              <w:rPr>
                <w:sz w:val="20"/>
                <w:szCs w:val="20"/>
                <w:color w:val="auto"/>
              </w:rPr>
            </w:pPr>
            <w:r>
              <w:rPr>
                <w:rFonts w:ascii="Calibri" w:cs="Calibri" w:eastAsia="Calibri" w:hAnsi="Calibri"/>
                <w:sz w:val="16"/>
                <w:szCs w:val="16"/>
                <w:b w:val="1"/>
                <w:bCs w:val="1"/>
                <w:color w:val="auto"/>
              </w:rPr>
              <w:t>Female</w:t>
            </w:r>
          </w:p>
        </w:tc>
        <w:tc>
          <w:tcPr>
            <w:tcW w:w="740" w:type="dxa"/>
            <w:vAlign w:val="bottom"/>
          </w:tcPr>
          <w:p>
            <w:pPr>
              <w:ind w:left="280"/>
              <w:spacing w:after="0" w:line="193" w:lineRule="exact"/>
              <w:rPr>
                <w:sz w:val="20"/>
                <w:szCs w:val="20"/>
                <w:color w:val="auto"/>
              </w:rPr>
            </w:pPr>
            <w:r>
              <w:rPr>
                <w:rFonts w:ascii="Calibri" w:cs="Calibri" w:eastAsia="Calibri" w:hAnsi="Calibri"/>
                <w:sz w:val="16"/>
                <w:szCs w:val="16"/>
                <w:b w:val="1"/>
                <w:bCs w:val="1"/>
                <w:color w:val="auto"/>
              </w:rPr>
              <w:t>Male</w:t>
            </w:r>
          </w:p>
        </w:tc>
        <w:tc>
          <w:tcPr>
            <w:tcW w:w="180" w:type="dxa"/>
            <w:vAlign w:val="bottom"/>
          </w:tcPr>
          <w:p>
            <w:pPr>
              <w:spacing w:after="0"/>
              <w:rPr>
                <w:sz w:val="16"/>
                <w:szCs w:val="16"/>
                <w:color w:val="auto"/>
              </w:rPr>
            </w:pPr>
          </w:p>
        </w:tc>
        <w:tc>
          <w:tcPr>
            <w:tcW w:w="900" w:type="dxa"/>
            <w:vAlign w:val="bottom"/>
            <w:shd w:val="clear" w:color="auto" w:fill="F2F2F2"/>
          </w:tcPr>
          <w:p>
            <w:pPr>
              <w:jc w:val="center"/>
              <w:spacing w:after="0" w:line="193" w:lineRule="exact"/>
              <w:rPr>
                <w:sz w:val="20"/>
                <w:szCs w:val="20"/>
                <w:color w:val="auto"/>
              </w:rPr>
            </w:pPr>
            <w:r>
              <w:rPr>
                <w:rFonts w:ascii="Calibri" w:cs="Calibri" w:eastAsia="Calibri" w:hAnsi="Calibri"/>
                <w:sz w:val="16"/>
                <w:szCs w:val="16"/>
                <w:b w:val="1"/>
                <w:bCs w:val="1"/>
                <w:color w:val="auto"/>
              </w:rPr>
              <w:t>Non-Binary</w:t>
            </w:r>
          </w:p>
        </w:tc>
        <w:tc>
          <w:tcPr>
            <w:tcW w:w="92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Gender</w:t>
            </w:r>
          </w:p>
        </w:tc>
      </w:tr>
      <w:tr>
        <w:trPr>
          <w:trHeight w:val="75"/>
        </w:trPr>
        <w:tc>
          <w:tcPr>
            <w:tcW w:w="3380" w:type="dxa"/>
            <w:vAlign w:val="bottom"/>
            <w:tcBorders>
              <w:bottom w:val="single" w:sz="8" w:color="AF0000"/>
            </w:tcBorders>
          </w:tcPr>
          <w:p>
            <w:pPr>
              <w:spacing w:after="0"/>
              <w:rPr>
                <w:sz w:val="6"/>
                <w:szCs w:val="6"/>
                <w:color w:val="auto"/>
              </w:rPr>
            </w:pPr>
          </w:p>
        </w:tc>
        <w:tc>
          <w:tcPr>
            <w:tcW w:w="900" w:type="dxa"/>
            <w:vAlign w:val="bottom"/>
            <w:tcBorders>
              <w:bottom w:val="single" w:sz="8" w:color="AF0000"/>
            </w:tcBorders>
            <w:shd w:val="clear" w:color="auto" w:fill="F2F2F2"/>
          </w:tcPr>
          <w:p>
            <w:pPr>
              <w:spacing w:after="0"/>
              <w:rPr>
                <w:sz w:val="6"/>
                <w:szCs w:val="6"/>
                <w:color w:val="auto"/>
              </w:rPr>
            </w:pPr>
          </w:p>
        </w:tc>
        <w:tc>
          <w:tcPr>
            <w:tcW w:w="740" w:type="dxa"/>
            <w:vAlign w:val="bottom"/>
            <w:tcBorders>
              <w:bottom w:val="single" w:sz="8" w:color="AF0000"/>
            </w:tcBorders>
          </w:tcPr>
          <w:p>
            <w:pPr>
              <w:spacing w:after="0"/>
              <w:rPr>
                <w:sz w:val="6"/>
                <w:szCs w:val="6"/>
                <w:color w:val="auto"/>
              </w:rPr>
            </w:pPr>
          </w:p>
        </w:tc>
        <w:tc>
          <w:tcPr>
            <w:tcW w:w="180" w:type="dxa"/>
            <w:vAlign w:val="bottom"/>
            <w:tcBorders>
              <w:bottom w:val="single" w:sz="8" w:color="AF0000"/>
            </w:tcBorders>
          </w:tcPr>
          <w:p>
            <w:pPr>
              <w:spacing w:after="0"/>
              <w:rPr>
                <w:sz w:val="6"/>
                <w:szCs w:val="6"/>
                <w:color w:val="auto"/>
              </w:rPr>
            </w:pPr>
          </w:p>
        </w:tc>
        <w:tc>
          <w:tcPr>
            <w:tcW w:w="900" w:type="dxa"/>
            <w:vAlign w:val="bottom"/>
            <w:tcBorders>
              <w:bottom w:val="single" w:sz="8" w:color="AF0000"/>
            </w:tcBorders>
            <w:shd w:val="clear" w:color="auto" w:fill="F2F2F2"/>
          </w:tcPr>
          <w:p>
            <w:pPr>
              <w:spacing w:after="0"/>
              <w:rPr>
                <w:sz w:val="6"/>
                <w:szCs w:val="6"/>
                <w:color w:val="auto"/>
              </w:rPr>
            </w:pPr>
          </w:p>
        </w:tc>
        <w:tc>
          <w:tcPr>
            <w:tcW w:w="920" w:type="dxa"/>
            <w:vAlign w:val="bottom"/>
            <w:tcBorders>
              <w:bottom w:val="single" w:sz="8" w:color="AF0000"/>
            </w:tcBorders>
          </w:tcPr>
          <w:p>
            <w:pPr>
              <w:spacing w:after="0"/>
              <w:rPr>
                <w:sz w:val="6"/>
                <w:szCs w:val="6"/>
                <w:color w:val="auto"/>
              </w:rPr>
            </w:pPr>
          </w:p>
        </w:tc>
      </w:tr>
      <w:tr>
        <w:trPr>
          <w:trHeight w:val="229"/>
        </w:trPr>
        <w:tc>
          <w:tcPr>
            <w:tcW w:w="3380" w:type="dxa"/>
            <w:vAlign w:val="bottom"/>
          </w:tcPr>
          <w:p>
            <w:pPr>
              <w:ind w:left="20"/>
              <w:spacing w:after="0"/>
              <w:rPr>
                <w:sz w:val="20"/>
                <w:szCs w:val="20"/>
                <w:color w:val="auto"/>
              </w:rPr>
            </w:pPr>
            <w:r>
              <w:rPr>
                <w:rFonts w:ascii="Calibri" w:cs="Calibri" w:eastAsia="Calibri" w:hAnsi="Calibri"/>
                <w:sz w:val="16"/>
                <w:szCs w:val="16"/>
                <w:b w:val="1"/>
                <w:bCs w:val="1"/>
                <w:color w:val="auto"/>
              </w:rPr>
              <w:t>Part I: Gender Identty</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68"/>
        </w:trPr>
        <w:tc>
          <w:tcPr>
            <w:tcW w:w="33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80" w:type="dxa"/>
            <w:vAlign w:val="bottom"/>
            <w:tcBorders>
              <w:bottom w:val="single" w:sz="8" w:color="A6A6A6"/>
            </w:tcBorders>
            <w:gridSpan w:val="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r>
      <w:tr>
        <w:trPr>
          <w:trHeight w:val="223"/>
        </w:trPr>
        <w:tc>
          <w:tcPr>
            <w:tcW w:w="3380" w:type="dxa"/>
            <w:vAlign w:val="bottom"/>
          </w:tcPr>
          <w:p>
            <w:pPr>
              <w:ind w:left="480"/>
              <w:spacing w:after="0"/>
              <w:rPr>
                <w:sz w:val="20"/>
                <w:szCs w:val="20"/>
                <w:color w:val="auto"/>
              </w:rPr>
            </w:pPr>
            <w:r>
              <w:rPr>
                <w:rFonts w:ascii="Calibri" w:cs="Calibri" w:eastAsia="Calibri" w:hAnsi="Calibri"/>
                <w:sz w:val="16"/>
                <w:szCs w:val="16"/>
                <w:color w:val="auto"/>
              </w:rPr>
              <w:t>Directors</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w w:val="97"/>
              </w:rPr>
              <w:t>3</w:t>
            </w:r>
          </w:p>
        </w:tc>
        <w:tc>
          <w:tcPr>
            <w:tcW w:w="740" w:type="dxa"/>
            <w:vAlign w:val="bottom"/>
          </w:tcPr>
          <w:p>
            <w:pPr>
              <w:jc w:val="center"/>
              <w:ind w:left="99"/>
              <w:spacing w:after="0"/>
              <w:rPr>
                <w:sz w:val="20"/>
                <w:szCs w:val="20"/>
                <w:color w:val="auto"/>
              </w:rPr>
            </w:pPr>
            <w:r>
              <w:rPr>
                <w:rFonts w:ascii="Calibri" w:cs="Calibri" w:eastAsia="Calibri" w:hAnsi="Calibri"/>
                <w:sz w:val="16"/>
                <w:szCs w:val="16"/>
                <w:color w:val="auto"/>
                <w:w w:val="97"/>
              </w:rPr>
              <w:t>7</w:t>
            </w:r>
          </w:p>
        </w:tc>
        <w:tc>
          <w:tcPr>
            <w:tcW w:w="180" w:type="dxa"/>
            <w:vAlign w:val="bottom"/>
          </w:tcPr>
          <w:p>
            <w:pPr>
              <w:spacing w:after="0"/>
              <w:rPr>
                <w:sz w:val="19"/>
                <w:szCs w:val="19"/>
                <w:color w:val="auto"/>
              </w:rPr>
            </w:pP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w w:val="80"/>
              </w:rPr>
              <w:t>-</w:t>
            </w:r>
          </w:p>
        </w:tc>
        <w:tc>
          <w:tcPr>
            <w:tcW w:w="920" w:type="dxa"/>
            <w:vAlign w:val="bottom"/>
          </w:tcPr>
          <w:p>
            <w:pPr>
              <w:jc w:val="center"/>
              <w:spacing w:after="0"/>
              <w:rPr>
                <w:sz w:val="20"/>
                <w:szCs w:val="20"/>
                <w:color w:val="auto"/>
              </w:rPr>
            </w:pPr>
            <w:r>
              <w:rPr>
                <w:rFonts w:ascii="Calibri" w:cs="Calibri" w:eastAsia="Calibri" w:hAnsi="Calibri"/>
                <w:sz w:val="16"/>
                <w:szCs w:val="16"/>
                <w:color w:val="auto"/>
                <w:w w:val="80"/>
              </w:rPr>
              <w:t>-</w:t>
            </w:r>
          </w:p>
        </w:tc>
      </w:tr>
      <w:tr>
        <w:trPr>
          <w:trHeight w:val="68"/>
        </w:trPr>
        <w:tc>
          <w:tcPr>
            <w:tcW w:w="33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r>
      <w:tr>
        <w:trPr>
          <w:trHeight w:val="223"/>
        </w:trPr>
        <w:tc>
          <w:tcPr>
            <w:tcW w:w="3380" w:type="dxa"/>
            <w:vAlign w:val="bottom"/>
          </w:tcPr>
          <w:p>
            <w:pPr>
              <w:ind w:left="20"/>
              <w:spacing w:after="0"/>
              <w:rPr>
                <w:sz w:val="20"/>
                <w:szCs w:val="20"/>
                <w:color w:val="auto"/>
              </w:rPr>
            </w:pPr>
            <w:r>
              <w:rPr>
                <w:rFonts w:ascii="Calibri" w:cs="Calibri" w:eastAsia="Calibri" w:hAnsi="Calibri"/>
                <w:sz w:val="16"/>
                <w:szCs w:val="16"/>
                <w:b w:val="1"/>
                <w:bCs w:val="1"/>
                <w:color w:val="auto"/>
              </w:rPr>
              <w:t>Part II: Demographic Background</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68"/>
        </w:trPr>
        <w:tc>
          <w:tcPr>
            <w:tcW w:w="33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80" w:type="dxa"/>
            <w:vAlign w:val="bottom"/>
            <w:tcBorders>
              <w:bottom w:val="single" w:sz="8" w:color="A6A6A6"/>
            </w:tcBorders>
            <w:gridSpan w:val="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r>
      <w:tr>
        <w:trPr>
          <w:trHeight w:val="223"/>
        </w:trPr>
        <w:tc>
          <w:tcPr>
            <w:tcW w:w="3380" w:type="dxa"/>
            <w:vAlign w:val="bottom"/>
          </w:tcPr>
          <w:p>
            <w:pPr>
              <w:ind w:left="480"/>
              <w:spacing w:after="0"/>
              <w:rPr>
                <w:sz w:val="20"/>
                <w:szCs w:val="20"/>
                <w:color w:val="auto"/>
              </w:rPr>
            </w:pPr>
            <w:r>
              <w:rPr>
                <w:rFonts w:ascii="Calibri" w:cs="Calibri" w:eastAsia="Calibri" w:hAnsi="Calibri"/>
                <w:sz w:val="16"/>
                <w:szCs w:val="16"/>
                <w:color w:val="auto"/>
              </w:rPr>
              <w:t>African American/Black</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rPr>
              <w:t>-</w:t>
            </w:r>
          </w:p>
        </w:tc>
        <w:tc>
          <w:tcPr>
            <w:tcW w:w="740" w:type="dxa"/>
            <w:vAlign w:val="bottom"/>
          </w:tcPr>
          <w:p>
            <w:pPr>
              <w:jc w:val="center"/>
              <w:ind w:left="99"/>
              <w:spacing w:after="0"/>
              <w:rPr>
                <w:sz w:val="20"/>
                <w:szCs w:val="20"/>
                <w:color w:val="auto"/>
              </w:rPr>
            </w:pPr>
            <w:r>
              <w:rPr>
                <w:rFonts w:ascii="Calibri" w:cs="Calibri" w:eastAsia="Calibri" w:hAnsi="Calibri"/>
                <w:sz w:val="16"/>
                <w:szCs w:val="16"/>
                <w:color w:val="auto"/>
                <w:w w:val="97"/>
              </w:rPr>
              <w:t>1</w:t>
            </w:r>
          </w:p>
        </w:tc>
        <w:tc>
          <w:tcPr>
            <w:tcW w:w="180" w:type="dxa"/>
            <w:vAlign w:val="bottom"/>
          </w:tcPr>
          <w:p>
            <w:pPr>
              <w:spacing w:after="0"/>
              <w:rPr>
                <w:sz w:val="19"/>
                <w:szCs w:val="19"/>
                <w:color w:val="auto"/>
              </w:rPr>
            </w:pP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w w:val="80"/>
              </w:rPr>
              <w:t>-</w:t>
            </w:r>
          </w:p>
        </w:tc>
        <w:tc>
          <w:tcPr>
            <w:tcW w:w="920" w:type="dxa"/>
            <w:vAlign w:val="bottom"/>
          </w:tcPr>
          <w:p>
            <w:pPr>
              <w:jc w:val="center"/>
              <w:spacing w:after="0"/>
              <w:rPr>
                <w:sz w:val="20"/>
                <w:szCs w:val="20"/>
                <w:color w:val="auto"/>
              </w:rPr>
            </w:pPr>
            <w:r>
              <w:rPr>
                <w:rFonts w:ascii="Calibri" w:cs="Calibri" w:eastAsia="Calibri" w:hAnsi="Calibri"/>
                <w:sz w:val="16"/>
                <w:szCs w:val="16"/>
                <w:color w:val="auto"/>
                <w:w w:val="80"/>
              </w:rPr>
              <w:t>-</w:t>
            </w:r>
          </w:p>
        </w:tc>
      </w:tr>
      <w:tr>
        <w:trPr>
          <w:trHeight w:val="68"/>
        </w:trPr>
        <w:tc>
          <w:tcPr>
            <w:tcW w:w="33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r>
      <w:tr>
        <w:trPr>
          <w:trHeight w:val="223"/>
        </w:trPr>
        <w:tc>
          <w:tcPr>
            <w:tcW w:w="3380" w:type="dxa"/>
            <w:vAlign w:val="bottom"/>
          </w:tcPr>
          <w:p>
            <w:pPr>
              <w:ind w:left="480"/>
              <w:spacing w:after="0"/>
              <w:rPr>
                <w:sz w:val="20"/>
                <w:szCs w:val="20"/>
                <w:color w:val="auto"/>
              </w:rPr>
            </w:pPr>
            <w:r>
              <w:rPr>
                <w:rFonts w:ascii="Calibri" w:cs="Calibri" w:eastAsia="Calibri" w:hAnsi="Calibri"/>
                <w:sz w:val="16"/>
                <w:szCs w:val="16"/>
                <w:color w:val="auto"/>
              </w:rPr>
              <w:t>Alaskan Natve or Natve American</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rPr>
              <w:t>-</w:t>
            </w:r>
          </w:p>
        </w:tc>
        <w:tc>
          <w:tcPr>
            <w:tcW w:w="740" w:type="dxa"/>
            <w:vAlign w:val="bottom"/>
          </w:tcPr>
          <w:p>
            <w:pPr>
              <w:jc w:val="center"/>
              <w:ind w:left="99"/>
              <w:spacing w:after="0"/>
              <w:rPr>
                <w:sz w:val="20"/>
                <w:szCs w:val="20"/>
                <w:color w:val="auto"/>
              </w:rPr>
            </w:pPr>
            <w:r>
              <w:rPr>
                <w:rFonts w:ascii="Calibri" w:cs="Calibri" w:eastAsia="Calibri" w:hAnsi="Calibri"/>
                <w:sz w:val="16"/>
                <w:szCs w:val="16"/>
                <w:color w:val="auto"/>
                <w:w w:val="80"/>
              </w:rPr>
              <w:t>-</w:t>
            </w:r>
          </w:p>
        </w:tc>
        <w:tc>
          <w:tcPr>
            <w:tcW w:w="180" w:type="dxa"/>
            <w:vAlign w:val="bottom"/>
          </w:tcPr>
          <w:p>
            <w:pPr>
              <w:spacing w:after="0"/>
              <w:rPr>
                <w:sz w:val="19"/>
                <w:szCs w:val="19"/>
                <w:color w:val="auto"/>
              </w:rPr>
            </w:pP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w w:val="80"/>
              </w:rPr>
              <w:t>-</w:t>
            </w:r>
          </w:p>
        </w:tc>
        <w:tc>
          <w:tcPr>
            <w:tcW w:w="920" w:type="dxa"/>
            <w:vAlign w:val="bottom"/>
          </w:tcPr>
          <w:p>
            <w:pPr>
              <w:jc w:val="center"/>
              <w:spacing w:after="0"/>
              <w:rPr>
                <w:sz w:val="20"/>
                <w:szCs w:val="20"/>
                <w:color w:val="auto"/>
              </w:rPr>
            </w:pPr>
            <w:r>
              <w:rPr>
                <w:rFonts w:ascii="Calibri" w:cs="Calibri" w:eastAsia="Calibri" w:hAnsi="Calibri"/>
                <w:sz w:val="16"/>
                <w:szCs w:val="16"/>
                <w:color w:val="auto"/>
                <w:w w:val="80"/>
              </w:rPr>
              <w:t>-</w:t>
            </w:r>
          </w:p>
        </w:tc>
      </w:tr>
      <w:tr>
        <w:trPr>
          <w:trHeight w:val="68"/>
        </w:trPr>
        <w:tc>
          <w:tcPr>
            <w:tcW w:w="33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r>
      <w:tr>
        <w:trPr>
          <w:trHeight w:val="223"/>
        </w:trPr>
        <w:tc>
          <w:tcPr>
            <w:tcW w:w="3380" w:type="dxa"/>
            <w:vAlign w:val="bottom"/>
          </w:tcPr>
          <w:p>
            <w:pPr>
              <w:ind w:left="480"/>
              <w:spacing w:after="0"/>
              <w:rPr>
                <w:sz w:val="20"/>
                <w:szCs w:val="20"/>
                <w:color w:val="auto"/>
              </w:rPr>
            </w:pPr>
            <w:r>
              <w:rPr>
                <w:rFonts w:ascii="Calibri" w:cs="Calibri" w:eastAsia="Calibri" w:hAnsi="Calibri"/>
                <w:sz w:val="16"/>
                <w:szCs w:val="16"/>
                <w:color w:val="auto"/>
              </w:rPr>
              <w:t>Asian</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w w:val="97"/>
              </w:rPr>
              <w:t>1</w:t>
            </w:r>
          </w:p>
        </w:tc>
        <w:tc>
          <w:tcPr>
            <w:tcW w:w="740" w:type="dxa"/>
            <w:vAlign w:val="bottom"/>
          </w:tcPr>
          <w:p>
            <w:pPr>
              <w:jc w:val="center"/>
              <w:ind w:left="99"/>
              <w:spacing w:after="0"/>
              <w:rPr>
                <w:sz w:val="20"/>
                <w:szCs w:val="20"/>
                <w:color w:val="auto"/>
              </w:rPr>
            </w:pPr>
            <w:r>
              <w:rPr>
                <w:rFonts w:ascii="Calibri" w:cs="Calibri" w:eastAsia="Calibri" w:hAnsi="Calibri"/>
                <w:sz w:val="16"/>
                <w:szCs w:val="16"/>
                <w:color w:val="auto"/>
                <w:w w:val="80"/>
              </w:rPr>
              <w:t>-</w:t>
            </w:r>
          </w:p>
        </w:tc>
        <w:tc>
          <w:tcPr>
            <w:tcW w:w="180" w:type="dxa"/>
            <w:vAlign w:val="bottom"/>
          </w:tcPr>
          <w:p>
            <w:pPr>
              <w:spacing w:after="0"/>
              <w:rPr>
                <w:sz w:val="19"/>
                <w:szCs w:val="19"/>
                <w:color w:val="auto"/>
              </w:rPr>
            </w:pP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w w:val="80"/>
              </w:rPr>
              <w:t>-</w:t>
            </w:r>
          </w:p>
        </w:tc>
        <w:tc>
          <w:tcPr>
            <w:tcW w:w="920" w:type="dxa"/>
            <w:vAlign w:val="bottom"/>
          </w:tcPr>
          <w:p>
            <w:pPr>
              <w:jc w:val="center"/>
              <w:spacing w:after="0"/>
              <w:rPr>
                <w:sz w:val="20"/>
                <w:szCs w:val="20"/>
                <w:color w:val="auto"/>
              </w:rPr>
            </w:pPr>
            <w:r>
              <w:rPr>
                <w:rFonts w:ascii="Calibri" w:cs="Calibri" w:eastAsia="Calibri" w:hAnsi="Calibri"/>
                <w:sz w:val="16"/>
                <w:szCs w:val="16"/>
                <w:color w:val="auto"/>
                <w:w w:val="80"/>
              </w:rPr>
              <w:t>-</w:t>
            </w:r>
          </w:p>
        </w:tc>
      </w:tr>
      <w:tr>
        <w:trPr>
          <w:trHeight w:val="68"/>
        </w:trPr>
        <w:tc>
          <w:tcPr>
            <w:tcW w:w="33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r>
      <w:tr>
        <w:trPr>
          <w:trHeight w:val="223"/>
        </w:trPr>
        <w:tc>
          <w:tcPr>
            <w:tcW w:w="3380" w:type="dxa"/>
            <w:vAlign w:val="bottom"/>
          </w:tcPr>
          <w:p>
            <w:pPr>
              <w:ind w:left="480"/>
              <w:spacing w:after="0"/>
              <w:rPr>
                <w:sz w:val="20"/>
                <w:szCs w:val="20"/>
                <w:color w:val="auto"/>
              </w:rPr>
            </w:pPr>
            <w:r>
              <w:rPr>
                <w:rFonts w:ascii="Calibri" w:cs="Calibri" w:eastAsia="Calibri" w:hAnsi="Calibri"/>
                <w:sz w:val="16"/>
                <w:szCs w:val="16"/>
                <w:color w:val="auto"/>
              </w:rPr>
              <w:t>Hispanic or Latnx</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rPr>
              <w:t>-</w:t>
            </w:r>
          </w:p>
        </w:tc>
        <w:tc>
          <w:tcPr>
            <w:tcW w:w="740" w:type="dxa"/>
            <w:vAlign w:val="bottom"/>
          </w:tcPr>
          <w:p>
            <w:pPr>
              <w:jc w:val="center"/>
              <w:ind w:left="99"/>
              <w:spacing w:after="0"/>
              <w:rPr>
                <w:sz w:val="20"/>
                <w:szCs w:val="20"/>
                <w:color w:val="auto"/>
              </w:rPr>
            </w:pPr>
            <w:r>
              <w:rPr>
                <w:rFonts w:ascii="Calibri" w:cs="Calibri" w:eastAsia="Calibri" w:hAnsi="Calibri"/>
                <w:sz w:val="16"/>
                <w:szCs w:val="16"/>
                <w:color w:val="auto"/>
                <w:w w:val="80"/>
              </w:rPr>
              <w:t>-</w:t>
            </w:r>
          </w:p>
        </w:tc>
        <w:tc>
          <w:tcPr>
            <w:tcW w:w="180" w:type="dxa"/>
            <w:vAlign w:val="bottom"/>
          </w:tcPr>
          <w:p>
            <w:pPr>
              <w:spacing w:after="0"/>
              <w:rPr>
                <w:sz w:val="19"/>
                <w:szCs w:val="19"/>
                <w:color w:val="auto"/>
              </w:rPr>
            </w:pP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w w:val="80"/>
              </w:rPr>
              <w:t>-</w:t>
            </w:r>
          </w:p>
        </w:tc>
        <w:tc>
          <w:tcPr>
            <w:tcW w:w="920" w:type="dxa"/>
            <w:vAlign w:val="bottom"/>
          </w:tcPr>
          <w:p>
            <w:pPr>
              <w:jc w:val="center"/>
              <w:spacing w:after="0"/>
              <w:rPr>
                <w:sz w:val="20"/>
                <w:szCs w:val="20"/>
                <w:color w:val="auto"/>
              </w:rPr>
            </w:pPr>
            <w:r>
              <w:rPr>
                <w:rFonts w:ascii="Calibri" w:cs="Calibri" w:eastAsia="Calibri" w:hAnsi="Calibri"/>
                <w:sz w:val="16"/>
                <w:szCs w:val="16"/>
                <w:color w:val="auto"/>
                <w:w w:val="80"/>
              </w:rPr>
              <w:t>-</w:t>
            </w:r>
          </w:p>
        </w:tc>
      </w:tr>
      <w:tr>
        <w:trPr>
          <w:trHeight w:val="68"/>
        </w:trPr>
        <w:tc>
          <w:tcPr>
            <w:tcW w:w="33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r>
      <w:tr>
        <w:trPr>
          <w:trHeight w:val="223"/>
        </w:trPr>
        <w:tc>
          <w:tcPr>
            <w:tcW w:w="3380" w:type="dxa"/>
            <w:vAlign w:val="bottom"/>
          </w:tcPr>
          <w:p>
            <w:pPr>
              <w:ind w:left="480"/>
              <w:spacing w:after="0"/>
              <w:rPr>
                <w:sz w:val="20"/>
                <w:szCs w:val="20"/>
                <w:color w:val="auto"/>
              </w:rPr>
            </w:pPr>
            <w:r>
              <w:rPr>
                <w:rFonts w:ascii="Calibri" w:cs="Calibri" w:eastAsia="Calibri" w:hAnsi="Calibri"/>
                <w:sz w:val="16"/>
                <w:szCs w:val="16"/>
                <w:color w:val="auto"/>
              </w:rPr>
              <w:t>Natve Hawaiian or Pacifc Islander</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rPr>
              <w:t>-</w:t>
            </w:r>
          </w:p>
        </w:tc>
        <w:tc>
          <w:tcPr>
            <w:tcW w:w="740" w:type="dxa"/>
            <w:vAlign w:val="bottom"/>
          </w:tcPr>
          <w:p>
            <w:pPr>
              <w:jc w:val="center"/>
              <w:ind w:left="99"/>
              <w:spacing w:after="0"/>
              <w:rPr>
                <w:sz w:val="20"/>
                <w:szCs w:val="20"/>
                <w:color w:val="auto"/>
              </w:rPr>
            </w:pPr>
            <w:r>
              <w:rPr>
                <w:rFonts w:ascii="Calibri" w:cs="Calibri" w:eastAsia="Calibri" w:hAnsi="Calibri"/>
                <w:sz w:val="16"/>
                <w:szCs w:val="16"/>
                <w:color w:val="auto"/>
                <w:w w:val="80"/>
              </w:rPr>
              <w:t>-</w:t>
            </w:r>
          </w:p>
        </w:tc>
        <w:tc>
          <w:tcPr>
            <w:tcW w:w="180" w:type="dxa"/>
            <w:vAlign w:val="bottom"/>
          </w:tcPr>
          <w:p>
            <w:pPr>
              <w:spacing w:after="0"/>
              <w:rPr>
                <w:sz w:val="19"/>
                <w:szCs w:val="19"/>
                <w:color w:val="auto"/>
              </w:rPr>
            </w:pP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w w:val="80"/>
              </w:rPr>
              <w:t>-</w:t>
            </w:r>
          </w:p>
        </w:tc>
        <w:tc>
          <w:tcPr>
            <w:tcW w:w="920" w:type="dxa"/>
            <w:vAlign w:val="bottom"/>
          </w:tcPr>
          <w:p>
            <w:pPr>
              <w:jc w:val="center"/>
              <w:spacing w:after="0"/>
              <w:rPr>
                <w:sz w:val="20"/>
                <w:szCs w:val="20"/>
                <w:color w:val="auto"/>
              </w:rPr>
            </w:pPr>
            <w:r>
              <w:rPr>
                <w:rFonts w:ascii="Calibri" w:cs="Calibri" w:eastAsia="Calibri" w:hAnsi="Calibri"/>
                <w:sz w:val="16"/>
                <w:szCs w:val="16"/>
                <w:color w:val="auto"/>
                <w:w w:val="80"/>
              </w:rPr>
              <w:t>-</w:t>
            </w:r>
          </w:p>
        </w:tc>
      </w:tr>
      <w:tr>
        <w:trPr>
          <w:trHeight w:val="68"/>
        </w:trPr>
        <w:tc>
          <w:tcPr>
            <w:tcW w:w="33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r>
      <w:tr>
        <w:trPr>
          <w:trHeight w:val="223"/>
        </w:trPr>
        <w:tc>
          <w:tcPr>
            <w:tcW w:w="3380" w:type="dxa"/>
            <w:vAlign w:val="bottom"/>
          </w:tcPr>
          <w:p>
            <w:pPr>
              <w:ind w:left="480"/>
              <w:spacing w:after="0"/>
              <w:rPr>
                <w:sz w:val="20"/>
                <w:szCs w:val="20"/>
                <w:color w:val="auto"/>
              </w:rPr>
            </w:pPr>
            <w:r>
              <w:rPr>
                <w:rFonts w:ascii="Calibri" w:cs="Calibri" w:eastAsia="Calibri" w:hAnsi="Calibri"/>
                <w:sz w:val="16"/>
                <w:szCs w:val="16"/>
                <w:color w:val="auto"/>
              </w:rPr>
              <w:t>White</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w w:val="97"/>
              </w:rPr>
              <w:t>2</w:t>
            </w:r>
          </w:p>
        </w:tc>
        <w:tc>
          <w:tcPr>
            <w:tcW w:w="740" w:type="dxa"/>
            <w:vAlign w:val="bottom"/>
          </w:tcPr>
          <w:p>
            <w:pPr>
              <w:jc w:val="center"/>
              <w:ind w:left="99"/>
              <w:spacing w:after="0"/>
              <w:rPr>
                <w:sz w:val="20"/>
                <w:szCs w:val="20"/>
                <w:color w:val="auto"/>
              </w:rPr>
            </w:pPr>
            <w:r>
              <w:rPr>
                <w:rFonts w:ascii="Calibri" w:cs="Calibri" w:eastAsia="Calibri" w:hAnsi="Calibri"/>
                <w:sz w:val="16"/>
                <w:szCs w:val="16"/>
                <w:color w:val="auto"/>
                <w:w w:val="97"/>
              </w:rPr>
              <w:t>6</w:t>
            </w:r>
          </w:p>
        </w:tc>
        <w:tc>
          <w:tcPr>
            <w:tcW w:w="180" w:type="dxa"/>
            <w:vAlign w:val="bottom"/>
          </w:tcPr>
          <w:p>
            <w:pPr>
              <w:spacing w:after="0"/>
              <w:rPr>
                <w:sz w:val="19"/>
                <w:szCs w:val="19"/>
                <w:color w:val="auto"/>
              </w:rPr>
            </w:pP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w w:val="80"/>
              </w:rPr>
              <w:t>-</w:t>
            </w:r>
          </w:p>
        </w:tc>
        <w:tc>
          <w:tcPr>
            <w:tcW w:w="920" w:type="dxa"/>
            <w:vAlign w:val="bottom"/>
          </w:tcPr>
          <w:p>
            <w:pPr>
              <w:jc w:val="center"/>
              <w:spacing w:after="0"/>
              <w:rPr>
                <w:sz w:val="20"/>
                <w:szCs w:val="20"/>
                <w:color w:val="auto"/>
              </w:rPr>
            </w:pPr>
            <w:r>
              <w:rPr>
                <w:rFonts w:ascii="Calibri" w:cs="Calibri" w:eastAsia="Calibri" w:hAnsi="Calibri"/>
                <w:sz w:val="16"/>
                <w:szCs w:val="16"/>
                <w:color w:val="auto"/>
                <w:w w:val="80"/>
              </w:rPr>
              <w:t>-</w:t>
            </w:r>
          </w:p>
        </w:tc>
      </w:tr>
      <w:tr>
        <w:trPr>
          <w:trHeight w:val="68"/>
        </w:trPr>
        <w:tc>
          <w:tcPr>
            <w:tcW w:w="33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r>
      <w:tr>
        <w:trPr>
          <w:trHeight w:val="223"/>
        </w:trPr>
        <w:tc>
          <w:tcPr>
            <w:tcW w:w="3380" w:type="dxa"/>
            <w:vAlign w:val="bottom"/>
          </w:tcPr>
          <w:p>
            <w:pPr>
              <w:ind w:left="480"/>
              <w:spacing w:after="0"/>
              <w:rPr>
                <w:sz w:val="20"/>
                <w:szCs w:val="20"/>
                <w:color w:val="auto"/>
              </w:rPr>
            </w:pPr>
            <w:r>
              <w:rPr>
                <w:rFonts w:ascii="Calibri" w:cs="Calibri" w:eastAsia="Calibri" w:hAnsi="Calibri"/>
                <w:sz w:val="16"/>
                <w:szCs w:val="16"/>
                <w:color w:val="auto"/>
              </w:rPr>
              <w:t>Two or More Races or Ethnicites</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rPr>
              <w:t>-</w:t>
            </w:r>
          </w:p>
        </w:tc>
        <w:tc>
          <w:tcPr>
            <w:tcW w:w="740" w:type="dxa"/>
            <w:vAlign w:val="bottom"/>
          </w:tcPr>
          <w:p>
            <w:pPr>
              <w:jc w:val="center"/>
              <w:ind w:left="99"/>
              <w:spacing w:after="0"/>
              <w:rPr>
                <w:sz w:val="20"/>
                <w:szCs w:val="20"/>
                <w:color w:val="auto"/>
              </w:rPr>
            </w:pPr>
            <w:r>
              <w:rPr>
                <w:rFonts w:ascii="Calibri" w:cs="Calibri" w:eastAsia="Calibri" w:hAnsi="Calibri"/>
                <w:sz w:val="16"/>
                <w:szCs w:val="16"/>
                <w:color w:val="auto"/>
                <w:w w:val="80"/>
              </w:rPr>
              <w:t>-</w:t>
            </w:r>
          </w:p>
        </w:tc>
        <w:tc>
          <w:tcPr>
            <w:tcW w:w="180" w:type="dxa"/>
            <w:vAlign w:val="bottom"/>
          </w:tcPr>
          <w:p>
            <w:pPr>
              <w:spacing w:after="0"/>
              <w:rPr>
                <w:sz w:val="19"/>
                <w:szCs w:val="19"/>
                <w:color w:val="auto"/>
              </w:rPr>
            </w:pPr>
          </w:p>
        </w:tc>
        <w:tc>
          <w:tcPr>
            <w:tcW w:w="900" w:type="dxa"/>
            <w:vAlign w:val="bottom"/>
            <w:shd w:val="clear" w:color="auto" w:fill="F2F2F2"/>
          </w:tcPr>
          <w:p>
            <w:pPr>
              <w:jc w:val="center"/>
              <w:spacing w:after="0"/>
              <w:rPr>
                <w:sz w:val="20"/>
                <w:szCs w:val="20"/>
                <w:color w:val="auto"/>
              </w:rPr>
            </w:pPr>
            <w:r>
              <w:rPr>
                <w:rFonts w:ascii="Calibri" w:cs="Calibri" w:eastAsia="Calibri" w:hAnsi="Calibri"/>
                <w:sz w:val="16"/>
                <w:szCs w:val="16"/>
                <w:color w:val="auto"/>
                <w:w w:val="80"/>
              </w:rPr>
              <w:t>-</w:t>
            </w:r>
          </w:p>
        </w:tc>
        <w:tc>
          <w:tcPr>
            <w:tcW w:w="920" w:type="dxa"/>
            <w:vAlign w:val="bottom"/>
          </w:tcPr>
          <w:p>
            <w:pPr>
              <w:jc w:val="center"/>
              <w:spacing w:after="0"/>
              <w:rPr>
                <w:sz w:val="20"/>
                <w:szCs w:val="20"/>
                <w:color w:val="auto"/>
              </w:rPr>
            </w:pPr>
            <w:r>
              <w:rPr>
                <w:rFonts w:ascii="Calibri" w:cs="Calibri" w:eastAsia="Calibri" w:hAnsi="Calibri"/>
                <w:sz w:val="16"/>
                <w:szCs w:val="16"/>
                <w:color w:val="auto"/>
                <w:w w:val="80"/>
              </w:rPr>
              <w:t>-</w:t>
            </w:r>
          </w:p>
        </w:tc>
      </w:tr>
      <w:tr>
        <w:trPr>
          <w:trHeight w:val="68"/>
        </w:trPr>
        <w:tc>
          <w:tcPr>
            <w:tcW w:w="33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shd w:val="clear" w:color="auto" w:fill="F2F2F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r>
      <w:tr>
        <w:trPr>
          <w:trHeight w:val="223"/>
        </w:trPr>
        <w:tc>
          <w:tcPr>
            <w:tcW w:w="3380" w:type="dxa"/>
            <w:vAlign w:val="bottom"/>
          </w:tcPr>
          <w:p>
            <w:pPr>
              <w:ind w:left="480"/>
              <w:spacing w:after="0"/>
              <w:rPr>
                <w:sz w:val="20"/>
                <w:szCs w:val="20"/>
                <w:color w:val="auto"/>
              </w:rPr>
            </w:pPr>
            <w:r>
              <w:rPr>
                <w:rFonts w:ascii="Calibri" w:cs="Calibri" w:eastAsia="Calibri" w:hAnsi="Calibri"/>
                <w:sz w:val="16"/>
                <w:szCs w:val="16"/>
                <w:color w:val="auto"/>
              </w:rPr>
              <w:t>LGBTQ+</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gridSpan w:val="2"/>
          </w:tcPr>
          <w:p>
            <w:pPr>
              <w:jc w:val="right"/>
              <w:ind w:right="799"/>
              <w:spacing w:after="0"/>
              <w:rPr>
                <w:sz w:val="20"/>
                <w:szCs w:val="20"/>
                <w:color w:val="auto"/>
              </w:rPr>
            </w:pPr>
            <w:r>
              <w:rPr>
                <w:rFonts w:ascii="Calibri" w:cs="Calibri" w:eastAsia="Calibri" w:hAnsi="Calibri"/>
                <w:sz w:val="16"/>
                <w:szCs w:val="16"/>
                <w:color w:val="auto"/>
              </w:rPr>
              <w:t>-</w:t>
            </w:r>
          </w:p>
        </w:tc>
        <w:tc>
          <w:tcPr>
            <w:tcW w:w="920" w:type="dxa"/>
            <w:vAlign w:val="bottom"/>
          </w:tcPr>
          <w:p>
            <w:pPr>
              <w:spacing w:after="0"/>
              <w:rPr>
                <w:sz w:val="19"/>
                <w:szCs w:val="19"/>
                <w:color w:val="auto"/>
              </w:rPr>
            </w:pPr>
          </w:p>
        </w:tc>
      </w:tr>
      <w:tr>
        <w:trPr>
          <w:trHeight w:val="68"/>
        </w:trPr>
        <w:tc>
          <w:tcPr>
            <w:tcW w:w="33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r>
    </w:tbl>
    <w:p>
      <w:pPr>
        <w:spacing w:after="0" w:line="162" w:lineRule="exact"/>
        <w:rPr>
          <w:sz w:val="20"/>
          <w:szCs w:val="20"/>
          <w:color w:val="auto"/>
        </w:rPr>
      </w:pPr>
    </w:p>
    <w:p>
      <w:pPr>
        <w:sectPr>
          <w:pgSz w:w="11900" w:h="16838" w:orient="portrait"/>
          <w:cols w:equalWidth="0" w:num="1">
            <w:col w:w="9019"/>
          </w:cols>
          <w:pgMar w:left="1440" w:top="504" w:right="1440" w:bottom="1440" w:gutter="0" w:footer="0" w:header="0"/>
        </w:sectPr>
      </w:pPr>
    </w:p>
    <w:p>
      <w:pPr>
        <w:ind w:left="200"/>
        <w:spacing w:after="0"/>
        <w:rPr>
          <w:sz w:val="20"/>
          <w:szCs w:val="20"/>
          <w:color w:val="auto"/>
        </w:rPr>
      </w:pPr>
      <w:r>
        <w:rPr>
          <w:rFonts w:ascii="Calibri" w:cs="Calibri" w:eastAsia="Calibri" w:hAnsi="Calibri"/>
          <w:sz w:val="18"/>
          <w:szCs w:val="18"/>
          <w:b w:val="1"/>
          <w:bCs w:val="1"/>
          <w:i w:val="1"/>
          <w:iCs w:val="1"/>
          <w:color w:val="auto"/>
        </w:rPr>
        <w:t>Shareholder Recommendatons</w:t>
      </w:r>
    </w:p>
    <w:p>
      <w:pPr>
        <w:spacing w:after="0" w:line="109" w:lineRule="exact"/>
        <w:rPr>
          <w:sz w:val="20"/>
          <w:szCs w:val="20"/>
          <w:color w:val="auto"/>
        </w:rPr>
      </w:pPr>
    </w:p>
    <w:p>
      <w:pPr>
        <w:ind w:left="200"/>
        <w:spacing w:after="0" w:line="233" w:lineRule="auto"/>
        <w:rPr>
          <w:sz w:val="20"/>
          <w:szCs w:val="20"/>
          <w:color w:val="auto"/>
        </w:rPr>
      </w:pPr>
      <w:r>
        <w:rPr>
          <w:rFonts w:ascii="Calibri" w:cs="Calibri" w:eastAsia="Calibri" w:hAnsi="Calibri"/>
          <w:sz w:val="18"/>
          <w:szCs w:val="18"/>
          <w:color w:val="auto"/>
        </w:rPr>
        <w:t>The Governance Commitee considers properly submited director-nominee recommendatons from shareholders prior to the issuance of the proxy statement for the next annual meetng of shareholders. Materials provided by a shareholder in connecton with such a recommendaton are forwarded to the Governance Commitee. In evaluatng those recommendatons, the Governance Commitee seeks to achieve a balance of knowledge, experience and capability on the Board and to address the membership criteria described above.</w:t>
      </w:r>
    </w:p>
    <w:p>
      <w:pPr>
        <w:spacing w:after="0" w:line="113" w:lineRule="exact"/>
        <w:rPr>
          <w:sz w:val="20"/>
          <w:szCs w:val="20"/>
          <w:color w:val="auto"/>
        </w:rPr>
      </w:pPr>
    </w:p>
    <w:p>
      <w:pPr>
        <w:ind w:left="200" w:right="120"/>
        <w:spacing w:after="0" w:line="231" w:lineRule="auto"/>
        <w:rPr>
          <w:sz w:val="20"/>
          <w:szCs w:val="20"/>
          <w:color w:val="auto"/>
        </w:rPr>
      </w:pPr>
      <w:r>
        <w:rPr>
          <w:rFonts w:ascii="Calibri" w:cs="Calibri" w:eastAsia="Calibri" w:hAnsi="Calibri"/>
          <w:sz w:val="18"/>
          <w:szCs w:val="18"/>
          <w:color w:val="auto"/>
        </w:rPr>
        <w:t>Any shareholder wishing to recommend a candidate for consideraton by the Governance Commitee should submit a recommendaton in writng indicatng the candidate’s qualifcatons and other relevant biographical informaton and provide confrmaton of the candidate’s consent to serve as a director.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800"/>
        <w:spacing w:after="0"/>
        <w:rPr>
          <w:sz w:val="20"/>
          <w:szCs w:val="20"/>
          <w:color w:val="auto"/>
        </w:rPr>
      </w:pPr>
      <w:r>
        <w:rPr>
          <w:rFonts w:ascii="Calibri" w:cs="Calibri" w:eastAsia="Calibri" w:hAnsi="Calibri"/>
          <w:sz w:val="20"/>
          <w:szCs w:val="20"/>
          <w:b w:val="1"/>
          <w:bCs w:val="1"/>
          <w:color w:val="AF0000"/>
        </w:rPr>
        <w:t>We want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-252730</wp:posOffset>
            </wp:positionV>
            <wp:extent cx="1568450" cy="18516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68450" cy="1851660"/>
                    </a:xfrm>
                    <a:prstGeom prst="rect">
                      <a:avLst/>
                    </a:prstGeom>
                    <a:noFill/>
                  </pic:spPr>
                </pic:pic>
              </a:graphicData>
            </a:graphic>
          </wp:anchor>
        </w:drawing>
      </w:r>
    </w:p>
    <w:p>
      <w:pPr>
        <w:ind w:left="800"/>
        <w:spacing w:after="0" w:line="225" w:lineRule="auto"/>
        <w:rPr>
          <w:sz w:val="20"/>
          <w:szCs w:val="20"/>
          <w:color w:val="auto"/>
        </w:rPr>
      </w:pPr>
      <w:r>
        <w:rPr>
          <w:rFonts w:ascii="Calibri" w:cs="Calibri" w:eastAsia="Calibri" w:hAnsi="Calibri"/>
          <w:sz w:val="20"/>
          <w:szCs w:val="20"/>
          <w:b w:val="1"/>
          <w:bCs w:val="1"/>
          <w:color w:val="AF0000"/>
        </w:rPr>
        <w:t>hear from you</w:t>
      </w:r>
    </w:p>
    <w:p>
      <w:pPr>
        <w:spacing w:after="0" w:line="295" w:lineRule="exact"/>
        <w:rPr>
          <w:sz w:val="20"/>
          <w:szCs w:val="20"/>
          <w:color w:val="auto"/>
        </w:rPr>
      </w:pPr>
    </w:p>
    <w:p>
      <w:pPr>
        <w:ind w:right="819"/>
        <w:spacing w:after="0" w:line="254" w:lineRule="auto"/>
        <w:rPr>
          <w:sz w:val="20"/>
          <w:szCs w:val="20"/>
          <w:color w:val="auto"/>
        </w:rPr>
      </w:pPr>
      <w:r>
        <w:rPr>
          <w:rFonts w:ascii="Calibri" w:cs="Calibri" w:eastAsia="Calibri" w:hAnsi="Calibri"/>
          <w:sz w:val="17"/>
          <w:szCs w:val="17"/>
          <w:color w:val="auto"/>
        </w:rPr>
        <w:t>Interested shareholders should send recommendatons to:</w:t>
      </w:r>
    </w:p>
    <w:p>
      <w:pPr>
        <w:spacing w:after="0" w:line="9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Merit Medical Systems, Inc.</w:t>
      </w:r>
    </w:p>
    <w:p>
      <w:pPr>
        <w:spacing w:after="0" w:line="7" w:lineRule="exact"/>
        <w:rPr>
          <w:sz w:val="20"/>
          <w:szCs w:val="20"/>
          <w:color w:val="auto"/>
        </w:rPr>
      </w:pPr>
    </w:p>
    <w:p>
      <w:pPr>
        <w:ind w:right="679"/>
        <w:spacing w:after="0" w:line="247" w:lineRule="auto"/>
        <w:rPr>
          <w:sz w:val="20"/>
          <w:szCs w:val="20"/>
          <w:color w:val="auto"/>
        </w:rPr>
      </w:pPr>
      <w:r>
        <w:rPr>
          <w:rFonts w:ascii="Calibri" w:cs="Calibri" w:eastAsia="Calibri" w:hAnsi="Calibri"/>
          <w:sz w:val="17"/>
          <w:szCs w:val="17"/>
          <w:color w:val="auto"/>
        </w:rPr>
        <w:t>Atn: Brian G. Lloyd, Corporate Secretary 1600 West Merit Parkway South Jordan, Utah 84095</w:t>
      </w:r>
    </w:p>
    <w:p>
      <w:pPr>
        <w:spacing w:after="0" w:line="219" w:lineRule="exact"/>
        <w:rPr>
          <w:sz w:val="20"/>
          <w:szCs w:val="20"/>
          <w:color w:val="auto"/>
        </w:rPr>
      </w:pPr>
    </w:p>
    <w:p>
      <w:pPr>
        <w:sectPr>
          <w:pgSz w:w="11900" w:h="16838" w:orient="portrait"/>
          <w:cols w:equalWidth="0" w:num="2">
            <w:col w:w="6180" w:space="320"/>
            <w:col w:w="2519"/>
          </w:cols>
          <w:pgMar w:left="1440" w:top="504" w:right="1440"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 xml:space="preserve">18 </w:t>
      </w:r>
      <w:r>
        <w:rPr>
          <w:rFonts w:ascii="Calibri" w:cs="Calibri" w:eastAsia="Calibri" w:hAnsi="Calibri"/>
          <w:sz w:val="17"/>
          <w:szCs w:val="17"/>
          <w:color w:val="AF0000"/>
        </w:rPr>
        <w:t>|</w:t>
      </w:r>
      <w:r>
        <w:rPr>
          <w:rFonts w:ascii="Calibri" w:cs="Calibri" w:eastAsia="Calibri" w:hAnsi="Calibri"/>
          <w:sz w:val="17"/>
          <w:szCs w:val="17"/>
          <w:color w:val="auto"/>
        </w:rPr>
        <w:t xml:space="preserve"> Understand. Innovate. Deliver.</w:t>
      </w:r>
      <w:r>
        <w:rPr>
          <w:rFonts w:ascii="Calibri" w:cs="Calibri" w:eastAsia="Calibri" w:hAnsi="Calibri"/>
          <w:sz w:val="25"/>
          <w:szCs w:val="25"/>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307340</wp:posOffset>
            </wp:positionV>
            <wp:extent cx="545211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22" w:name="page23"/>
    <w:bookmarkEnd w:id="22"/>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CORPORATE GOVERNANCE AND RELATED MATTERS</w:t>
      </w:r>
    </w:p>
    <w:p>
      <w:pPr>
        <w:sectPr>
          <w:pgSz w:w="11900" w:h="16838" w:orient="portrait"/>
          <w:cols w:equalWidth="0" w:num="1">
            <w:col w:w="9019"/>
          </w:cols>
          <w:pgMar w:left="1440" w:top="504" w:right="1440" w:bottom="1440" w:gutter="0" w:footer="0" w:header="0"/>
        </w:sectPr>
      </w:pPr>
    </w:p>
    <w:p>
      <w:pPr>
        <w:spacing w:after="0" w:line="165"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Board and Commitee Meetngs and Responsibilites</w:t>
      </w:r>
    </w:p>
    <w:p>
      <w:pPr>
        <w:spacing w:after="0" w:line="173" w:lineRule="exact"/>
        <w:rPr>
          <w:sz w:val="20"/>
          <w:szCs w:val="20"/>
          <w:color w:val="auto"/>
        </w:rPr>
      </w:pPr>
    </w:p>
    <w:p>
      <w:pPr>
        <w:ind w:left="200" w:right="240"/>
        <w:spacing w:after="0" w:line="235" w:lineRule="auto"/>
        <w:rPr>
          <w:sz w:val="20"/>
          <w:szCs w:val="20"/>
          <w:color w:val="auto"/>
        </w:rPr>
      </w:pPr>
      <w:r>
        <w:rPr>
          <w:rFonts w:ascii="Calibri" w:cs="Calibri" w:eastAsia="Calibri" w:hAnsi="Calibri"/>
          <w:sz w:val="18"/>
          <w:szCs w:val="18"/>
          <w:color w:val="auto"/>
        </w:rPr>
        <w:t>In 2023, the Board met 11 tmes. Directors are expected to atend regular Board meetngs, Board commitee meetngs and annual shareholder meetngs. The independent directors met in executve session four tmes during 2023.</w:t>
      </w:r>
    </w:p>
    <w:p>
      <w:pPr>
        <w:spacing w:after="0" w:line="111" w:lineRule="exact"/>
        <w:rPr>
          <w:sz w:val="20"/>
          <w:szCs w:val="20"/>
          <w:color w:val="auto"/>
        </w:rPr>
      </w:pPr>
    </w:p>
    <w:p>
      <w:pPr>
        <w:ind w:left="200"/>
        <w:spacing w:after="0" w:line="233" w:lineRule="auto"/>
        <w:rPr>
          <w:sz w:val="20"/>
          <w:szCs w:val="20"/>
          <w:color w:val="auto"/>
        </w:rPr>
      </w:pPr>
      <w:r>
        <w:rPr>
          <w:rFonts w:ascii="Calibri" w:cs="Calibri" w:eastAsia="Calibri" w:hAnsi="Calibri"/>
          <w:sz w:val="18"/>
          <w:szCs w:val="18"/>
          <w:color w:val="auto"/>
        </w:rPr>
        <w:t>As further described below, the Board has a standing Audit Commitee, Compensaton Commitee, Governance Commitee, Finance Commitee and Operatng Commitee. The Company believes each of the directors serving on the Audit, Compensaton, Finance and Governance Commitees is an “independent director” for purposes of the Nasdaq Marketplace Rules and that each of the directors serving on the Compensaton Commitee is a “non-employee director” for purposes of Rule 16b-3 of the Securites Exchange Act of 1934, as amended (</w:t>
      </w:r>
      <w:r>
        <w:rPr>
          <w:rFonts w:ascii="Calibri" w:cs="Calibri" w:eastAsia="Calibri" w:hAnsi="Calibri"/>
          <w:sz w:val="18"/>
          <w:szCs w:val="18"/>
          <w:u w:val="single" w:color="auto"/>
          <w:color w:val="AF0000"/>
        </w:rPr>
        <w:t>Exchange Act</w:t>
      </w:r>
      <w:r>
        <w:rPr>
          <w:rFonts w:ascii="Calibri" w:cs="Calibri" w:eastAsia="Calibri" w:hAnsi="Calibri"/>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59"/>
        <w:spacing w:after="0"/>
        <w:rPr>
          <w:sz w:val="20"/>
          <w:szCs w:val="20"/>
          <w:color w:val="auto"/>
        </w:rPr>
      </w:pPr>
      <w:r>
        <w:rPr>
          <w:rFonts w:ascii="Calibri" w:cs="Calibri" w:eastAsia="Calibri" w:hAnsi="Calibri"/>
          <w:sz w:val="43"/>
          <w:szCs w:val="43"/>
          <w:b w:val="1"/>
          <w:bCs w:val="1"/>
          <w:color w:val="AF0000"/>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-513715</wp:posOffset>
            </wp:positionV>
            <wp:extent cx="1577340" cy="1577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77340" cy="1577340"/>
                    </a:xfrm>
                    <a:prstGeom prst="rect">
                      <a:avLst/>
                    </a:prstGeom>
                    <a:noFill/>
                  </pic:spPr>
                </pic:pic>
              </a:graphicData>
            </a:graphic>
          </wp:anchor>
        </w:drawing>
      </w:r>
    </w:p>
    <w:p>
      <w:pPr>
        <w:spacing w:after="0" w:line="214" w:lineRule="exact"/>
        <w:rPr>
          <w:sz w:val="20"/>
          <w:szCs w:val="20"/>
          <w:color w:val="auto"/>
        </w:rPr>
      </w:pPr>
    </w:p>
    <w:p>
      <w:pPr>
        <w:ind w:right="419"/>
        <w:spacing w:after="0" w:line="232" w:lineRule="auto"/>
        <w:rPr>
          <w:sz w:val="20"/>
          <w:szCs w:val="20"/>
          <w:color w:val="auto"/>
        </w:rPr>
      </w:pPr>
      <w:r>
        <w:rPr>
          <w:rFonts w:ascii="Calibri" w:cs="Calibri" w:eastAsia="Calibri" w:hAnsi="Calibri"/>
          <w:sz w:val="18"/>
          <w:szCs w:val="18"/>
          <w:color w:val="auto"/>
        </w:rPr>
        <w:t>All directors atended at least 75% of the total number of meetngs of the Board and of any commitee on which he or she served.</w:t>
      </w:r>
    </w:p>
    <w:p>
      <w:pPr>
        <w:spacing w:after="0" w:line="547" w:lineRule="exact"/>
        <w:rPr>
          <w:sz w:val="20"/>
          <w:szCs w:val="20"/>
          <w:color w:val="auto"/>
        </w:rPr>
      </w:pPr>
    </w:p>
    <w:p>
      <w:pPr>
        <w:sectPr>
          <w:pgSz w:w="11900" w:h="16838" w:orient="portrait"/>
          <w:cols w:equalWidth="0" w:num="2">
            <w:col w:w="6140" w:space="360"/>
            <w:col w:w="2519"/>
          </w:cols>
          <w:pgMar w:left="1440" w:top="504" w:right="1440" w:bottom="1440" w:gutter="0" w:footer="0" w:header="0"/>
          <w:type w:val="continuous"/>
        </w:sectPr>
      </w:pPr>
    </w:p>
    <w:p>
      <w:pPr>
        <w:spacing w:after="0" w:line="53" w:lineRule="exact"/>
        <w:rPr>
          <w:sz w:val="20"/>
          <w:szCs w:val="20"/>
          <w:color w:val="auto"/>
        </w:rPr>
      </w:pPr>
    </w:p>
    <w:p>
      <w:pPr>
        <w:ind w:left="300"/>
        <w:spacing w:after="0"/>
        <w:rPr>
          <w:sz w:val="20"/>
          <w:szCs w:val="20"/>
          <w:color w:val="auto"/>
        </w:rPr>
      </w:pPr>
      <w:r>
        <w:rPr>
          <w:rFonts w:ascii="Calibri" w:cs="Calibri" w:eastAsia="Calibri" w:hAnsi="Calibri"/>
          <w:sz w:val="20"/>
          <w:szCs w:val="20"/>
          <w:b w:val="1"/>
          <w:bCs w:val="1"/>
          <w:color w:val="AF0000"/>
        </w:rPr>
        <w:t>Audit Commitee</w:t>
      </w:r>
    </w:p>
    <w:p>
      <w:pPr>
        <w:jc w:val="center"/>
        <w:ind w:left="7880"/>
        <w:spacing w:after="0"/>
        <w:rPr>
          <w:sz w:val="20"/>
          <w:szCs w:val="20"/>
          <w:color w:val="auto"/>
        </w:rPr>
      </w:pPr>
      <w:r>
        <w:rPr>
          <w:rFonts w:ascii="Calibri" w:cs="Calibri" w:eastAsia="Calibri" w:hAnsi="Calibri"/>
          <w:sz w:val="16"/>
          <w:szCs w:val="16"/>
          <w:b w:val="1"/>
          <w:bCs w:val="1"/>
          <w:color w:val="auto"/>
        </w:rPr>
        <w:t># of</w:t>
      </w:r>
    </w:p>
    <w:p>
      <w:pPr>
        <w:jc w:val="center"/>
        <w:ind w:left="7880"/>
        <w:spacing w:after="0" w:line="232" w:lineRule="auto"/>
        <w:rPr>
          <w:sz w:val="20"/>
          <w:szCs w:val="20"/>
          <w:color w:val="auto"/>
        </w:rPr>
      </w:pPr>
      <w:r>
        <w:rPr>
          <w:rFonts w:ascii="Calibri" w:cs="Calibri" w:eastAsia="Calibri" w:hAnsi="Calibri"/>
          <w:sz w:val="16"/>
          <w:szCs w:val="16"/>
          <w:b w:val="1"/>
          <w:bCs w:val="1"/>
          <w:color w:val="auto"/>
        </w:rPr>
        <w:t>Meetngs</w:t>
      </w:r>
    </w:p>
    <w:p>
      <w:pPr>
        <w:ind w:left="840"/>
        <w:spacing w:after="0" w:line="232" w:lineRule="auto"/>
        <w:tabs>
          <w:tab w:leader="none" w:pos="4280" w:val="left"/>
          <w:tab w:leader="none" w:pos="8180" w:val="left"/>
        </w:tabs>
        <w:rPr>
          <w:sz w:val="20"/>
          <w:szCs w:val="20"/>
          <w:color w:val="auto"/>
        </w:rPr>
      </w:pPr>
      <w:r>
        <w:rPr>
          <w:rFonts w:ascii="Calibri" w:cs="Calibri" w:eastAsia="Calibri" w:hAnsi="Calibri"/>
          <w:sz w:val="16"/>
          <w:szCs w:val="16"/>
          <w:b w:val="1"/>
          <w:bCs w:val="1"/>
          <w:color w:val="auto"/>
        </w:rPr>
        <w:t>Members</w:t>
      </w:r>
      <w:r>
        <w:rPr>
          <w:sz w:val="20"/>
          <w:szCs w:val="20"/>
          <w:color w:val="auto"/>
        </w:rPr>
        <w:tab/>
      </w:r>
      <w:r>
        <w:rPr>
          <w:rFonts w:ascii="Calibri" w:cs="Calibri" w:eastAsia="Calibri" w:hAnsi="Calibri"/>
          <w:sz w:val="16"/>
          <w:szCs w:val="16"/>
          <w:b w:val="1"/>
          <w:bCs w:val="1"/>
          <w:color w:val="auto"/>
        </w:rPr>
        <w:t>Primary Responsibilites</w:t>
      </w:r>
      <w:r>
        <w:rPr>
          <w:sz w:val="20"/>
          <w:szCs w:val="20"/>
          <w:color w:val="auto"/>
        </w:rPr>
        <w:tab/>
      </w:r>
      <w:r>
        <w:rPr>
          <w:rFonts w:ascii="Calibri" w:cs="Calibri" w:eastAsia="Calibri" w:hAnsi="Calibri"/>
          <w:sz w:val="16"/>
          <w:szCs w:val="16"/>
          <w:b w:val="1"/>
          <w:bCs w:val="1"/>
          <w:color w:val="auto"/>
        </w:rPr>
        <w:t>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545211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p>
      <w:pPr>
        <w:spacing w:after="0" w:line="32" w:lineRule="exact"/>
        <w:rPr>
          <w:sz w:val="20"/>
          <w:szCs w:val="20"/>
          <w:color w:val="auto"/>
        </w:rPr>
      </w:pPr>
    </w:p>
    <w:p>
      <w:pPr>
        <w:ind w:left="300" w:right="240"/>
        <w:spacing w:after="0" w:line="234" w:lineRule="auto"/>
        <w:rPr>
          <w:sz w:val="20"/>
          <w:szCs w:val="20"/>
          <w:color w:val="auto"/>
        </w:rPr>
      </w:pPr>
      <w:r>
        <w:rPr>
          <w:rFonts w:ascii="Calibri" w:cs="Calibri" w:eastAsia="Calibri" w:hAnsi="Calibri"/>
          <w:sz w:val="16"/>
          <w:szCs w:val="16"/>
          <w:color w:val="auto"/>
        </w:rPr>
        <w:t>Lynne N. Ward (Chair) Stephen C. Evans Thomas J. Gunderson</w:t>
      </w:r>
    </w:p>
    <w:p>
      <w:pPr>
        <w:spacing w:after="0" w:line="7"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Michael R. McDonnell</w:t>
      </w:r>
    </w:p>
    <w:p>
      <w:pPr>
        <w:spacing w:after="0" w:line="185" w:lineRule="exact"/>
        <w:rPr>
          <w:sz w:val="20"/>
          <w:szCs w:val="20"/>
          <w:color w:val="auto"/>
        </w:rPr>
      </w:pPr>
    </w:p>
    <w:p>
      <w:pPr>
        <w:ind w:left="300"/>
        <w:spacing w:after="0"/>
        <w:rPr>
          <w:sz w:val="20"/>
          <w:szCs w:val="20"/>
          <w:color w:val="auto"/>
        </w:rPr>
      </w:pPr>
      <w:r>
        <w:rPr>
          <w:rFonts w:ascii="Calibri" w:cs="Calibri" w:eastAsia="Calibri" w:hAnsi="Calibri"/>
          <w:sz w:val="16"/>
          <w:szCs w:val="16"/>
          <w:i w:val="1"/>
          <w:iCs w:val="1"/>
          <w:color w:val="auto"/>
        </w:rPr>
        <w:t>The Board has determined that Ms. Ward and Messrs. Gunderson and McDonnell are audit commitee fnancial experts, as defned in Item 407(d) of Regulaton S-K under the Exchange Act.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4" w:type="dxa"/>
        <w:tblCellMar>
          <w:top w:w="0" w:type="dxa"/>
          <w:left w:w="0" w:type="dxa"/>
          <w:bottom w:w="0" w:type="dxa"/>
          <w:right w:w="0" w:type="dxa"/>
        </w:tblCellMar>
      </w:tblPr>
      <w:tr>
        <w:trPr>
          <w:trHeight w:val="222"/>
        </w:trPr>
        <w:tc>
          <w:tcPr>
            <w:tcW w:w="5700" w:type="dxa"/>
            <w:vAlign w:val="bottom"/>
          </w:tcPr>
          <w:p>
            <w:pPr>
              <w:spacing w:after="0"/>
              <w:rPr>
                <w:sz w:val="20"/>
                <w:szCs w:val="20"/>
                <w:color w:val="auto"/>
              </w:rPr>
            </w:pPr>
            <w:r>
              <w:rPr>
                <w:rFonts w:ascii="Calibri" w:cs="Calibri" w:eastAsia="Calibri" w:hAnsi="Calibri"/>
                <w:sz w:val="16"/>
                <w:szCs w:val="16"/>
                <w:color w:val="auto"/>
              </w:rPr>
              <w:t>The Audit Commitee meets to review and discuss our accountng practces and</w:t>
            </w:r>
          </w:p>
        </w:tc>
        <w:tc>
          <w:tcPr>
            <w:tcW w:w="600" w:type="dxa"/>
            <w:vAlign w:val="bottom"/>
          </w:tcPr>
          <w:p>
            <w:pPr>
              <w:jc w:val="right"/>
              <w:spacing w:after="0"/>
              <w:rPr>
                <w:sz w:val="20"/>
                <w:szCs w:val="20"/>
                <w:color w:val="auto"/>
              </w:rPr>
            </w:pPr>
            <w:r>
              <w:rPr>
                <w:rFonts w:ascii="Calibri" w:cs="Calibri" w:eastAsia="Calibri" w:hAnsi="Calibri"/>
                <w:sz w:val="16"/>
                <w:szCs w:val="16"/>
                <w:color w:val="auto"/>
              </w:rPr>
              <w:t>9</w:t>
            </w:r>
          </w:p>
        </w:tc>
      </w:tr>
    </w:tbl>
    <w:p>
      <w:pPr>
        <w:jc w:val="both"/>
        <w:ind w:left="4" w:right="1179"/>
        <w:spacing w:after="0" w:line="232" w:lineRule="auto"/>
        <w:rPr>
          <w:sz w:val="20"/>
          <w:szCs w:val="20"/>
          <w:color w:val="auto"/>
        </w:rPr>
      </w:pPr>
      <w:r>
        <w:rPr>
          <w:rFonts w:ascii="Calibri" w:cs="Calibri" w:eastAsia="Calibri" w:hAnsi="Calibri"/>
          <w:sz w:val="16"/>
          <w:szCs w:val="16"/>
          <w:color w:val="auto"/>
        </w:rPr>
        <w:t>procedures and quarterly and annual fnancial statements with our management and independent public accountants. The Audit Commitee assists the Board in fulflling its responsibility for oversight of the quality and integrity of our accountng, auditng and reportng practces.</w:t>
      </w:r>
    </w:p>
    <w:p>
      <w:pPr>
        <w:spacing w:after="0" w:line="21" w:lineRule="exact"/>
        <w:rPr>
          <w:sz w:val="20"/>
          <w:szCs w:val="20"/>
          <w:color w:val="auto"/>
        </w:rPr>
      </w:pPr>
    </w:p>
    <w:p>
      <w:pPr>
        <w:ind w:left="4"/>
        <w:spacing w:after="0"/>
        <w:rPr>
          <w:sz w:val="20"/>
          <w:szCs w:val="20"/>
          <w:color w:val="auto"/>
        </w:rPr>
      </w:pPr>
      <w:r>
        <w:rPr>
          <w:rFonts w:ascii="Calibri" w:cs="Calibri" w:eastAsia="Calibri" w:hAnsi="Calibri"/>
          <w:sz w:val="16"/>
          <w:szCs w:val="16"/>
          <w:color w:val="auto"/>
        </w:rPr>
        <w:t>The Audit Commitee’s primary dutes include:</w:t>
      </w:r>
    </w:p>
    <w:p>
      <w:pPr>
        <w:spacing w:after="0" w:line="48" w:lineRule="exact"/>
        <w:rPr>
          <w:sz w:val="20"/>
          <w:szCs w:val="20"/>
          <w:color w:val="auto"/>
        </w:rPr>
      </w:pPr>
    </w:p>
    <w:p>
      <w:pPr>
        <w:ind w:left="324" w:hanging="324"/>
        <w:spacing w:after="0"/>
        <w:tabs>
          <w:tab w:leader="none" w:pos="324" w:val="left"/>
        </w:tabs>
        <w:numPr>
          <w:ilvl w:val="0"/>
          <w:numId w:val="44"/>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reviewing the scope and adequacy of internal accountng and fnancial controls;</w:t>
      </w:r>
    </w:p>
    <w:p>
      <w:pPr>
        <w:spacing w:after="0" w:line="47" w:lineRule="exact"/>
        <w:rPr>
          <w:rFonts w:ascii="Times New Roman" w:cs="Times New Roman" w:eastAsia="Times New Roman" w:hAnsi="Times New Roman"/>
          <w:sz w:val="16"/>
          <w:szCs w:val="16"/>
          <w:color w:val="AF0000"/>
        </w:rPr>
      </w:pPr>
    </w:p>
    <w:p>
      <w:pPr>
        <w:ind w:left="324" w:hanging="324"/>
        <w:spacing w:after="0"/>
        <w:tabs>
          <w:tab w:leader="none" w:pos="324" w:val="left"/>
        </w:tabs>
        <w:numPr>
          <w:ilvl w:val="0"/>
          <w:numId w:val="44"/>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reviewing the independence of our independent registered public accountng frm;</w:t>
      </w:r>
    </w:p>
    <w:p>
      <w:pPr>
        <w:spacing w:after="0" w:line="49" w:lineRule="exact"/>
        <w:rPr>
          <w:rFonts w:ascii="Times New Roman" w:cs="Times New Roman" w:eastAsia="Times New Roman" w:hAnsi="Times New Roman"/>
          <w:sz w:val="16"/>
          <w:szCs w:val="16"/>
          <w:color w:val="AF0000"/>
        </w:rPr>
      </w:pPr>
    </w:p>
    <w:p>
      <w:pPr>
        <w:ind w:left="324" w:right="1679" w:hanging="324"/>
        <w:spacing w:after="0" w:line="235" w:lineRule="auto"/>
        <w:tabs>
          <w:tab w:leader="none" w:pos="324" w:val="left"/>
        </w:tabs>
        <w:numPr>
          <w:ilvl w:val="0"/>
          <w:numId w:val="44"/>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approving the scope and results of the audit actvites of our independent accountants;</w:t>
      </w:r>
    </w:p>
    <w:p>
      <w:pPr>
        <w:spacing w:after="0" w:line="47" w:lineRule="exact"/>
        <w:rPr>
          <w:rFonts w:ascii="Times New Roman" w:cs="Times New Roman" w:eastAsia="Times New Roman" w:hAnsi="Times New Roman"/>
          <w:sz w:val="16"/>
          <w:szCs w:val="16"/>
          <w:color w:val="AF0000"/>
        </w:rPr>
      </w:pPr>
    </w:p>
    <w:p>
      <w:pPr>
        <w:ind w:left="324" w:hanging="324"/>
        <w:spacing w:after="0"/>
        <w:tabs>
          <w:tab w:leader="none" w:pos="324" w:val="left"/>
        </w:tabs>
        <w:numPr>
          <w:ilvl w:val="0"/>
          <w:numId w:val="44"/>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approving fees of, and non-audit related services by, our independent accountants;</w:t>
      </w:r>
    </w:p>
    <w:p>
      <w:pPr>
        <w:spacing w:after="0" w:line="49" w:lineRule="exact"/>
        <w:rPr>
          <w:rFonts w:ascii="Times New Roman" w:cs="Times New Roman" w:eastAsia="Times New Roman" w:hAnsi="Times New Roman"/>
          <w:sz w:val="16"/>
          <w:szCs w:val="16"/>
          <w:color w:val="AF0000"/>
        </w:rPr>
      </w:pPr>
    </w:p>
    <w:p>
      <w:pPr>
        <w:ind w:left="324" w:right="1039" w:hanging="324"/>
        <w:spacing w:after="0" w:line="239" w:lineRule="auto"/>
        <w:tabs>
          <w:tab w:leader="none" w:pos="324" w:val="left"/>
        </w:tabs>
        <w:numPr>
          <w:ilvl w:val="0"/>
          <w:numId w:val="44"/>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in coordinaton with the Operatng Commitee, reviewing our risk management program with respect to fnancial and accountng practces, informaton technology and cybersecurity;</w:t>
      </w:r>
    </w:p>
    <w:p>
      <w:pPr>
        <w:spacing w:after="0" w:line="49" w:lineRule="exact"/>
        <w:rPr>
          <w:rFonts w:ascii="Times New Roman" w:cs="Times New Roman" w:eastAsia="Times New Roman" w:hAnsi="Times New Roman"/>
          <w:sz w:val="16"/>
          <w:szCs w:val="16"/>
          <w:color w:val="AF0000"/>
        </w:rPr>
      </w:pPr>
    </w:p>
    <w:p>
      <w:pPr>
        <w:ind w:left="324" w:hanging="324"/>
        <w:spacing w:after="0"/>
        <w:tabs>
          <w:tab w:leader="none" w:pos="324" w:val="left"/>
        </w:tabs>
        <w:numPr>
          <w:ilvl w:val="0"/>
          <w:numId w:val="44"/>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reviewing the objectvity and efectveness of our internal audit functon;</w:t>
      </w:r>
    </w:p>
    <w:p>
      <w:pPr>
        <w:spacing w:after="0" w:line="35" w:lineRule="exact"/>
        <w:rPr>
          <w:rFonts w:ascii="Times New Roman" w:cs="Times New Roman" w:eastAsia="Times New Roman" w:hAnsi="Times New Roman"/>
          <w:sz w:val="16"/>
          <w:szCs w:val="16"/>
          <w:color w:val="AF0000"/>
        </w:rPr>
      </w:pPr>
    </w:p>
    <w:p>
      <w:pPr>
        <w:ind w:left="324" w:right="1479" w:hanging="324"/>
        <w:spacing w:after="0" w:line="246" w:lineRule="auto"/>
        <w:tabs>
          <w:tab w:leader="none" w:pos="324" w:val="left"/>
        </w:tabs>
        <w:numPr>
          <w:ilvl w:val="0"/>
          <w:numId w:val="44"/>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reviewing our fnancial reportng actvites and the accountng standards and principles followed; and</w:t>
      </w:r>
    </w:p>
    <w:p>
      <w:pPr>
        <w:spacing w:after="0" w:line="43" w:lineRule="exact"/>
        <w:rPr>
          <w:rFonts w:ascii="Times New Roman" w:cs="Times New Roman" w:eastAsia="Times New Roman" w:hAnsi="Times New Roman"/>
          <w:sz w:val="16"/>
          <w:szCs w:val="16"/>
          <w:color w:val="AF0000"/>
        </w:rPr>
      </w:pPr>
    </w:p>
    <w:p>
      <w:pPr>
        <w:ind w:left="324" w:hanging="324"/>
        <w:spacing w:after="0"/>
        <w:tabs>
          <w:tab w:leader="none" w:pos="324" w:val="left"/>
        </w:tabs>
        <w:numPr>
          <w:ilvl w:val="0"/>
          <w:numId w:val="44"/>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reviewing and approving related-person transactons.</w:t>
      </w:r>
    </w:p>
    <w:p>
      <w:pPr>
        <w:spacing w:after="0" w:line="200" w:lineRule="exact"/>
        <w:rPr>
          <w:sz w:val="20"/>
          <w:szCs w:val="20"/>
          <w:color w:val="auto"/>
        </w:rPr>
      </w:pPr>
    </w:p>
    <w:p>
      <w:pPr>
        <w:sectPr>
          <w:pgSz w:w="11900" w:h="16838" w:orient="portrait"/>
          <w:cols w:equalWidth="0" w:num="2">
            <w:col w:w="1980" w:space="216"/>
            <w:col w:w="6823"/>
          </w:cols>
          <w:pgMar w:left="1440" w:top="504" w:right="1440" w:bottom="1440" w:gutter="0" w:footer="0" w:header="0"/>
          <w:type w:val="continuous"/>
        </w:sectPr>
      </w:pPr>
    </w:p>
    <w:p>
      <w:pPr>
        <w:spacing w:after="0" w:line="9" w:lineRule="exact"/>
        <w:rPr>
          <w:sz w:val="20"/>
          <w:szCs w:val="20"/>
          <w:color w:val="auto"/>
        </w:rPr>
      </w:pPr>
    </w:p>
    <w:p>
      <w:pPr>
        <w:ind w:left="300"/>
        <w:spacing w:after="0"/>
        <w:rPr>
          <w:sz w:val="20"/>
          <w:szCs w:val="20"/>
          <w:color w:val="auto"/>
        </w:rPr>
      </w:pPr>
      <w:r>
        <w:rPr>
          <w:rFonts w:ascii="Calibri" w:cs="Calibri" w:eastAsia="Calibri" w:hAnsi="Calibri"/>
          <w:sz w:val="20"/>
          <w:szCs w:val="20"/>
          <w:b w:val="1"/>
          <w:bCs w:val="1"/>
          <w:color w:val="AF0000"/>
        </w:rPr>
        <w:t>Compensaton and Talent Development Commitee</w:t>
      </w:r>
    </w:p>
    <w:p>
      <w:pPr>
        <w:jc w:val="center"/>
        <w:ind w:left="7880"/>
        <w:spacing w:after="0"/>
        <w:rPr>
          <w:sz w:val="20"/>
          <w:szCs w:val="20"/>
          <w:color w:val="auto"/>
        </w:rPr>
      </w:pPr>
      <w:r>
        <w:rPr>
          <w:rFonts w:ascii="Calibri" w:cs="Calibri" w:eastAsia="Calibri" w:hAnsi="Calibri"/>
          <w:sz w:val="16"/>
          <w:szCs w:val="16"/>
          <w:b w:val="1"/>
          <w:bCs w:val="1"/>
          <w:color w:val="auto"/>
        </w:rPr>
        <w:t># of</w:t>
      </w:r>
    </w:p>
    <w:p>
      <w:pPr>
        <w:jc w:val="center"/>
        <w:ind w:left="7880"/>
        <w:spacing w:after="0" w:line="232" w:lineRule="auto"/>
        <w:rPr>
          <w:sz w:val="20"/>
          <w:szCs w:val="20"/>
          <w:color w:val="auto"/>
        </w:rPr>
      </w:pPr>
      <w:r>
        <w:rPr>
          <w:rFonts w:ascii="Calibri" w:cs="Calibri" w:eastAsia="Calibri" w:hAnsi="Calibri"/>
          <w:sz w:val="16"/>
          <w:szCs w:val="16"/>
          <w:b w:val="1"/>
          <w:bCs w:val="1"/>
          <w:color w:val="auto"/>
        </w:rPr>
        <w:t>Meetngs</w:t>
      </w:r>
    </w:p>
    <w:p>
      <w:pPr>
        <w:ind w:left="840"/>
        <w:spacing w:after="0" w:line="232" w:lineRule="auto"/>
        <w:tabs>
          <w:tab w:leader="none" w:pos="4280" w:val="left"/>
          <w:tab w:leader="none" w:pos="8180" w:val="left"/>
        </w:tabs>
        <w:rPr>
          <w:sz w:val="20"/>
          <w:szCs w:val="20"/>
          <w:color w:val="auto"/>
        </w:rPr>
      </w:pPr>
      <w:r>
        <w:rPr>
          <w:rFonts w:ascii="Calibri" w:cs="Calibri" w:eastAsia="Calibri" w:hAnsi="Calibri"/>
          <w:sz w:val="16"/>
          <w:szCs w:val="16"/>
          <w:b w:val="1"/>
          <w:bCs w:val="1"/>
          <w:color w:val="auto"/>
        </w:rPr>
        <w:t>Members</w:t>
      </w:r>
      <w:r>
        <w:rPr>
          <w:sz w:val="20"/>
          <w:szCs w:val="20"/>
          <w:color w:val="auto"/>
        </w:rPr>
        <w:tab/>
      </w:r>
      <w:r>
        <w:rPr>
          <w:rFonts w:ascii="Calibri" w:cs="Calibri" w:eastAsia="Calibri" w:hAnsi="Calibri"/>
          <w:sz w:val="16"/>
          <w:szCs w:val="16"/>
          <w:b w:val="1"/>
          <w:bCs w:val="1"/>
          <w:color w:val="auto"/>
        </w:rPr>
        <w:t>Primary Responsibilites</w:t>
      </w:r>
      <w:r>
        <w:rPr>
          <w:sz w:val="20"/>
          <w:szCs w:val="20"/>
          <w:color w:val="auto"/>
        </w:rPr>
        <w:tab/>
      </w:r>
      <w:r>
        <w:rPr>
          <w:rFonts w:ascii="Calibri" w:cs="Calibri" w:eastAsia="Calibri" w:hAnsi="Calibri"/>
          <w:sz w:val="16"/>
          <w:szCs w:val="16"/>
          <w:b w:val="1"/>
          <w:bCs w:val="1"/>
          <w:color w:val="auto"/>
        </w:rPr>
        <w:t>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545211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p>
      <w:pPr>
        <w:spacing w:after="0" w:line="32" w:lineRule="exact"/>
        <w:rPr>
          <w:sz w:val="20"/>
          <w:szCs w:val="20"/>
          <w:color w:val="auto"/>
        </w:rPr>
      </w:pPr>
    </w:p>
    <w:p>
      <w:pPr>
        <w:ind w:left="300" w:right="100"/>
        <w:spacing w:after="0" w:line="235" w:lineRule="auto"/>
        <w:rPr>
          <w:sz w:val="20"/>
          <w:szCs w:val="20"/>
          <w:color w:val="auto"/>
        </w:rPr>
      </w:pPr>
      <w:r>
        <w:rPr>
          <w:rFonts w:ascii="Calibri" w:cs="Calibri" w:eastAsia="Calibri" w:hAnsi="Calibri"/>
          <w:sz w:val="16"/>
          <w:szCs w:val="16"/>
          <w:color w:val="auto"/>
        </w:rPr>
        <w:t>A. Scot Anderson* (Chair)</w:t>
      </w:r>
    </w:p>
    <w:p>
      <w:pPr>
        <w:ind w:left="300" w:right="140"/>
        <w:spacing w:after="0"/>
        <w:rPr>
          <w:sz w:val="20"/>
          <w:szCs w:val="20"/>
          <w:color w:val="auto"/>
        </w:rPr>
      </w:pPr>
      <w:r>
        <w:rPr>
          <w:rFonts w:ascii="Calibri" w:cs="Calibri" w:eastAsia="Calibri" w:hAnsi="Calibri"/>
          <w:sz w:val="16"/>
          <w:szCs w:val="16"/>
          <w:color w:val="auto"/>
        </w:rPr>
        <w:t>Lonny J. Carpenter Stephen C. Evans</w:t>
      </w:r>
    </w:p>
    <w:p>
      <w:pPr>
        <w:spacing w:after="0" w:line="1" w:lineRule="exact"/>
        <w:rPr>
          <w:sz w:val="20"/>
          <w:szCs w:val="20"/>
          <w:color w:val="auto"/>
        </w:rPr>
      </w:pPr>
    </w:p>
    <w:p>
      <w:pPr>
        <w:ind w:left="300"/>
        <w:spacing w:after="0"/>
        <w:rPr>
          <w:sz w:val="20"/>
          <w:szCs w:val="20"/>
          <w:color w:val="auto"/>
        </w:rPr>
      </w:pPr>
      <w:r>
        <w:rPr>
          <w:rFonts w:ascii="Calibri" w:cs="Calibri" w:eastAsia="Calibri" w:hAnsi="Calibri"/>
          <w:sz w:val="15"/>
          <w:szCs w:val="15"/>
          <w:color w:val="auto"/>
        </w:rPr>
        <w:t>F. Ann Millner, Ed. D.</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5900" w:type="dxa"/>
            <w:vAlign w:val="bottom"/>
          </w:tcPr>
          <w:p>
            <w:pPr>
              <w:spacing w:after="0"/>
              <w:rPr>
                <w:sz w:val="20"/>
                <w:szCs w:val="20"/>
                <w:color w:val="auto"/>
              </w:rPr>
            </w:pPr>
            <w:r>
              <w:rPr>
                <w:rFonts w:ascii="Calibri" w:cs="Calibri" w:eastAsia="Calibri" w:hAnsi="Calibri"/>
                <w:sz w:val="16"/>
                <w:szCs w:val="16"/>
                <w:color w:val="auto"/>
              </w:rPr>
              <w:t>The Compensaton Commitee is responsible for overseeing, reviewing and approving</w:t>
            </w:r>
          </w:p>
        </w:tc>
        <w:tc>
          <w:tcPr>
            <w:tcW w:w="400" w:type="dxa"/>
            <w:vAlign w:val="bottom"/>
          </w:tcPr>
          <w:p>
            <w:pPr>
              <w:jc w:val="right"/>
              <w:spacing w:after="0"/>
              <w:rPr>
                <w:sz w:val="20"/>
                <w:szCs w:val="20"/>
                <w:color w:val="auto"/>
              </w:rPr>
            </w:pPr>
            <w:r>
              <w:rPr>
                <w:rFonts w:ascii="Calibri" w:cs="Calibri" w:eastAsia="Calibri" w:hAnsi="Calibri"/>
                <w:sz w:val="16"/>
                <w:szCs w:val="16"/>
                <w:color w:val="auto"/>
              </w:rPr>
              <w:t>5</w:t>
            </w:r>
          </w:p>
        </w:tc>
      </w:tr>
    </w:tbl>
    <w:p>
      <w:pPr>
        <w:ind w:right="1099"/>
        <w:spacing w:after="0" w:line="232" w:lineRule="auto"/>
        <w:rPr>
          <w:sz w:val="20"/>
          <w:szCs w:val="20"/>
          <w:color w:val="auto"/>
        </w:rPr>
      </w:pPr>
      <w:r>
        <w:rPr>
          <w:rFonts w:ascii="Calibri" w:cs="Calibri" w:eastAsia="Calibri" w:hAnsi="Calibri"/>
          <w:sz w:val="16"/>
          <w:szCs w:val="16"/>
          <w:color w:val="auto"/>
        </w:rPr>
        <w:t>executve compensaton and beneft programs of the Company, as well as the Company’s talent development and executve succession planning actvites. Additonal informaton regarding the functons, procedures and authority of the Compensaton Commitee is provided in the Compensaton Discussion and Analysis beginning on page 38 below. The Compensaton Commitee Report appears on page 56 below.</w:t>
      </w:r>
    </w:p>
    <w:p>
      <w:pPr>
        <w:spacing w:after="0" w:line="200" w:lineRule="exact"/>
        <w:rPr>
          <w:sz w:val="20"/>
          <w:szCs w:val="20"/>
          <w:color w:val="auto"/>
        </w:rPr>
      </w:pPr>
    </w:p>
    <w:p>
      <w:pPr>
        <w:sectPr>
          <w:pgSz w:w="11900" w:h="16838" w:orient="portrait"/>
          <w:cols w:equalWidth="0" w:num="2">
            <w:col w:w="1660" w:space="540"/>
            <w:col w:w="6819"/>
          </w:cols>
          <w:pgMar w:left="1440" w:top="504" w:right="1440"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23" w:name="page24"/>
    <w:bookmarkEnd w:id="23"/>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CORPORATE GOVERNANCE AND RELATED MATTERS</w:t>
      </w:r>
    </w:p>
    <w:p>
      <w:pPr>
        <w:spacing w:after="0" w:line="205" w:lineRule="exact"/>
        <w:rPr>
          <w:sz w:val="20"/>
          <w:szCs w:val="20"/>
          <w:color w:val="auto"/>
        </w:rPr>
      </w:pPr>
    </w:p>
    <w:p>
      <w:pPr>
        <w:ind w:left="300"/>
        <w:spacing w:after="0"/>
        <w:rPr>
          <w:sz w:val="20"/>
          <w:szCs w:val="20"/>
          <w:color w:val="auto"/>
        </w:rPr>
      </w:pPr>
      <w:r>
        <w:rPr>
          <w:rFonts w:ascii="Calibri" w:cs="Calibri" w:eastAsia="Calibri" w:hAnsi="Calibri"/>
          <w:sz w:val="20"/>
          <w:szCs w:val="20"/>
          <w:b w:val="1"/>
          <w:bCs w:val="1"/>
          <w:color w:val="AF0000"/>
        </w:rPr>
        <w:t>Finance Commitee</w:t>
      </w:r>
    </w:p>
    <w:p>
      <w:pPr>
        <w:jc w:val="center"/>
        <w:ind w:left="7880"/>
        <w:spacing w:after="0"/>
        <w:rPr>
          <w:sz w:val="20"/>
          <w:szCs w:val="20"/>
          <w:color w:val="auto"/>
        </w:rPr>
      </w:pPr>
      <w:r>
        <w:rPr>
          <w:rFonts w:ascii="Calibri" w:cs="Calibri" w:eastAsia="Calibri" w:hAnsi="Calibri"/>
          <w:sz w:val="16"/>
          <w:szCs w:val="16"/>
          <w:b w:val="1"/>
          <w:bCs w:val="1"/>
          <w:color w:val="auto"/>
        </w:rPr>
        <w:t># of</w:t>
      </w:r>
    </w:p>
    <w:p>
      <w:pPr>
        <w:jc w:val="center"/>
        <w:ind w:left="7880"/>
        <w:spacing w:after="0" w:line="232" w:lineRule="auto"/>
        <w:rPr>
          <w:sz w:val="20"/>
          <w:szCs w:val="20"/>
          <w:color w:val="auto"/>
        </w:rPr>
      </w:pPr>
      <w:r>
        <w:rPr>
          <w:rFonts w:ascii="Calibri" w:cs="Calibri" w:eastAsia="Calibri" w:hAnsi="Calibri"/>
          <w:sz w:val="16"/>
          <w:szCs w:val="16"/>
          <w:b w:val="1"/>
          <w:bCs w:val="1"/>
          <w:color w:val="auto"/>
        </w:rPr>
        <w:t>Meetngs</w:t>
      </w:r>
    </w:p>
    <w:p>
      <w:pPr>
        <w:spacing w:after="0" w:line="7" w:lineRule="exact"/>
        <w:rPr>
          <w:sz w:val="20"/>
          <w:szCs w:val="20"/>
          <w:color w:val="auto"/>
        </w:rPr>
      </w:pPr>
    </w:p>
    <w:p>
      <w:pPr>
        <w:ind w:left="840"/>
        <w:spacing w:after="0"/>
        <w:tabs>
          <w:tab w:leader="none" w:pos="4280" w:val="left"/>
          <w:tab w:leader="none" w:pos="8180" w:val="left"/>
        </w:tabs>
        <w:rPr>
          <w:sz w:val="20"/>
          <w:szCs w:val="20"/>
          <w:color w:val="auto"/>
        </w:rPr>
      </w:pPr>
      <w:r>
        <w:rPr>
          <w:rFonts w:ascii="Calibri" w:cs="Calibri" w:eastAsia="Calibri" w:hAnsi="Calibri"/>
          <w:sz w:val="16"/>
          <w:szCs w:val="16"/>
          <w:b w:val="1"/>
          <w:bCs w:val="1"/>
          <w:color w:val="auto"/>
        </w:rPr>
        <w:t>Members</w:t>
      </w:r>
      <w:r>
        <w:rPr>
          <w:sz w:val="20"/>
          <w:szCs w:val="20"/>
          <w:color w:val="auto"/>
        </w:rPr>
        <w:tab/>
      </w:r>
      <w:r>
        <w:rPr>
          <w:rFonts w:ascii="Calibri" w:cs="Calibri" w:eastAsia="Calibri" w:hAnsi="Calibri"/>
          <w:sz w:val="16"/>
          <w:szCs w:val="16"/>
          <w:b w:val="1"/>
          <w:bCs w:val="1"/>
          <w:color w:val="auto"/>
        </w:rPr>
        <w:t>Primary Responsibilites</w:t>
      </w:r>
      <w:r>
        <w:rPr>
          <w:sz w:val="20"/>
          <w:szCs w:val="20"/>
          <w:color w:val="auto"/>
        </w:rPr>
        <w:tab/>
      </w:r>
      <w:r>
        <w:rPr>
          <w:rFonts w:ascii="Calibri" w:cs="Calibri" w:eastAsia="Calibri" w:hAnsi="Calibri"/>
          <w:sz w:val="16"/>
          <w:szCs w:val="16"/>
          <w:b w:val="1"/>
          <w:bCs w:val="1"/>
          <w:color w:val="auto"/>
        </w:rPr>
        <w:t>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545211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p>
      <w:pPr>
        <w:spacing w:after="0" w:line="23" w:lineRule="exact"/>
        <w:rPr>
          <w:sz w:val="20"/>
          <w:szCs w:val="20"/>
          <w:color w:val="auto"/>
        </w:rPr>
      </w:pPr>
    </w:p>
    <w:p>
      <w:pPr>
        <w:ind w:left="300" w:right="40"/>
        <w:spacing w:after="0" w:line="235" w:lineRule="auto"/>
        <w:rPr>
          <w:sz w:val="20"/>
          <w:szCs w:val="20"/>
          <w:color w:val="auto"/>
        </w:rPr>
      </w:pPr>
      <w:r>
        <w:rPr>
          <w:rFonts w:ascii="Calibri" w:cs="Calibri" w:eastAsia="Calibri" w:hAnsi="Calibri"/>
          <w:sz w:val="16"/>
          <w:szCs w:val="16"/>
          <w:color w:val="auto"/>
        </w:rPr>
        <w:t>Thomas J. Gunderson (Chair)</w:t>
      </w:r>
    </w:p>
    <w:p>
      <w:pPr>
        <w:spacing w:after="0" w:line="9" w:lineRule="exact"/>
        <w:rPr>
          <w:sz w:val="20"/>
          <w:szCs w:val="20"/>
          <w:color w:val="auto"/>
        </w:rPr>
      </w:pPr>
    </w:p>
    <w:p>
      <w:pPr>
        <w:ind w:left="300"/>
        <w:spacing w:after="0" w:line="234" w:lineRule="auto"/>
        <w:rPr>
          <w:sz w:val="20"/>
          <w:szCs w:val="20"/>
          <w:color w:val="auto"/>
        </w:rPr>
      </w:pPr>
      <w:r>
        <w:rPr>
          <w:rFonts w:ascii="Calibri" w:cs="Calibri" w:eastAsia="Calibri" w:hAnsi="Calibri"/>
          <w:sz w:val="16"/>
          <w:szCs w:val="16"/>
          <w:color w:val="auto"/>
        </w:rPr>
        <w:t>Lonny J. Carpenter Michael R. McDonnell Lynne N. Ward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4" w:type="dxa"/>
        <w:tblCellMar>
          <w:top w:w="0" w:type="dxa"/>
          <w:left w:w="0" w:type="dxa"/>
          <w:bottom w:w="0" w:type="dxa"/>
          <w:right w:w="0" w:type="dxa"/>
        </w:tblCellMar>
      </w:tblPr>
      <w:tr>
        <w:trPr>
          <w:trHeight w:val="195"/>
        </w:trPr>
        <w:tc>
          <w:tcPr>
            <w:tcW w:w="5820" w:type="dxa"/>
            <w:vAlign w:val="bottom"/>
          </w:tcPr>
          <w:p>
            <w:pPr>
              <w:spacing w:after="0"/>
              <w:rPr>
                <w:sz w:val="20"/>
                <w:szCs w:val="20"/>
                <w:color w:val="auto"/>
              </w:rPr>
            </w:pPr>
            <w:r>
              <w:rPr>
                <w:rFonts w:ascii="Calibri" w:cs="Calibri" w:eastAsia="Calibri" w:hAnsi="Calibri"/>
                <w:sz w:val="16"/>
                <w:szCs w:val="16"/>
                <w:color w:val="auto"/>
              </w:rPr>
              <w:t>The Finance Commitee assists the Board with oversight of the Company’s fnancial</w:t>
            </w:r>
          </w:p>
        </w:tc>
        <w:tc>
          <w:tcPr>
            <w:tcW w:w="480" w:type="dxa"/>
            <w:vAlign w:val="bottom"/>
            <w:vMerge w:val="restart"/>
          </w:tcPr>
          <w:p>
            <w:pPr>
              <w:jc w:val="right"/>
              <w:spacing w:after="0"/>
              <w:rPr>
                <w:sz w:val="20"/>
                <w:szCs w:val="20"/>
                <w:color w:val="auto"/>
              </w:rPr>
            </w:pPr>
            <w:r>
              <w:rPr>
                <w:rFonts w:ascii="Calibri" w:cs="Calibri" w:eastAsia="Calibri" w:hAnsi="Calibri"/>
                <w:sz w:val="16"/>
                <w:szCs w:val="16"/>
                <w:color w:val="auto"/>
              </w:rPr>
              <w:t>5</w:t>
            </w:r>
          </w:p>
        </w:tc>
        <w:tc>
          <w:tcPr>
            <w:tcW w:w="0" w:type="dxa"/>
            <w:vAlign w:val="bottom"/>
          </w:tcPr>
          <w:p>
            <w:pPr>
              <w:spacing w:after="0"/>
              <w:rPr>
                <w:sz w:val="1"/>
                <w:szCs w:val="1"/>
                <w:color w:val="auto"/>
              </w:rPr>
            </w:pPr>
          </w:p>
        </w:tc>
      </w:tr>
      <w:tr>
        <w:trPr>
          <w:trHeight w:val="54"/>
        </w:trPr>
        <w:tc>
          <w:tcPr>
            <w:tcW w:w="5820" w:type="dxa"/>
            <w:vAlign w:val="bottom"/>
            <w:vMerge w:val="restart"/>
          </w:tcPr>
          <w:p>
            <w:pPr>
              <w:spacing w:after="0" w:line="193" w:lineRule="exact"/>
              <w:rPr>
                <w:sz w:val="20"/>
                <w:szCs w:val="20"/>
                <w:color w:val="auto"/>
              </w:rPr>
            </w:pPr>
            <w:r>
              <w:rPr>
                <w:rFonts w:ascii="Calibri" w:cs="Calibri" w:eastAsia="Calibri" w:hAnsi="Calibri"/>
                <w:sz w:val="16"/>
                <w:szCs w:val="16"/>
                <w:color w:val="auto"/>
              </w:rPr>
              <w:t>management, including oversight of the Company’s fnancing and capital structure</w:t>
            </w:r>
          </w:p>
        </w:tc>
        <w:tc>
          <w:tcPr>
            <w:tcW w:w="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58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820" w:type="dxa"/>
            <w:vAlign w:val="bottom"/>
          </w:tcPr>
          <w:p>
            <w:pPr>
              <w:spacing w:after="0"/>
              <w:rPr>
                <w:sz w:val="20"/>
                <w:szCs w:val="20"/>
                <w:color w:val="auto"/>
              </w:rPr>
            </w:pPr>
            <w:r>
              <w:rPr>
                <w:rFonts w:ascii="Calibri" w:cs="Calibri" w:eastAsia="Calibri" w:hAnsi="Calibri"/>
                <w:sz w:val="16"/>
                <w:szCs w:val="16"/>
                <w:color w:val="auto"/>
              </w:rPr>
              <w:t>objectves and plans; and the following:</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324" w:hanging="324"/>
        <w:spacing w:after="0"/>
        <w:tabs>
          <w:tab w:leader="none" w:pos="324" w:val="left"/>
        </w:tabs>
        <w:numPr>
          <w:ilvl w:val="0"/>
          <w:numId w:val="45"/>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the Company’s merger and acquisiton strategy;</w:t>
      </w:r>
    </w:p>
    <w:p>
      <w:pPr>
        <w:spacing w:after="0" w:line="35" w:lineRule="exact"/>
        <w:rPr>
          <w:rFonts w:ascii="Times New Roman" w:cs="Times New Roman" w:eastAsia="Times New Roman" w:hAnsi="Times New Roman"/>
          <w:sz w:val="16"/>
          <w:szCs w:val="16"/>
          <w:color w:val="AF0000"/>
        </w:rPr>
      </w:pPr>
    </w:p>
    <w:p>
      <w:pPr>
        <w:ind w:left="324" w:right="1299" w:hanging="324"/>
        <w:spacing w:after="0" w:line="246" w:lineRule="auto"/>
        <w:tabs>
          <w:tab w:leader="none" w:pos="324" w:val="left"/>
        </w:tabs>
        <w:numPr>
          <w:ilvl w:val="0"/>
          <w:numId w:val="45"/>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the Company’s investment programs and practces, including internatonal cash management;</w:t>
      </w:r>
    </w:p>
    <w:p>
      <w:pPr>
        <w:spacing w:after="0" w:line="43" w:lineRule="exact"/>
        <w:rPr>
          <w:sz w:val="20"/>
          <w:szCs w:val="20"/>
          <w:color w:val="auto"/>
        </w:rPr>
      </w:pPr>
    </w:p>
    <w:p>
      <w:pPr>
        <w:sectPr>
          <w:pgSz w:w="11900" w:h="16838" w:orient="portrait"/>
          <w:cols w:equalWidth="0" w:num="2">
            <w:col w:w="1760" w:space="436"/>
            <w:col w:w="6823"/>
          </w:cols>
          <w:pgMar w:left="1440" w:top="504" w:right="1440" w:bottom="1440" w:gutter="0" w:footer="0" w:header="0"/>
          <w:type w:val="continuous"/>
        </w:sectPr>
      </w:pPr>
    </w:p>
    <w:p>
      <w:pPr>
        <w:ind w:left="2520" w:hanging="324"/>
        <w:spacing w:after="0"/>
        <w:tabs>
          <w:tab w:leader="none" w:pos="2520" w:val="left"/>
        </w:tabs>
        <w:numPr>
          <w:ilvl w:val="0"/>
          <w:numId w:val="46"/>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the Company’s strategic planning and actvites; and</w:t>
      </w:r>
    </w:p>
    <w:p>
      <w:pPr>
        <w:spacing w:after="0" w:line="47" w:lineRule="exact"/>
        <w:rPr>
          <w:rFonts w:ascii="Times New Roman" w:cs="Times New Roman" w:eastAsia="Times New Roman" w:hAnsi="Times New Roman"/>
          <w:sz w:val="16"/>
          <w:szCs w:val="16"/>
          <w:color w:val="AF0000"/>
        </w:rPr>
      </w:pPr>
    </w:p>
    <w:p>
      <w:pPr>
        <w:ind w:left="2520" w:hanging="324"/>
        <w:spacing w:after="0"/>
        <w:tabs>
          <w:tab w:leader="none" w:pos="2520" w:val="left"/>
        </w:tabs>
        <w:numPr>
          <w:ilvl w:val="0"/>
          <w:numId w:val="46"/>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the Company’s tax strategy and structure.</w:t>
      </w:r>
    </w:p>
    <w:p>
      <w:pPr>
        <w:spacing w:after="0" w:line="250" w:lineRule="exact"/>
        <w:rPr>
          <w:sz w:val="20"/>
          <w:szCs w:val="20"/>
          <w:color w:val="auto"/>
        </w:rPr>
      </w:pPr>
    </w:p>
    <w:p>
      <w:pPr>
        <w:ind w:left="300"/>
        <w:spacing w:after="0"/>
        <w:rPr>
          <w:sz w:val="20"/>
          <w:szCs w:val="20"/>
          <w:color w:val="auto"/>
        </w:rPr>
      </w:pPr>
      <w:r>
        <w:rPr>
          <w:rFonts w:ascii="Calibri" w:cs="Calibri" w:eastAsia="Calibri" w:hAnsi="Calibri"/>
          <w:sz w:val="20"/>
          <w:szCs w:val="20"/>
          <w:b w:val="1"/>
          <w:bCs w:val="1"/>
          <w:color w:val="AF0000"/>
        </w:rPr>
        <w:t>Governance and Sustainability Commitee</w:t>
      </w:r>
    </w:p>
    <w:p>
      <w:pPr>
        <w:jc w:val="center"/>
        <w:ind w:left="7880"/>
        <w:spacing w:after="0"/>
        <w:rPr>
          <w:sz w:val="20"/>
          <w:szCs w:val="20"/>
          <w:color w:val="auto"/>
        </w:rPr>
      </w:pPr>
      <w:r>
        <w:rPr>
          <w:rFonts w:ascii="Calibri" w:cs="Calibri" w:eastAsia="Calibri" w:hAnsi="Calibri"/>
          <w:sz w:val="16"/>
          <w:szCs w:val="16"/>
          <w:b w:val="1"/>
          <w:bCs w:val="1"/>
          <w:color w:val="auto"/>
        </w:rPr>
        <w:t># of</w:t>
      </w:r>
    </w:p>
    <w:p>
      <w:pPr>
        <w:jc w:val="center"/>
        <w:ind w:left="7880"/>
        <w:spacing w:after="0" w:line="232" w:lineRule="auto"/>
        <w:rPr>
          <w:sz w:val="20"/>
          <w:szCs w:val="20"/>
          <w:color w:val="auto"/>
        </w:rPr>
      </w:pPr>
      <w:r>
        <w:rPr>
          <w:rFonts w:ascii="Calibri" w:cs="Calibri" w:eastAsia="Calibri" w:hAnsi="Calibri"/>
          <w:sz w:val="16"/>
          <w:szCs w:val="16"/>
          <w:b w:val="1"/>
          <w:bCs w:val="1"/>
          <w:color w:val="auto"/>
        </w:rPr>
        <w:t>Meetngs</w:t>
      </w:r>
    </w:p>
    <w:p>
      <w:pPr>
        <w:spacing w:after="0" w:line="7" w:lineRule="exact"/>
        <w:rPr>
          <w:sz w:val="20"/>
          <w:szCs w:val="20"/>
          <w:color w:val="auto"/>
        </w:rPr>
      </w:pPr>
    </w:p>
    <w:p>
      <w:pPr>
        <w:ind w:left="840"/>
        <w:spacing w:after="0"/>
        <w:tabs>
          <w:tab w:leader="none" w:pos="4280" w:val="left"/>
          <w:tab w:leader="none" w:pos="8180" w:val="left"/>
        </w:tabs>
        <w:rPr>
          <w:sz w:val="20"/>
          <w:szCs w:val="20"/>
          <w:color w:val="auto"/>
        </w:rPr>
      </w:pPr>
      <w:r>
        <w:rPr>
          <w:rFonts w:ascii="Calibri" w:cs="Calibri" w:eastAsia="Calibri" w:hAnsi="Calibri"/>
          <w:sz w:val="16"/>
          <w:szCs w:val="16"/>
          <w:b w:val="1"/>
          <w:bCs w:val="1"/>
          <w:color w:val="auto"/>
        </w:rPr>
        <w:t>Members</w:t>
      </w:r>
      <w:r>
        <w:rPr>
          <w:sz w:val="20"/>
          <w:szCs w:val="20"/>
          <w:color w:val="auto"/>
        </w:rPr>
        <w:tab/>
      </w:r>
      <w:r>
        <w:rPr>
          <w:rFonts w:ascii="Calibri" w:cs="Calibri" w:eastAsia="Calibri" w:hAnsi="Calibri"/>
          <w:sz w:val="16"/>
          <w:szCs w:val="16"/>
          <w:b w:val="1"/>
          <w:bCs w:val="1"/>
          <w:color w:val="auto"/>
        </w:rPr>
        <w:t>Primary Responsibilites</w:t>
      </w:r>
      <w:r>
        <w:rPr>
          <w:sz w:val="20"/>
          <w:szCs w:val="20"/>
          <w:color w:val="auto"/>
        </w:rPr>
        <w:tab/>
      </w:r>
      <w:r>
        <w:rPr>
          <w:rFonts w:ascii="Calibri" w:cs="Calibri" w:eastAsia="Calibri" w:hAnsi="Calibri"/>
          <w:sz w:val="16"/>
          <w:szCs w:val="16"/>
          <w:b w:val="1"/>
          <w:bCs w:val="1"/>
          <w:color w:val="auto"/>
        </w:rPr>
        <w:t>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545211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p>
      <w:pPr>
        <w:spacing w:after="0" w:line="23" w:lineRule="exact"/>
        <w:rPr>
          <w:sz w:val="20"/>
          <w:szCs w:val="20"/>
          <w:color w:val="auto"/>
        </w:rPr>
      </w:pPr>
    </w:p>
    <w:p>
      <w:pPr>
        <w:ind w:left="300"/>
        <w:spacing w:after="0"/>
        <w:rPr>
          <w:sz w:val="20"/>
          <w:szCs w:val="20"/>
          <w:color w:val="auto"/>
        </w:rPr>
      </w:pPr>
      <w:r>
        <w:rPr>
          <w:rFonts w:ascii="Calibri" w:cs="Calibri" w:eastAsia="Calibri" w:hAnsi="Calibri"/>
          <w:sz w:val="15"/>
          <w:szCs w:val="15"/>
          <w:color w:val="auto"/>
        </w:rPr>
        <w:t>F. Ann Millner, Ed.D.</w:t>
      </w:r>
    </w:p>
    <w:p>
      <w:pPr>
        <w:spacing w:after="0" w:line="4"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(Chair)</w:t>
      </w:r>
    </w:p>
    <w:p>
      <w:pPr>
        <w:spacing w:after="0" w:line="9" w:lineRule="exact"/>
        <w:rPr>
          <w:sz w:val="20"/>
          <w:szCs w:val="20"/>
          <w:color w:val="auto"/>
        </w:rPr>
      </w:pPr>
    </w:p>
    <w:p>
      <w:pPr>
        <w:ind w:left="300" w:right="60"/>
        <w:spacing w:after="0" w:line="237" w:lineRule="auto"/>
        <w:rPr>
          <w:sz w:val="20"/>
          <w:szCs w:val="20"/>
          <w:color w:val="auto"/>
        </w:rPr>
      </w:pPr>
      <w:r>
        <w:rPr>
          <w:rFonts w:ascii="Calibri" w:cs="Calibri" w:eastAsia="Calibri" w:hAnsi="Calibri"/>
          <w:sz w:val="16"/>
          <w:szCs w:val="16"/>
          <w:color w:val="auto"/>
        </w:rPr>
        <w:t>A. Scot Anderson* David K. Floyd Laura S. Kaiser Lynne N. Ward</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5960" w:type="dxa"/>
            <w:vAlign w:val="bottom"/>
          </w:tcPr>
          <w:p>
            <w:pPr>
              <w:spacing w:after="0"/>
              <w:rPr>
                <w:sz w:val="20"/>
                <w:szCs w:val="20"/>
                <w:color w:val="auto"/>
              </w:rPr>
            </w:pPr>
            <w:r>
              <w:rPr>
                <w:rFonts w:ascii="Calibri" w:cs="Calibri" w:eastAsia="Calibri" w:hAnsi="Calibri"/>
                <w:sz w:val="16"/>
                <w:szCs w:val="16"/>
                <w:color w:val="auto"/>
              </w:rPr>
              <w:t>The Governance Commitee is responsible for oversight of (1) the Company’s corporate</w:t>
            </w:r>
          </w:p>
        </w:tc>
        <w:tc>
          <w:tcPr>
            <w:tcW w:w="340" w:type="dxa"/>
            <w:vAlign w:val="bottom"/>
          </w:tcPr>
          <w:p>
            <w:pPr>
              <w:jc w:val="right"/>
              <w:spacing w:after="0"/>
              <w:rPr>
                <w:sz w:val="20"/>
                <w:szCs w:val="20"/>
                <w:color w:val="auto"/>
              </w:rPr>
            </w:pPr>
            <w:r>
              <w:rPr>
                <w:rFonts w:ascii="Calibri" w:cs="Calibri" w:eastAsia="Calibri" w:hAnsi="Calibri"/>
                <w:sz w:val="16"/>
                <w:szCs w:val="16"/>
                <w:color w:val="auto"/>
              </w:rPr>
              <w:t>8</w:t>
            </w:r>
          </w:p>
        </w:tc>
      </w:tr>
    </w:tbl>
    <w:p>
      <w:pPr>
        <w:ind w:right="1019"/>
        <w:spacing w:after="0" w:line="234" w:lineRule="auto"/>
        <w:rPr>
          <w:sz w:val="20"/>
          <w:szCs w:val="20"/>
          <w:color w:val="auto"/>
        </w:rPr>
      </w:pPr>
      <w:r>
        <w:rPr>
          <w:rFonts w:ascii="Calibri" w:cs="Calibri" w:eastAsia="Calibri" w:hAnsi="Calibri"/>
          <w:sz w:val="16"/>
          <w:szCs w:val="16"/>
          <w:color w:val="auto"/>
        </w:rPr>
        <w:t>governance practces, including the practces set forth in our Governance Guidelines and the Company’s director nominaton process and procedures, (ii) the Company’s practces with respect to environmental sustainability and (iii) maters impactng the Company’s image and reputaton and its standing as a responsible corporate citzen. As discussed earlier, the Governance Commitee selects, evaluates and recommends to the full Board qualifed candidates for electon to the Board. The Governance Commitee also provides oversight of our sustainable business practces.</w:t>
      </w:r>
    </w:p>
    <w:p>
      <w:pPr>
        <w:spacing w:after="0" w:line="200" w:lineRule="exact"/>
        <w:rPr>
          <w:sz w:val="20"/>
          <w:szCs w:val="20"/>
          <w:color w:val="auto"/>
        </w:rPr>
      </w:pPr>
    </w:p>
    <w:p>
      <w:pPr>
        <w:sectPr>
          <w:pgSz w:w="11900" w:h="16838" w:orient="portrait"/>
          <w:cols w:equalWidth="0" w:num="2">
            <w:col w:w="1620" w:space="580"/>
            <w:col w:w="6819"/>
          </w:cols>
          <w:pgMar w:left="1440" w:top="504" w:right="1440" w:bottom="1440" w:gutter="0" w:footer="0" w:header="0"/>
          <w:type w:val="continuous"/>
        </w:sectPr>
      </w:pPr>
    </w:p>
    <w:p>
      <w:pPr>
        <w:spacing w:after="0" w:line="67" w:lineRule="exact"/>
        <w:rPr>
          <w:sz w:val="20"/>
          <w:szCs w:val="20"/>
          <w:color w:val="auto"/>
        </w:rPr>
      </w:pPr>
    </w:p>
    <w:p>
      <w:pPr>
        <w:ind w:left="300"/>
        <w:spacing w:after="0"/>
        <w:rPr>
          <w:sz w:val="20"/>
          <w:szCs w:val="20"/>
          <w:color w:val="auto"/>
        </w:rPr>
      </w:pPr>
      <w:r>
        <w:rPr>
          <w:rFonts w:ascii="Calibri" w:cs="Calibri" w:eastAsia="Calibri" w:hAnsi="Calibri"/>
          <w:sz w:val="20"/>
          <w:szCs w:val="20"/>
          <w:b w:val="1"/>
          <w:bCs w:val="1"/>
          <w:color w:val="AF0000"/>
        </w:rPr>
        <w:t>Operatng Commitee</w:t>
      </w:r>
    </w:p>
    <w:p>
      <w:pPr>
        <w:jc w:val="center"/>
        <w:ind w:left="7880"/>
        <w:spacing w:after="0"/>
        <w:rPr>
          <w:sz w:val="20"/>
          <w:szCs w:val="20"/>
          <w:color w:val="auto"/>
        </w:rPr>
      </w:pPr>
      <w:r>
        <w:rPr>
          <w:rFonts w:ascii="Calibri" w:cs="Calibri" w:eastAsia="Calibri" w:hAnsi="Calibri"/>
          <w:sz w:val="16"/>
          <w:szCs w:val="16"/>
          <w:b w:val="1"/>
          <w:bCs w:val="1"/>
          <w:color w:val="auto"/>
        </w:rPr>
        <w:t># of</w:t>
      </w:r>
    </w:p>
    <w:p>
      <w:pPr>
        <w:jc w:val="center"/>
        <w:ind w:left="7880"/>
        <w:spacing w:after="0" w:line="232" w:lineRule="auto"/>
        <w:rPr>
          <w:sz w:val="20"/>
          <w:szCs w:val="20"/>
          <w:color w:val="auto"/>
        </w:rPr>
      </w:pPr>
      <w:r>
        <w:rPr>
          <w:rFonts w:ascii="Calibri" w:cs="Calibri" w:eastAsia="Calibri" w:hAnsi="Calibri"/>
          <w:sz w:val="16"/>
          <w:szCs w:val="16"/>
          <w:b w:val="1"/>
          <w:bCs w:val="1"/>
          <w:color w:val="auto"/>
        </w:rPr>
        <w:t>Meetngs</w:t>
      </w:r>
    </w:p>
    <w:p>
      <w:pPr>
        <w:spacing w:after="0" w:line="7" w:lineRule="exact"/>
        <w:rPr>
          <w:sz w:val="20"/>
          <w:szCs w:val="20"/>
          <w:color w:val="auto"/>
        </w:rPr>
      </w:pPr>
    </w:p>
    <w:p>
      <w:pPr>
        <w:ind w:left="840"/>
        <w:spacing w:after="0"/>
        <w:tabs>
          <w:tab w:leader="none" w:pos="4280" w:val="left"/>
          <w:tab w:leader="none" w:pos="8180" w:val="left"/>
        </w:tabs>
        <w:rPr>
          <w:sz w:val="20"/>
          <w:szCs w:val="20"/>
          <w:color w:val="auto"/>
        </w:rPr>
      </w:pPr>
      <w:r>
        <w:rPr>
          <w:rFonts w:ascii="Calibri" w:cs="Calibri" w:eastAsia="Calibri" w:hAnsi="Calibri"/>
          <w:sz w:val="16"/>
          <w:szCs w:val="16"/>
          <w:b w:val="1"/>
          <w:bCs w:val="1"/>
          <w:color w:val="auto"/>
        </w:rPr>
        <w:t>Members</w:t>
      </w:r>
      <w:r>
        <w:rPr>
          <w:sz w:val="20"/>
          <w:szCs w:val="20"/>
          <w:color w:val="auto"/>
        </w:rPr>
        <w:tab/>
      </w:r>
      <w:r>
        <w:rPr>
          <w:rFonts w:ascii="Calibri" w:cs="Calibri" w:eastAsia="Calibri" w:hAnsi="Calibri"/>
          <w:sz w:val="16"/>
          <w:szCs w:val="16"/>
          <w:b w:val="1"/>
          <w:bCs w:val="1"/>
          <w:color w:val="auto"/>
        </w:rPr>
        <w:t>Primary Responsibilites</w:t>
      </w:r>
      <w:r>
        <w:rPr>
          <w:sz w:val="20"/>
          <w:szCs w:val="20"/>
          <w:color w:val="auto"/>
        </w:rPr>
        <w:tab/>
      </w:r>
      <w:r>
        <w:rPr>
          <w:rFonts w:ascii="Calibri" w:cs="Calibri" w:eastAsia="Calibri" w:hAnsi="Calibri"/>
          <w:sz w:val="16"/>
          <w:szCs w:val="16"/>
          <w:b w:val="1"/>
          <w:bCs w:val="1"/>
          <w:color w:val="auto"/>
        </w:rPr>
        <w:t>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545211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p>
      <w:pPr>
        <w:spacing w:after="0" w:line="21"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Lonny J. Carpenter (Chair)</w:t>
      </w:r>
    </w:p>
    <w:p>
      <w:pPr>
        <w:ind w:left="300"/>
        <w:spacing w:after="0" w:line="232" w:lineRule="auto"/>
        <w:rPr>
          <w:sz w:val="20"/>
          <w:szCs w:val="20"/>
          <w:color w:val="auto"/>
        </w:rPr>
      </w:pPr>
      <w:r>
        <w:rPr>
          <w:rFonts w:ascii="Calibri" w:cs="Calibri" w:eastAsia="Calibri" w:hAnsi="Calibri"/>
          <w:sz w:val="16"/>
          <w:szCs w:val="16"/>
          <w:color w:val="auto"/>
        </w:rPr>
        <w:t>David K. Floyd</w:t>
      </w:r>
    </w:p>
    <w:p>
      <w:pPr>
        <w:spacing w:after="0" w:line="7"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Laura S. Kaiser</w:t>
      </w:r>
    </w:p>
    <w:p>
      <w:pPr>
        <w:ind w:left="300"/>
        <w:spacing w:after="0" w:line="232" w:lineRule="auto"/>
        <w:rPr>
          <w:sz w:val="20"/>
          <w:szCs w:val="20"/>
          <w:color w:val="auto"/>
        </w:rPr>
      </w:pPr>
      <w:r>
        <w:rPr>
          <w:rFonts w:ascii="Calibri" w:cs="Calibri" w:eastAsia="Calibri" w:hAnsi="Calibri"/>
          <w:sz w:val="16"/>
          <w:szCs w:val="16"/>
          <w:color w:val="auto"/>
        </w:rPr>
        <w:t>Fred P. Lampropoulos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5560" w:type="dxa"/>
            <w:vAlign w:val="bottom"/>
          </w:tcPr>
          <w:p>
            <w:pPr>
              <w:spacing w:after="0"/>
              <w:rPr>
                <w:sz w:val="20"/>
                <w:szCs w:val="20"/>
                <w:color w:val="auto"/>
              </w:rPr>
            </w:pPr>
            <w:r>
              <w:rPr>
                <w:rFonts w:ascii="Calibri" w:cs="Calibri" w:eastAsia="Calibri" w:hAnsi="Calibri"/>
                <w:sz w:val="16"/>
                <w:szCs w:val="16"/>
                <w:color w:val="auto"/>
              </w:rPr>
              <w:t>The Operatng Commitee’s primary purpose is to work with the Company’s</w:t>
            </w:r>
          </w:p>
        </w:tc>
        <w:tc>
          <w:tcPr>
            <w:tcW w:w="780" w:type="dxa"/>
            <w:vAlign w:val="bottom"/>
          </w:tcPr>
          <w:p>
            <w:pPr>
              <w:jc w:val="right"/>
              <w:spacing w:after="0"/>
              <w:rPr>
                <w:sz w:val="20"/>
                <w:szCs w:val="20"/>
                <w:color w:val="auto"/>
              </w:rPr>
            </w:pPr>
            <w:r>
              <w:rPr>
                <w:rFonts w:ascii="Calibri" w:cs="Calibri" w:eastAsia="Calibri" w:hAnsi="Calibri"/>
                <w:sz w:val="16"/>
                <w:szCs w:val="16"/>
                <w:color w:val="auto"/>
              </w:rPr>
              <w:t>10</w:t>
            </w:r>
          </w:p>
        </w:tc>
      </w:tr>
    </w:tbl>
    <w:p>
      <w:pPr>
        <w:ind w:right="1059"/>
        <w:spacing w:after="0" w:line="236" w:lineRule="auto"/>
        <w:rPr>
          <w:sz w:val="20"/>
          <w:szCs w:val="20"/>
          <w:color w:val="auto"/>
        </w:rPr>
      </w:pPr>
      <w:r>
        <w:rPr>
          <w:rFonts w:ascii="Calibri" w:cs="Calibri" w:eastAsia="Calibri" w:hAnsi="Calibri"/>
          <w:sz w:val="16"/>
          <w:szCs w:val="16"/>
          <w:color w:val="auto"/>
        </w:rPr>
        <w:t>management to establish operatng targets for the business (subject to approval of the Board). Management reports to the Operatng Commitee on its progress to achieve the operatng targets approved by the Board. The Operatng Commitee played a signifcant role in the development and oversight of our Foundatons for Growth program, as well as the development of our Contnued Growth Initatves program. The Operatng Commitee also provides oversight of our enterprise risk management program and coordinates oversight of partcular risk areas with the other Board commitees to which those areas of risk are delegated.</w:t>
      </w:r>
    </w:p>
    <w:p>
      <w:pPr>
        <w:spacing w:after="0" w:line="200" w:lineRule="exact"/>
        <w:rPr>
          <w:sz w:val="20"/>
          <w:szCs w:val="20"/>
          <w:color w:val="auto"/>
        </w:rPr>
      </w:pPr>
    </w:p>
    <w:p>
      <w:pPr>
        <w:sectPr>
          <w:pgSz w:w="11900" w:h="16838" w:orient="portrait"/>
          <w:cols w:equalWidth="0" w:num="2">
            <w:col w:w="2000" w:space="200"/>
            <w:col w:w="6819"/>
          </w:cols>
          <w:pgMar w:left="1440" w:top="504" w:right="1440" w:bottom="1440" w:gutter="0" w:footer="0" w:header="0"/>
          <w:type w:val="continuous"/>
        </w:sectPr>
      </w:pPr>
    </w:p>
    <w:p>
      <w:pPr>
        <w:spacing w:after="0" w:line="26" w:lineRule="exact"/>
        <w:rPr>
          <w:sz w:val="20"/>
          <w:szCs w:val="20"/>
          <w:color w:val="auto"/>
        </w:rPr>
      </w:pPr>
    </w:p>
    <w:p>
      <w:pPr>
        <w:ind w:left="200"/>
        <w:spacing w:after="0"/>
        <w:rPr>
          <w:sz w:val="20"/>
          <w:szCs w:val="20"/>
          <w:color w:val="auto"/>
        </w:rPr>
      </w:pPr>
      <w:r>
        <w:rPr>
          <w:rFonts w:ascii="Calibri" w:cs="Calibri" w:eastAsia="Calibri" w:hAnsi="Calibri"/>
          <w:sz w:val="16"/>
          <w:szCs w:val="16"/>
          <w:i w:val="1"/>
          <w:iCs w:val="1"/>
          <w:color w:val="auto"/>
        </w:rPr>
        <w:t>* Mr. Anderson’s membership on these commitees will end when his current term as director expires at the Annual Meetng.</w:t>
      </w: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20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24" w:name="page25"/>
    <w:bookmarkEnd w:id="24"/>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CORPORATE GOVERNANCE AND RELATED MATTERS</w:t>
      </w:r>
    </w:p>
    <w:p>
      <w:pPr>
        <w:spacing w:after="0" w:line="165"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Board Evaluaton</w:t>
      </w:r>
    </w:p>
    <w:p>
      <w:pPr>
        <w:spacing w:after="0" w:line="186" w:lineRule="exact"/>
        <w:rPr>
          <w:sz w:val="20"/>
          <w:szCs w:val="20"/>
          <w:color w:val="auto"/>
        </w:rPr>
      </w:pPr>
    </w:p>
    <w:p>
      <w:pPr>
        <w:ind w:left="200" w:right="599"/>
        <w:spacing w:after="0" w:line="232" w:lineRule="auto"/>
        <w:rPr>
          <w:sz w:val="20"/>
          <w:szCs w:val="20"/>
          <w:color w:val="auto"/>
        </w:rPr>
      </w:pPr>
      <w:r>
        <w:rPr>
          <w:rFonts w:ascii="Calibri" w:cs="Calibri" w:eastAsia="Calibri" w:hAnsi="Calibri"/>
          <w:sz w:val="18"/>
          <w:szCs w:val="18"/>
          <w:color w:val="auto"/>
        </w:rPr>
        <w:t>In 2022, the Governance Commitee engaged an experienced independent advisor to develop and conduct a comprehensive Board evaluaton process to assess the efectveness of our Board, commitees and members. The evaluaton process aims to identfy strengths and development opportunites with respect to our Board and its commitees in the areas of Board oversight and dutes, Board functoning and meetngs and Board compositon and culture.</w:t>
      </w:r>
    </w:p>
    <w:p>
      <w:pPr>
        <w:spacing w:after="0" w:line="180" w:lineRule="exact"/>
        <w:rPr>
          <w:sz w:val="20"/>
          <w:szCs w:val="20"/>
          <w:color w:val="auto"/>
        </w:rPr>
      </w:pPr>
    </w:p>
    <w:p>
      <w:pPr>
        <w:ind w:left="200" w:right="319"/>
        <w:spacing w:after="0" w:line="235" w:lineRule="auto"/>
        <w:rPr>
          <w:sz w:val="20"/>
          <w:szCs w:val="20"/>
          <w:color w:val="auto"/>
        </w:rPr>
      </w:pPr>
      <w:r>
        <w:rPr>
          <w:rFonts w:ascii="Calibri" w:cs="Calibri" w:eastAsia="Calibri" w:hAnsi="Calibri"/>
          <w:sz w:val="18"/>
          <w:szCs w:val="18"/>
          <w:color w:val="auto"/>
        </w:rPr>
        <w:t>The evaluaton conducted in the frst phase of the process was led by the Governance Commitee and facilitated by the independent advisor to preserve the integrity of the process and anonymity of the feedback of the Company’s directors and senior executve ofcers who partcipated in the process. The evaluaton facilitator met individually with each director and some of the Company’s senior executve ofcers to obtain and compile responses to the evaluaton, which included feedback from directors on other directors, for review by the Governance Commitee and the Board.</w:t>
      </w:r>
    </w:p>
    <w:p>
      <w:pPr>
        <w:spacing w:after="0" w:line="180" w:lineRule="exact"/>
        <w:rPr>
          <w:sz w:val="20"/>
          <w:szCs w:val="20"/>
          <w:color w:val="auto"/>
        </w:rPr>
      </w:pPr>
    </w:p>
    <w:p>
      <w:pPr>
        <w:ind w:left="200" w:right="379"/>
        <w:spacing w:after="0" w:line="233" w:lineRule="auto"/>
        <w:rPr>
          <w:sz w:val="20"/>
          <w:szCs w:val="20"/>
          <w:color w:val="auto"/>
        </w:rPr>
      </w:pPr>
      <w:r>
        <w:rPr>
          <w:rFonts w:ascii="Calibri" w:cs="Calibri" w:eastAsia="Calibri" w:hAnsi="Calibri"/>
          <w:sz w:val="18"/>
          <w:szCs w:val="18"/>
          <w:color w:val="auto"/>
        </w:rPr>
        <w:t>The Governance Commitee reviewed the frst-phase evaluaton results with the evaluaton process facilitator and coordinated an opportunity for the facilitator to present the general conclusions developed in the course of the evaluaton to the Board. The Board reviewed and discussed the conclusions presented by the facilitator and reviewed potental actons to be taken as a result of the evaluaton. Subsequent to the completon of the evaluaton, the Board has used the evaluaton results to inform Board and commitee compositon and refreshment, including expansion and refnement of the atributes and experience criteria for Board membership and to address the evolving needs of the Company.</w:t>
      </w:r>
    </w:p>
    <w:p>
      <w:pPr>
        <w:spacing w:after="0" w:line="181" w:lineRule="exact"/>
        <w:rPr>
          <w:sz w:val="20"/>
          <w:szCs w:val="20"/>
          <w:color w:val="auto"/>
        </w:rPr>
      </w:pPr>
    </w:p>
    <w:p>
      <w:pPr>
        <w:ind w:left="200" w:right="359"/>
        <w:spacing w:after="0" w:line="248" w:lineRule="auto"/>
        <w:rPr>
          <w:sz w:val="20"/>
          <w:szCs w:val="20"/>
          <w:color w:val="auto"/>
        </w:rPr>
      </w:pPr>
      <w:r>
        <w:rPr>
          <w:rFonts w:ascii="Calibri" w:cs="Calibri" w:eastAsia="Calibri" w:hAnsi="Calibri"/>
          <w:sz w:val="17"/>
          <w:szCs w:val="17"/>
          <w:color w:val="auto"/>
        </w:rPr>
        <w:t>In the second phase of the evaluaton process, the Governance Commitee and the Board, in coordinaton with an external independent advisor, conducted a detailed review of the acton items identfed during the evaluaton conducted in the frst phase and a full-day Board efectveness session facilitated by an independent external advisor in May 2023. In preparaton for the session, the independent advisor conducted interviews with each of the directors, focused on Board efectveness and executve succession planning. During the session, the advisor reviewed the interview fndings, notng strengths and opportunites for further development, the directors (as an entre group and in sessions of the independent directors) discussed in detail the feedback provided by the advisor and the directors developed an acton plan to address the objectves identfed during the session, both with respect to the dutes and responsibilites of the Board in general, as well as in preparaton for the antcipated CEO succession transiton.</w:t>
      </w:r>
    </w:p>
    <w:p>
      <w:pPr>
        <w:spacing w:after="0" w:line="176" w:lineRule="exact"/>
        <w:rPr>
          <w:sz w:val="20"/>
          <w:szCs w:val="20"/>
          <w:color w:val="auto"/>
        </w:rPr>
      </w:pPr>
    </w:p>
    <w:p>
      <w:pPr>
        <w:ind w:left="200" w:right="299"/>
        <w:spacing w:after="0" w:line="234" w:lineRule="auto"/>
        <w:rPr>
          <w:sz w:val="20"/>
          <w:szCs w:val="20"/>
          <w:color w:val="auto"/>
        </w:rPr>
      </w:pPr>
      <w:r>
        <w:rPr>
          <w:rFonts w:ascii="Calibri" w:cs="Calibri" w:eastAsia="Calibri" w:hAnsi="Calibri"/>
          <w:sz w:val="18"/>
          <w:szCs w:val="18"/>
          <w:color w:val="auto"/>
        </w:rPr>
        <w:t>At the end of 2023, the Governance Commitee completed the third phase of the evaluaton process by conductng a confdental internal assessment facilitated by the Company’s Corporate Secretary. Each director responded to a series of questons addressing the director’s assessment of the efectveness of our Board, commitees and members. The assessment questons were developed with the assistance of the independent advisor who conducted the evaluaton in the frst phase of the evaluaton process and were designed to evaluate the actons taken by the Board, commitees and members during the three-phase process. The Governance Commitee reviewed the responses to the internal assessment and the Chair of the Governance Commitee summarized the responses in a meetng of the Board. The Board and Governance Commitee intend to use the assessment results in their contnued eforts to identfy opportunites for enhanced Board and commitee efectveness.</w:t>
      </w:r>
    </w:p>
    <w:p>
      <w:pPr>
        <w:spacing w:after="0" w:line="166"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Risk Management</w:t>
      </w:r>
    </w:p>
    <w:p>
      <w:pPr>
        <w:spacing w:after="0" w:line="186" w:lineRule="exact"/>
        <w:rPr>
          <w:sz w:val="20"/>
          <w:szCs w:val="20"/>
          <w:color w:val="auto"/>
        </w:rPr>
      </w:pPr>
    </w:p>
    <w:p>
      <w:pPr>
        <w:ind w:left="200" w:right="279"/>
        <w:spacing w:after="0" w:line="235" w:lineRule="auto"/>
        <w:rPr>
          <w:sz w:val="20"/>
          <w:szCs w:val="20"/>
          <w:color w:val="auto"/>
        </w:rPr>
      </w:pPr>
      <w:r>
        <w:rPr>
          <w:rFonts w:ascii="Calibri" w:cs="Calibri" w:eastAsia="Calibri" w:hAnsi="Calibri"/>
          <w:sz w:val="18"/>
          <w:szCs w:val="18"/>
          <w:color w:val="auto"/>
        </w:rPr>
        <w:t>The Board is involved in assessing and managing risks that could afect the Company. One of the roles of the Board is to periodically assess the processes used by management with respect to risk assessment and risk management, including identfcaton by management of the principal risks of our business, and the implementaton by management of appropriate systems to deal with such risks. The Board fulflls these responsibilites either directly, through delegaton to commitees of the Board, or, as appropriate, through delegaton to individual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5" w:name="page26"/>
    <w:bookmarkEnd w:id="25"/>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CORPORATE GOVERNANCE AND RELATED MATTERS</w:t>
      </w:r>
    </w:p>
    <w:p>
      <w:pPr>
        <w:spacing w:after="0" w:line="136" w:lineRule="exact"/>
        <w:rPr>
          <w:sz w:val="20"/>
          <w:szCs w:val="20"/>
          <w:color w:val="auto"/>
        </w:rPr>
      </w:pPr>
    </w:p>
    <w:p>
      <w:pPr>
        <w:ind w:left="200" w:right="239"/>
        <w:spacing w:after="0" w:line="234" w:lineRule="auto"/>
        <w:rPr>
          <w:sz w:val="20"/>
          <w:szCs w:val="20"/>
          <w:color w:val="auto"/>
        </w:rPr>
      </w:pPr>
      <w:r>
        <w:rPr>
          <w:rFonts w:ascii="Calibri" w:cs="Calibri" w:eastAsia="Calibri" w:hAnsi="Calibri"/>
          <w:sz w:val="18"/>
          <w:szCs w:val="18"/>
          <w:color w:val="auto"/>
        </w:rPr>
        <w:t>The Board has delegated risk management oversight responsibilites to the Operatng Commitee. However, oversight of partcular risks has been further delegated to the applicable standing commitee(s) of the Board. The Audit Commitee is generally responsible for oversight of risks relatng to the quality and integrity of our fnancial reports, the independence and qualifcatons of our independent registered public accountng frm, our compliance with disclosure and fnancial reportng requirements and overall enterprise risk management, including evaluaton and oversight of cybersecurity risk management. At least annually, the Board and/or the Audit Commitee is briefed by the Company’s Chief Informaton Ofcer and other members of the Company’s management on informaton technology and cybersecurity risks and the Company’s eforts to mitgate those risks. The Compensaton Commitee is generally responsible for oversight of risks such as those relatng to executve employment policies, our compensaton and benefts systems, including our executve compensaton program, and human capital development. The Governance Commitee is generally responsible for oversight of risks associated with the Company’s sustainability eforts, director and management succession and development and implementaton of corporate governance principles, as well as risks addressed through the identfcaton and recommendaton of individuals qualifed to become directors of the Company. The Finance Commitee is generally responsible for oversight of risks relatng to mergers and acquisitons, as well as capital raising actvites and transactons. These commitees exercise their oversight responsibilites through reports from and meetngs with ofcers of the Company responsible for each of these risk areas, including our Chief Financial Ofcer, Chief Operatng Ofcer, Chief Legal Ofcer, Chief Commercial Ofcer, Chief of Accountng, Chief Compliance Ofcer, Chief Informaton Ofcer, Director of Internal Audit, Director of Enterprise Risk Management and Vice President, Environmental, Social and Governance. In such meetngs, commitee members discuss and analyze such risks, and, when necessary, consult with outside advisors.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Director Orientaton and Contnuing Educaton</w:t>
      </w:r>
    </w:p>
    <w:p>
      <w:pPr>
        <w:spacing w:after="0" w:line="173" w:lineRule="exact"/>
        <w:rPr>
          <w:sz w:val="20"/>
          <w:szCs w:val="20"/>
          <w:color w:val="auto"/>
        </w:rPr>
      </w:pPr>
    </w:p>
    <w:p>
      <w:pPr>
        <w:ind w:left="200" w:right="319"/>
        <w:spacing w:after="0" w:line="234" w:lineRule="auto"/>
        <w:rPr>
          <w:sz w:val="20"/>
          <w:szCs w:val="20"/>
          <w:color w:val="auto"/>
        </w:rPr>
      </w:pPr>
      <w:r>
        <w:rPr>
          <w:rFonts w:ascii="Calibri" w:cs="Calibri" w:eastAsia="Calibri" w:hAnsi="Calibri"/>
          <w:sz w:val="18"/>
          <w:szCs w:val="18"/>
          <w:color w:val="auto"/>
        </w:rPr>
        <w:t>New directors partcipate in an orientaton program developed and overseen by our Governance Commitee, which is conducted prior to or shortly afer the director’s electon or appointment. This orientaton program includes presentatons by other directors and members of the Company’s senior management with respect to fnance, operatons, governance, legal and compliance maters, regulatory issues, cybersecurity, industry developments and strategic planning. In recent years, our Governance Commitee has led an enhancement of our director orientaton program, including scheduled orientaton sessions with members of the Company’s senior management and delivery of detailed orientaton materials. In additon to the inital onboarding process, members of the Company’s senior management regularly provide ongoing orientaton and training sessions at Board meetngs, including presentatons regarding business strategy, legal and regulatory compliance, informaton technology and cybersecurity, business development and governance. The informaton technology and cybersecurity training provided to the Board is an extension of the Company’s cybersecurity awareness program provided by the Company’s informaton technology department to Company employees worldwide. The Company’s cybersecurity awareness program includes regular training courses which are available throughout the Company and periodic updates targeted to individual departments, sites or regions as appropriate. The Company also encourages directors to obtain third-party contnuing educaton on topics of relevance to the Company and its operatons and provides to directors reimbursement of up to $5,000 of annual educatonal expenses.</w:t>
      </w:r>
    </w:p>
    <w:p>
      <w:pPr>
        <w:spacing w:after="0" w:line="179"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Shareholder Engagement</w:t>
      </w:r>
    </w:p>
    <w:p>
      <w:pPr>
        <w:spacing w:after="0" w:line="146" w:lineRule="exact"/>
        <w:rPr>
          <w:sz w:val="20"/>
          <w:szCs w:val="20"/>
          <w:color w:val="auto"/>
        </w:rPr>
      </w:pPr>
    </w:p>
    <w:p>
      <w:pPr>
        <w:ind w:left="200" w:right="239"/>
        <w:spacing w:after="0" w:line="248" w:lineRule="auto"/>
        <w:rPr>
          <w:sz w:val="20"/>
          <w:szCs w:val="20"/>
          <w:color w:val="auto"/>
        </w:rPr>
      </w:pPr>
      <w:r>
        <w:rPr>
          <w:rFonts w:ascii="Calibri" w:cs="Calibri" w:eastAsia="Calibri" w:hAnsi="Calibri"/>
          <w:sz w:val="17"/>
          <w:szCs w:val="17"/>
          <w:color w:val="auto"/>
        </w:rPr>
        <w:t>We regularly communicate with many of our largest shareholders regarding our operatons and fnancial results. During the years leading up to 2020, we expanded our shareholder communicaton eforts in an atempt to develop a beter understanding of the corporate governance and executve compensaton perspectves and practces which are important to our shareholders. Our shareholder engagement eforts have historically been directed by F. Ann Millner, Ed.D., our Lead Independent Director and Chair of our Governance Commitee, and A. Scot Anderson, Chair of our Compensaton Commitee and former Lead Independent Director, and are supported by members of our executve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22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6" w:name="page27"/>
    <w:bookmarkEnd w:id="26"/>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5140"/>
        <w:spacing w:after="0"/>
        <w:rPr>
          <w:sz w:val="20"/>
          <w:szCs w:val="20"/>
          <w:color w:val="auto"/>
        </w:rPr>
      </w:pPr>
      <w:r>
        <w:rPr>
          <w:rFonts w:ascii="Calibri" w:cs="Calibri" w:eastAsia="Calibri" w:hAnsi="Calibri"/>
          <w:sz w:val="17"/>
          <w:szCs w:val="17"/>
          <w:color w:val="auto"/>
        </w:rPr>
        <w:t>CORPORATE GOVERNANCE AND RELATED MATTERS</w:t>
      </w:r>
    </w:p>
    <w:p>
      <w:pPr>
        <w:spacing w:after="0" w:line="184" w:lineRule="exact"/>
        <w:rPr>
          <w:sz w:val="20"/>
          <w:szCs w:val="20"/>
          <w:color w:val="auto"/>
        </w:rPr>
      </w:pPr>
    </w:p>
    <w:p>
      <w:pPr>
        <w:ind w:left="200" w:right="219"/>
        <w:spacing w:after="0" w:line="233" w:lineRule="auto"/>
        <w:rPr>
          <w:sz w:val="20"/>
          <w:szCs w:val="20"/>
          <w:color w:val="auto"/>
        </w:rPr>
      </w:pPr>
      <w:r>
        <w:rPr>
          <w:rFonts w:ascii="Calibri" w:cs="Calibri" w:eastAsia="Calibri" w:hAnsi="Calibri"/>
          <w:sz w:val="18"/>
          <w:szCs w:val="18"/>
          <w:color w:val="auto"/>
        </w:rPr>
        <w:t>As a consequence of the COVID-19 pandemic, the scope of engagement between our directors and shareholders was reduced signifcantly during 2020, 2021 and 2022. We maintained contact with several of our large shareholders during 2023, primarily through fnancial conferences and investor presentatons; however, most of the input we received with respect to the interests of our shareholders was provided by external advisors and focused on the development of corporate governance and executve compensaton practces which are generally deemed favorable by sophistcated shareholders and their advisors. Afer considering that input, during 2023 our Board and its Governance and Compensaton Commitees took a number of actons which we believe have strengthened our corporate governance and executve compensaton practces. Those actons include:</w:t>
      </w:r>
    </w:p>
    <w:p>
      <w:pPr>
        <w:spacing w:after="0" w:line="183" w:lineRule="exact"/>
        <w:rPr>
          <w:sz w:val="20"/>
          <w:szCs w:val="20"/>
          <w:color w:val="auto"/>
        </w:rPr>
      </w:pPr>
    </w:p>
    <w:p>
      <w:pPr>
        <w:ind w:left="540" w:right="379" w:hanging="331"/>
        <w:spacing w:after="0" w:line="258" w:lineRule="auto"/>
        <w:tabs>
          <w:tab w:leader="none" w:pos="540" w:val="left"/>
        </w:tabs>
        <w:numPr>
          <w:ilvl w:val="0"/>
          <w:numId w:val="47"/>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Identfed experience and skills which would enhance the Board’s ability to fulfll its dutes and responsibilites and recruited and nominated an individual whom the Board believes will contribute that experience and those skills;</w:t>
      </w:r>
    </w:p>
    <w:p>
      <w:pPr>
        <w:spacing w:after="0" w:line="161" w:lineRule="exact"/>
        <w:rPr>
          <w:rFonts w:ascii="Times New Roman" w:cs="Times New Roman" w:eastAsia="Times New Roman" w:hAnsi="Times New Roman"/>
          <w:sz w:val="17"/>
          <w:szCs w:val="17"/>
          <w:color w:val="AF0000"/>
        </w:rPr>
      </w:pPr>
    </w:p>
    <w:p>
      <w:pPr>
        <w:ind w:left="540" w:right="399" w:hanging="331"/>
        <w:spacing w:after="0" w:line="233" w:lineRule="auto"/>
        <w:tabs>
          <w:tab w:leader="none" w:pos="540" w:val="left"/>
        </w:tabs>
        <w:numPr>
          <w:ilvl w:val="0"/>
          <w:numId w:val="47"/>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Reviewed and amended the Governance Guidelines to strengthen our corporate governance practces, including enhancing the emphasis on director educaton, increasing the responsibilites of the Lead Independent Director, establishing a requirement that not less than 60% of the members of the Board shall be independent directors, requiring the independent directors to review the Company’s Corporate Policy on Insider Trading (</w:t>
      </w:r>
      <w:r>
        <w:rPr>
          <w:rFonts w:ascii="Calibri" w:cs="Calibri" w:eastAsia="Calibri" w:hAnsi="Calibri"/>
          <w:sz w:val="18"/>
          <w:szCs w:val="18"/>
          <w:u w:val="single" w:color="auto"/>
          <w:color w:val="FF0000"/>
        </w:rPr>
        <w:t>Insider Trading</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FF0000"/>
        </w:rPr>
        <w:t>Policy</w:t>
      </w:r>
      <w:r>
        <w:rPr>
          <w:rFonts w:ascii="Calibri" w:cs="Calibri" w:eastAsia="Calibri" w:hAnsi="Calibri"/>
          <w:sz w:val="18"/>
          <w:szCs w:val="18"/>
          <w:color w:val="000000"/>
        </w:rPr>
        <w:t>) and provide oversight of a writen report provided by the Company’s Chief Legal Ofcer to the Board,</w:t>
      </w:r>
      <w:r>
        <w:rPr>
          <w:rFonts w:ascii="Calibri" w:cs="Calibri" w:eastAsia="Calibri" w:hAnsi="Calibri"/>
          <w:sz w:val="18"/>
          <w:szCs w:val="18"/>
          <w:color w:val="FF0000"/>
        </w:rPr>
        <w:t xml:space="preserve"> </w:t>
      </w:r>
      <w:r>
        <w:rPr>
          <w:rFonts w:ascii="Calibri" w:cs="Calibri" w:eastAsia="Calibri" w:hAnsi="Calibri"/>
          <w:sz w:val="18"/>
          <w:szCs w:val="18"/>
          <w:color w:val="000000"/>
        </w:rPr>
        <w:t>adoptng a policy regarding rotaton of the Audit Commitee Chair, implementng additonal practces with respect to the Company’s ethics hotline and providing for regular reportng of the Company’s Chief Legal Ofcer and Chief Compliance Ofcer to the Board;</w:t>
      </w:r>
    </w:p>
    <w:p>
      <w:pPr>
        <w:spacing w:after="0" w:line="192"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47"/>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Contnued to encourage and provide oversight of expanded sustainable business practces;</w:t>
      </w:r>
    </w:p>
    <w:p>
      <w:pPr>
        <w:spacing w:after="0" w:line="176" w:lineRule="exact"/>
        <w:rPr>
          <w:rFonts w:ascii="Times New Roman" w:cs="Times New Roman" w:eastAsia="Times New Roman" w:hAnsi="Times New Roman"/>
          <w:sz w:val="18"/>
          <w:szCs w:val="18"/>
          <w:color w:val="AF0000"/>
        </w:rPr>
      </w:pPr>
    </w:p>
    <w:p>
      <w:pPr>
        <w:ind w:left="540" w:right="839" w:hanging="331"/>
        <w:spacing w:after="0" w:line="235" w:lineRule="auto"/>
        <w:tabs>
          <w:tab w:leader="none" w:pos="540" w:val="left"/>
        </w:tabs>
        <w:numPr>
          <w:ilvl w:val="0"/>
          <w:numId w:val="47"/>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Contnued and refned the Company’s long-term equity programs designed to increase the alignment of our executve compensaton with Company performance; and</w:t>
      </w:r>
    </w:p>
    <w:p>
      <w:pPr>
        <w:spacing w:after="0" w:line="177" w:lineRule="exact"/>
        <w:rPr>
          <w:rFonts w:ascii="Times New Roman" w:cs="Times New Roman" w:eastAsia="Times New Roman" w:hAnsi="Times New Roman"/>
          <w:sz w:val="18"/>
          <w:szCs w:val="18"/>
          <w:color w:val="AF0000"/>
        </w:rPr>
      </w:pPr>
    </w:p>
    <w:p>
      <w:pPr>
        <w:ind w:left="540" w:right="419" w:hanging="331"/>
        <w:spacing w:after="0" w:line="235" w:lineRule="auto"/>
        <w:tabs>
          <w:tab w:leader="none" w:pos="540" w:val="left"/>
        </w:tabs>
        <w:numPr>
          <w:ilvl w:val="0"/>
          <w:numId w:val="47"/>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Enhanced oversight of the Company’s enterprise risk management practces, under the directon of the Operatng Commitee</w:t>
      </w:r>
    </w:p>
    <w:p>
      <w:pPr>
        <w:spacing w:after="0" w:line="191" w:lineRule="exact"/>
        <w:rPr>
          <w:sz w:val="20"/>
          <w:szCs w:val="20"/>
          <w:color w:val="auto"/>
        </w:rPr>
      </w:pPr>
    </w:p>
    <w:p>
      <w:pPr>
        <w:ind w:left="200" w:right="419"/>
        <w:spacing w:after="0" w:line="233" w:lineRule="auto"/>
        <w:rPr>
          <w:sz w:val="20"/>
          <w:szCs w:val="20"/>
          <w:color w:val="auto"/>
        </w:rPr>
      </w:pPr>
      <w:r>
        <w:rPr>
          <w:rFonts w:ascii="Calibri" w:cs="Calibri" w:eastAsia="Calibri" w:hAnsi="Calibri"/>
          <w:sz w:val="18"/>
          <w:szCs w:val="18"/>
          <w:color w:val="auto"/>
        </w:rPr>
        <w:t>Our Board is commited to implementng governance, executve compensaton and sustainability practces which will contribute to the long-term success of the Company. To fulfll that commitment, our Board, primarily through its Governance and Compensaton Commitees, will contnue to seek opportunites to consult with major shareholders in appropriate situatons. Due to the expiraton of Mr. Anderson’s term of service as a director, we antcipate Dr. Millner and other Board commitee chairs will contnue to lead those eforts, with the support of members of our executve management and investor relatons teams.</w:t>
      </w:r>
    </w:p>
    <w:p>
      <w:pPr>
        <w:spacing w:after="0" w:line="17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Shareholder Communicaton with the Board of Directors</w:t>
      </w:r>
    </w:p>
    <w:p>
      <w:pPr>
        <w:spacing w:after="0" w:line="177" w:lineRule="exact"/>
        <w:rPr>
          <w:sz w:val="20"/>
          <w:szCs w:val="20"/>
          <w:color w:val="auto"/>
        </w:rPr>
      </w:pPr>
    </w:p>
    <w:p>
      <w:pPr>
        <w:ind w:left="200" w:right="259"/>
        <w:spacing w:after="0" w:line="235" w:lineRule="auto"/>
        <w:rPr>
          <w:sz w:val="20"/>
          <w:szCs w:val="20"/>
          <w:color w:val="auto"/>
        </w:rPr>
      </w:pPr>
      <w:r>
        <w:rPr>
          <w:rFonts w:ascii="Calibri" w:cs="Calibri" w:eastAsia="Calibri" w:hAnsi="Calibri"/>
          <w:sz w:val="18"/>
          <w:szCs w:val="18"/>
          <w:color w:val="auto"/>
        </w:rPr>
        <w:t>The Board will receive communicatons from Company shareholders. All communicatons, except those related to shareholder proposals that are discussed below under the heading “Shareholder Proposals for Annual Meetng 2025,” must be sent to our Corporate Secretary (Brian G. Lloyd) at our principal executve ofces at 1600 West Merit Parkway, South Jordan, UT 84095. Communicatons submited to the Board (other than communicatons received through our ethics hotline, which are reviewed and addressed by the Audit Commitee) are generally reported to our directors at the next regular meetng of the Board.</w:t>
      </w:r>
    </w:p>
    <w:p>
      <w:pPr>
        <w:spacing w:after="0" w:line="181" w:lineRule="exact"/>
        <w:rPr>
          <w:sz w:val="20"/>
          <w:szCs w:val="20"/>
          <w:color w:val="auto"/>
        </w:rPr>
      </w:pPr>
    </w:p>
    <w:p>
      <w:pPr>
        <w:ind w:left="200" w:right="479"/>
        <w:spacing w:after="0" w:line="235" w:lineRule="auto"/>
        <w:rPr>
          <w:sz w:val="20"/>
          <w:szCs w:val="20"/>
          <w:color w:val="auto"/>
        </w:rPr>
      </w:pPr>
      <w:r>
        <w:rPr>
          <w:rFonts w:ascii="Calibri" w:cs="Calibri" w:eastAsia="Calibri" w:hAnsi="Calibri"/>
          <w:sz w:val="18"/>
          <w:szCs w:val="18"/>
          <w:color w:val="auto"/>
        </w:rPr>
        <w:t>All directors of the Company are strongly encouraged to atend our Annual Meetng. Ten of the eleven directors, then serving on the Board or nominated to the Board, were present in person or through video conference at our 2023 annual meetng of shareholders.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7" w:name="page28"/>
    <w:bookmarkEnd w:id="27"/>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CORPORATE GOVERNANCE AND RELATED MATTERS</w:t>
      </w:r>
    </w:p>
    <w:p>
      <w:pPr>
        <w:spacing w:after="0" w:line="124"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Governance Guidelines and Code of Ethics</w:t>
      </w:r>
    </w:p>
    <w:p>
      <w:pPr>
        <w:spacing w:after="0" w:line="141"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Corporate Governance Guidelines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Our Governance Guidelines set forth the responsibilites of our directors.</w:t>
      </w:r>
    </w:p>
    <w:p>
      <w:pPr>
        <w:spacing w:after="0" w:line="190" w:lineRule="exact"/>
        <w:rPr>
          <w:sz w:val="20"/>
          <w:szCs w:val="20"/>
          <w:color w:val="auto"/>
        </w:rPr>
      </w:pPr>
    </w:p>
    <w:p>
      <w:pPr>
        <w:ind w:left="200" w:right="319"/>
        <w:spacing w:after="0" w:line="234" w:lineRule="auto"/>
        <w:rPr>
          <w:sz w:val="20"/>
          <w:szCs w:val="20"/>
          <w:color w:val="auto"/>
        </w:rPr>
      </w:pPr>
      <w:r>
        <w:rPr>
          <w:rFonts w:ascii="Calibri" w:cs="Calibri" w:eastAsia="Calibri" w:hAnsi="Calibri"/>
          <w:sz w:val="18"/>
          <w:szCs w:val="18"/>
          <w:color w:val="auto"/>
        </w:rPr>
        <w:t>The Governance Guidelines include guidelines that, among other things, contemplate that directors will maintain minimum stock ownership with a value of at least fve tmes the annual retainer received. The Governance Guidelines also require the CEO to maintain minimum stock ownership with a value of at least fve tmes his or her annual base salary. Directors have fve years from appointment to the Board to comply with the minimum stock ownership requirement. The Governance Commitee provides oversight of the stock ownership guidelines and may allow waivers with respect to the stock ownership guidelines for directors and the CEO on a case-by-case basis. Based on its review of the stock ownership of the directors and CEO, the Governance Commitee determined that all current directors and the CEO are in compliance with the stock ownership guidelines set forth in the Governance Guidelines or are within their fve-year transiton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5452110" cy="1689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52110" cy="1689100"/>
                    </a:xfrm>
                    <a:prstGeom prst="rect">
                      <a:avLst/>
                    </a:prstGeom>
                    <a:noFill/>
                  </pic:spPr>
                </pic:pic>
              </a:graphicData>
            </a:graphic>
          </wp:anchor>
        </w:drawing>
      </w:r>
    </w:p>
    <w:p>
      <w:pPr>
        <w:spacing w:after="0" w:line="29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F0000"/>
        </w:rPr>
        <w:t>Governance Materials</w:t>
      </w:r>
    </w:p>
    <w:p>
      <w:pPr>
        <w:spacing w:after="0" w:line="100"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The following materials relatng to corporate governance are available via our website at:</w:t>
      </w:r>
    </w:p>
    <w:p>
      <w:pPr>
        <w:ind w:left="320"/>
        <w:spacing w:after="0" w:line="235" w:lineRule="auto"/>
        <w:rPr>
          <w:sz w:val="20"/>
          <w:szCs w:val="20"/>
          <w:color w:val="auto"/>
        </w:rPr>
      </w:pPr>
      <w:r>
        <w:rPr>
          <w:rFonts w:ascii="Calibri" w:cs="Calibri" w:eastAsia="Calibri" w:hAnsi="Calibri"/>
          <w:sz w:val="18"/>
          <w:szCs w:val="18"/>
          <w:b w:val="1"/>
          <w:bCs w:val="1"/>
          <w:color w:val="AF0000"/>
        </w:rPr>
        <w:t>www.merit.com/investors/corporate-governance-leadership/</w:t>
      </w:r>
    </w:p>
    <w:p>
      <w:pPr>
        <w:spacing w:after="0" w:line="186"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F0000"/>
              </w:rPr>
              <w:t xml:space="preserve">●  </w:t>
            </w:r>
            <w:r>
              <w:rPr>
                <w:rFonts w:ascii="Calibri" w:cs="Calibri" w:eastAsia="Calibri" w:hAnsi="Calibri"/>
                <w:sz w:val="16"/>
                <w:szCs w:val="16"/>
                <w:b w:val="1"/>
                <w:bCs w:val="1"/>
                <w:color w:val="000000"/>
              </w:rPr>
              <w:t>Code of Business Conduct and Ethics</w:t>
            </w:r>
          </w:p>
        </w:tc>
        <w:tc>
          <w:tcPr>
            <w:tcW w:w="42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F0000"/>
              </w:rPr>
              <w:t xml:space="preserve">●  </w:t>
            </w:r>
            <w:r>
              <w:rPr>
                <w:rFonts w:ascii="Calibri" w:cs="Calibri" w:eastAsia="Calibri" w:hAnsi="Calibri"/>
                <w:sz w:val="16"/>
                <w:szCs w:val="16"/>
                <w:b w:val="1"/>
                <w:bCs w:val="1"/>
                <w:color w:val="000000"/>
              </w:rPr>
              <w:t>Code of Ethics for CEO and Senior Financial Ofcers</w:t>
            </w:r>
          </w:p>
        </w:tc>
      </w:tr>
      <w:tr>
        <w:trPr>
          <w:trHeight w:val="365"/>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F0000"/>
              </w:rPr>
              <w:t>●</w:t>
            </w:r>
          </w:p>
        </w:tc>
        <w:tc>
          <w:tcPr>
            <w:tcW w:w="3140" w:type="dxa"/>
            <w:vAlign w:val="bottom"/>
          </w:tcPr>
          <w:p>
            <w:pPr>
              <w:ind w:left="60"/>
              <w:spacing w:after="0"/>
              <w:rPr>
                <w:sz w:val="20"/>
                <w:szCs w:val="20"/>
                <w:color w:val="auto"/>
              </w:rPr>
            </w:pPr>
            <w:r>
              <w:rPr>
                <w:rFonts w:ascii="Calibri" w:cs="Calibri" w:eastAsia="Calibri" w:hAnsi="Calibri"/>
                <w:sz w:val="16"/>
                <w:szCs w:val="16"/>
                <w:b w:val="1"/>
                <w:bCs w:val="1"/>
                <w:color w:val="auto"/>
              </w:rPr>
              <w:t>Corporate Governance Guidelines</w:t>
            </w: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F0000"/>
              </w:rPr>
              <w:t>●</w:t>
            </w:r>
          </w:p>
        </w:tc>
        <w:tc>
          <w:tcPr>
            <w:tcW w:w="3480" w:type="dxa"/>
            <w:vAlign w:val="bottom"/>
          </w:tcPr>
          <w:p>
            <w:pPr>
              <w:ind w:left="60"/>
              <w:spacing w:after="0"/>
              <w:rPr>
                <w:sz w:val="20"/>
                <w:szCs w:val="20"/>
                <w:color w:val="auto"/>
              </w:rPr>
            </w:pPr>
            <w:r>
              <w:rPr>
                <w:rFonts w:ascii="Calibri" w:cs="Calibri" w:eastAsia="Calibri" w:hAnsi="Calibri"/>
                <w:sz w:val="16"/>
                <w:szCs w:val="16"/>
                <w:b w:val="1"/>
                <w:bCs w:val="1"/>
                <w:color w:val="auto"/>
              </w:rPr>
              <w:t>Compensaton Commitee Charter</w:t>
            </w:r>
          </w:p>
        </w:tc>
      </w:tr>
      <w:tr>
        <w:trPr>
          <w:trHeight w:val="391"/>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F0000"/>
              </w:rPr>
              <w:t>●</w:t>
            </w:r>
          </w:p>
        </w:tc>
        <w:tc>
          <w:tcPr>
            <w:tcW w:w="3140" w:type="dxa"/>
            <w:vAlign w:val="bottom"/>
          </w:tcPr>
          <w:p>
            <w:pPr>
              <w:ind w:left="60"/>
              <w:spacing w:after="0"/>
              <w:rPr>
                <w:sz w:val="20"/>
                <w:szCs w:val="20"/>
                <w:color w:val="auto"/>
              </w:rPr>
            </w:pPr>
            <w:r>
              <w:rPr>
                <w:rFonts w:ascii="Calibri" w:cs="Calibri" w:eastAsia="Calibri" w:hAnsi="Calibri"/>
                <w:sz w:val="16"/>
                <w:szCs w:val="16"/>
                <w:b w:val="1"/>
                <w:bCs w:val="1"/>
                <w:color w:val="auto"/>
              </w:rPr>
              <w:t>Audit Commitee Charter</w:t>
            </w: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F0000"/>
              </w:rPr>
              <w:t>●</w:t>
            </w:r>
          </w:p>
        </w:tc>
        <w:tc>
          <w:tcPr>
            <w:tcW w:w="3480" w:type="dxa"/>
            <w:vAlign w:val="bottom"/>
          </w:tcPr>
          <w:p>
            <w:pPr>
              <w:ind w:left="60"/>
              <w:spacing w:after="0"/>
              <w:rPr>
                <w:sz w:val="20"/>
                <w:szCs w:val="20"/>
                <w:color w:val="auto"/>
              </w:rPr>
            </w:pPr>
            <w:r>
              <w:rPr>
                <w:rFonts w:ascii="Calibri" w:cs="Calibri" w:eastAsia="Calibri" w:hAnsi="Calibri"/>
                <w:sz w:val="16"/>
                <w:szCs w:val="16"/>
                <w:b w:val="1"/>
                <w:bCs w:val="1"/>
                <w:color w:val="auto"/>
              </w:rPr>
              <w:t>Governance Commitee Charter</w:t>
            </w:r>
          </w:p>
        </w:tc>
      </w:tr>
      <w:tr>
        <w:trPr>
          <w:trHeight w:val="405"/>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F0000"/>
              </w:rPr>
              <w:t>●</w:t>
            </w:r>
          </w:p>
        </w:tc>
        <w:tc>
          <w:tcPr>
            <w:tcW w:w="3140" w:type="dxa"/>
            <w:vAlign w:val="bottom"/>
          </w:tcPr>
          <w:p>
            <w:pPr>
              <w:ind w:left="60"/>
              <w:spacing w:after="0"/>
              <w:rPr>
                <w:sz w:val="20"/>
                <w:szCs w:val="20"/>
                <w:color w:val="auto"/>
              </w:rPr>
            </w:pPr>
            <w:r>
              <w:rPr>
                <w:rFonts w:ascii="Calibri" w:cs="Calibri" w:eastAsia="Calibri" w:hAnsi="Calibri"/>
                <w:sz w:val="16"/>
                <w:szCs w:val="16"/>
                <w:b w:val="1"/>
                <w:bCs w:val="1"/>
                <w:color w:val="auto"/>
              </w:rPr>
              <w:t>Operatng Commitee Charter</w:t>
            </w: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F0000"/>
              </w:rPr>
              <w:t>●</w:t>
            </w:r>
          </w:p>
        </w:tc>
        <w:tc>
          <w:tcPr>
            <w:tcW w:w="3480" w:type="dxa"/>
            <w:vAlign w:val="bottom"/>
          </w:tcPr>
          <w:p>
            <w:pPr>
              <w:ind w:left="60"/>
              <w:spacing w:after="0"/>
              <w:rPr>
                <w:sz w:val="20"/>
                <w:szCs w:val="20"/>
                <w:color w:val="auto"/>
              </w:rPr>
            </w:pPr>
            <w:r>
              <w:rPr>
                <w:rFonts w:ascii="Calibri" w:cs="Calibri" w:eastAsia="Calibri" w:hAnsi="Calibri"/>
                <w:sz w:val="16"/>
                <w:szCs w:val="16"/>
                <w:b w:val="1"/>
                <w:bCs w:val="1"/>
                <w:color w:val="auto"/>
              </w:rPr>
              <w:t>Finance Commitee Charter</w:t>
            </w:r>
          </w:p>
        </w:tc>
      </w:tr>
    </w:tbl>
    <w:p>
      <w:pPr>
        <w:spacing w:after="0" w:line="397"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Code of Business Conduct and Ethics</w:t>
      </w:r>
    </w:p>
    <w:p>
      <w:pPr>
        <w:spacing w:after="0" w:line="177" w:lineRule="exact"/>
        <w:rPr>
          <w:sz w:val="20"/>
          <w:szCs w:val="20"/>
          <w:color w:val="auto"/>
        </w:rPr>
      </w:pPr>
    </w:p>
    <w:p>
      <w:pPr>
        <w:ind w:left="200" w:right="239"/>
        <w:spacing w:after="0" w:line="231" w:lineRule="auto"/>
        <w:rPr>
          <w:sz w:val="20"/>
          <w:szCs w:val="20"/>
          <w:color w:val="auto"/>
        </w:rPr>
      </w:pPr>
      <w:r>
        <w:rPr>
          <w:rFonts w:ascii="Calibri" w:cs="Calibri" w:eastAsia="Calibri" w:hAnsi="Calibri"/>
          <w:sz w:val="18"/>
          <w:szCs w:val="18"/>
          <w:color w:val="auto"/>
        </w:rPr>
        <w:t>Our Code of Business Conduct and Ethics (</w:t>
      </w:r>
      <w:r>
        <w:rPr>
          <w:rFonts w:ascii="Calibri" w:cs="Calibri" w:eastAsia="Calibri" w:hAnsi="Calibri"/>
          <w:sz w:val="18"/>
          <w:szCs w:val="18"/>
          <w:u w:val="single" w:color="auto"/>
          <w:color w:val="AF0000"/>
        </w:rPr>
        <w:t>Code of Conduct</w:t>
      </w:r>
      <w:r>
        <w:rPr>
          <w:rFonts w:ascii="Calibri" w:cs="Calibri" w:eastAsia="Calibri" w:hAnsi="Calibri"/>
          <w:sz w:val="18"/>
          <w:szCs w:val="18"/>
          <w:color w:val="auto"/>
        </w:rPr>
        <w:t>) applies to our directors and employees, including our NEOs, and is supplemented by additonal provisions applicable to our CEO and senior fnancial and accountng ofcers. All Company directors, ofcers and employees are required to act ethically at all tmes and in accordance with the principles and policies set forth in the Code of Conduct.</w:t>
      </w:r>
    </w:p>
    <w:p>
      <w:pPr>
        <w:spacing w:after="0" w:line="194" w:lineRule="exact"/>
        <w:rPr>
          <w:sz w:val="20"/>
          <w:szCs w:val="20"/>
          <w:color w:val="auto"/>
        </w:rPr>
      </w:pPr>
    </w:p>
    <w:p>
      <w:pPr>
        <w:ind w:left="200" w:right="299"/>
        <w:spacing w:after="0" w:line="233" w:lineRule="auto"/>
        <w:rPr>
          <w:sz w:val="20"/>
          <w:szCs w:val="20"/>
          <w:color w:val="auto"/>
        </w:rPr>
      </w:pPr>
      <w:r>
        <w:rPr>
          <w:rFonts w:ascii="Calibri" w:cs="Calibri" w:eastAsia="Calibri" w:hAnsi="Calibri"/>
          <w:sz w:val="18"/>
          <w:szCs w:val="18"/>
          <w:color w:val="auto"/>
        </w:rPr>
        <w:t>Among other principles and policies, the Code of Conduct fnds a confict of interest exists when a person’s private interest interferes with the interests of the Company. The Code of Conduct recognizes that a confict of interest occurs when the Company enters into a transacton in which an employee, ofcer, or director, or someone related to or afliated with an employee, ofcer, or director, has a signifcant personal interest. The Code of Conduct also recognizes that a confict of interest arises when an employee, ofcer or director of the Company receives an improper beneft as a result of the person’s positon with the Company. Our Governance Guidelines prohibit the Company from making or arranging personal loans to directors or executve ofcers of the Company.</w:t>
      </w:r>
    </w:p>
    <w:p>
      <w:pPr>
        <w:spacing w:after="0" w:line="181" w:lineRule="exact"/>
        <w:rPr>
          <w:sz w:val="20"/>
          <w:szCs w:val="20"/>
          <w:color w:val="auto"/>
        </w:rPr>
      </w:pPr>
    </w:p>
    <w:p>
      <w:pPr>
        <w:ind w:left="200" w:right="219"/>
        <w:spacing w:after="0" w:line="232" w:lineRule="auto"/>
        <w:rPr>
          <w:sz w:val="20"/>
          <w:szCs w:val="20"/>
          <w:color w:val="auto"/>
        </w:rPr>
      </w:pPr>
      <w:r>
        <w:rPr>
          <w:rFonts w:ascii="Calibri" w:cs="Calibri" w:eastAsia="Calibri" w:hAnsi="Calibri"/>
          <w:sz w:val="18"/>
          <w:szCs w:val="18"/>
          <w:color w:val="auto"/>
        </w:rPr>
        <w:t>The Code of Conduct obligates employees, ofcers and directors to promptly disclose conficts of interest to a supervisor, management, or the Board. Any director who has a confictng interest in a potental confictng interest transacton may not partcipate in the review of that transacton by the Board. Any waiver of the Code of Conduct may be made only by the Board and is required to be promptly disclosed as required by law or the regulatons of any exchange on which our securites are traded, including Nasdaq.</w:t>
      </w: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24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8" w:name="page29"/>
    <w:bookmarkEnd w:id="28"/>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CORPORATE GOVERNANCE AND RELATED MATTERS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Merit Ethics Hotline</w:t>
      </w:r>
    </w:p>
    <w:p>
      <w:pPr>
        <w:sectPr>
          <w:pgSz w:w="11900" w:h="16838" w:orient="portrait"/>
          <w:cols w:equalWidth="0" w:num="1">
            <w:col w:w="9019"/>
          </w:cols>
          <w:pgMar w:left="1440" w:top="504" w:right="1440" w:bottom="1440" w:gutter="0" w:footer="0" w:header="0"/>
        </w:sectPr>
      </w:pPr>
    </w:p>
    <w:p>
      <w:pPr>
        <w:spacing w:after="0" w:line="190" w:lineRule="exact"/>
        <w:rPr>
          <w:sz w:val="20"/>
          <w:szCs w:val="20"/>
          <w:color w:val="auto"/>
        </w:rPr>
      </w:pPr>
    </w:p>
    <w:p>
      <w:pPr>
        <w:ind w:left="200" w:right="40"/>
        <w:spacing w:after="0" w:line="232" w:lineRule="auto"/>
        <w:rPr>
          <w:sz w:val="20"/>
          <w:szCs w:val="20"/>
          <w:color w:val="auto"/>
        </w:rPr>
      </w:pPr>
      <w:r>
        <w:rPr>
          <w:rFonts w:ascii="Calibri" w:cs="Calibri" w:eastAsia="Calibri" w:hAnsi="Calibri"/>
          <w:sz w:val="18"/>
          <w:szCs w:val="18"/>
          <w:color w:val="auto"/>
        </w:rPr>
        <w:t>As contemplated by the Code of Conduct, we maintain an ethics hotline that enables our employees, vendors, customers, and shareholders, as well as other interested partes, to submit confdental and anonymous reports of suspected or actual violatons of the Code of Conduct or other issues of concern to those partes.</w:t>
      </w:r>
    </w:p>
    <w:p>
      <w:pPr>
        <w:spacing w:after="0" w:line="112" w:lineRule="exact"/>
        <w:rPr>
          <w:sz w:val="20"/>
          <w:szCs w:val="20"/>
          <w:color w:val="auto"/>
        </w:rPr>
      </w:pPr>
    </w:p>
    <w:p>
      <w:pPr>
        <w:ind w:left="200"/>
        <w:spacing w:after="0" w:line="235" w:lineRule="auto"/>
        <w:rPr>
          <w:sz w:val="20"/>
          <w:szCs w:val="20"/>
          <w:color w:val="auto"/>
        </w:rPr>
      </w:pPr>
      <w:r>
        <w:rPr>
          <w:rFonts w:ascii="Calibri" w:cs="Calibri" w:eastAsia="Calibri" w:hAnsi="Calibri"/>
          <w:sz w:val="18"/>
          <w:szCs w:val="18"/>
          <w:color w:val="auto"/>
        </w:rPr>
        <w:t>The Audit Commitee regularly reviews all complaints we receive through the ethics hotline.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Trading Restrictons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center"/>
        <w:ind w:right="-520"/>
        <w:spacing w:after="0"/>
        <w:rPr>
          <w:sz w:val="20"/>
          <w:szCs w:val="20"/>
          <w:color w:val="auto"/>
        </w:rPr>
      </w:pPr>
      <w:r>
        <w:rPr>
          <w:rFonts w:ascii="Calibri" w:cs="Calibri" w:eastAsia="Calibri" w:hAnsi="Calibri"/>
          <w:sz w:val="20"/>
          <w:szCs w:val="20"/>
          <w:b w:val="1"/>
          <w:bCs w:val="1"/>
          <w:color w:val="AF0000"/>
        </w:rPr>
        <w:t>Merit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-244475</wp:posOffset>
            </wp:positionV>
            <wp:extent cx="2048510" cy="127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48510" cy="1277620"/>
                    </a:xfrm>
                    <a:prstGeom prst="rect">
                      <a:avLst/>
                    </a:prstGeom>
                    <a:noFill/>
                  </pic:spPr>
                </pic:pic>
              </a:graphicData>
            </a:graphic>
          </wp:anchor>
        </w:drawing>
      </w:r>
    </w:p>
    <w:p>
      <w:pPr>
        <w:jc w:val="center"/>
        <w:ind w:right="-520"/>
        <w:spacing w:after="0" w:line="225" w:lineRule="auto"/>
        <w:rPr>
          <w:sz w:val="20"/>
          <w:szCs w:val="20"/>
          <w:color w:val="auto"/>
        </w:rPr>
      </w:pPr>
      <w:r>
        <w:rPr>
          <w:rFonts w:ascii="Calibri" w:cs="Calibri" w:eastAsia="Calibri" w:hAnsi="Calibri"/>
          <w:sz w:val="20"/>
          <w:szCs w:val="20"/>
          <w:b w:val="1"/>
          <w:bCs w:val="1"/>
          <w:color w:val="AF0000"/>
        </w:rPr>
        <w:t>Hotline</w:t>
      </w:r>
    </w:p>
    <w:p>
      <w:pPr>
        <w:spacing w:after="0" w:line="268" w:lineRule="exact"/>
        <w:rPr>
          <w:sz w:val="20"/>
          <w:szCs w:val="20"/>
          <w:color w:val="auto"/>
        </w:rPr>
      </w:pPr>
    </w:p>
    <w:p>
      <w:pPr>
        <w:spacing w:after="0"/>
        <w:rPr>
          <w:sz w:val="20"/>
          <w:szCs w:val="20"/>
          <w:color w:val="auto"/>
        </w:rPr>
      </w:pPr>
      <w:r>
        <w:rPr>
          <w:rFonts w:ascii="Calibri" w:cs="Calibri" w:eastAsia="Calibri" w:hAnsi="Calibri"/>
          <w:sz w:val="17"/>
          <w:szCs w:val="17"/>
          <w:color w:val="auto"/>
        </w:rPr>
        <w:t>Our ethics hotline may be accessed:</w:t>
      </w:r>
    </w:p>
    <w:p>
      <w:pPr>
        <w:spacing w:after="0" w:line="130" w:lineRule="exact"/>
        <w:rPr>
          <w:sz w:val="20"/>
          <w:szCs w:val="20"/>
          <w:color w:val="auto"/>
        </w:rPr>
      </w:pPr>
    </w:p>
    <w:p>
      <w:pPr>
        <w:ind w:left="320" w:hanging="316"/>
        <w:spacing w:after="0"/>
        <w:tabs>
          <w:tab w:leader="none" w:pos="320" w:val="left"/>
        </w:tabs>
        <w:numPr>
          <w:ilvl w:val="0"/>
          <w:numId w:val="48"/>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by telephone at (844) 637-6753</w:t>
      </w:r>
    </w:p>
    <w:p>
      <w:pPr>
        <w:spacing w:after="0" w:line="75" w:lineRule="exact"/>
        <w:rPr>
          <w:rFonts w:ascii="Times New Roman" w:cs="Times New Roman" w:eastAsia="Times New Roman" w:hAnsi="Times New Roman"/>
          <w:sz w:val="17"/>
          <w:szCs w:val="17"/>
          <w:color w:val="AF0000"/>
        </w:rPr>
      </w:pPr>
    </w:p>
    <w:p>
      <w:pPr>
        <w:ind w:left="320" w:right="899" w:hanging="316"/>
        <w:spacing w:after="0" w:line="232" w:lineRule="auto"/>
        <w:tabs>
          <w:tab w:leader="none" w:pos="320" w:val="left"/>
        </w:tabs>
        <w:numPr>
          <w:ilvl w:val="0"/>
          <w:numId w:val="48"/>
        </w:numPr>
        <w:rPr>
          <w:rFonts w:ascii="Times New Roman" w:cs="Times New Roman" w:eastAsia="Times New Roman" w:hAnsi="Times New Roman"/>
          <w:sz w:val="19"/>
          <w:szCs w:val="19"/>
          <w:color w:val="AF0000"/>
        </w:rPr>
      </w:pPr>
      <w:r>
        <w:rPr>
          <w:rFonts w:ascii="Calibri" w:cs="Calibri" w:eastAsia="Calibri" w:hAnsi="Calibri"/>
          <w:sz w:val="17"/>
          <w:szCs w:val="17"/>
          <w:color w:val="auto"/>
        </w:rPr>
        <w:t xml:space="preserve">online at </w:t>
      </w:r>
      <w:r>
        <w:rPr>
          <w:rFonts w:ascii="Calibri" w:cs="Calibri" w:eastAsia="Calibri" w:hAnsi="Calibri"/>
          <w:sz w:val="17"/>
          <w:szCs w:val="17"/>
          <w:b w:val="1"/>
          <w:bCs w:val="1"/>
          <w:color w:val="AF0000"/>
        </w:rPr>
        <w:t>www.merit.ethicspoint.com</w:t>
      </w:r>
    </w:p>
    <w:p>
      <w:pPr>
        <w:spacing w:after="0" w:line="677" w:lineRule="exact"/>
        <w:rPr>
          <w:sz w:val="20"/>
          <w:szCs w:val="20"/>
          <w:color w:val="auto"/>
        </w:rPr>
      </w:pPr>
    </w:p>
    <w:p>
      <w:pPr>
        <w:sectPr>
          <w:pgSz w:w="11900" w:h="16838" w:orient="portrait"/>
          <w:cols w:equalWidth="0" w:num="2">
            <w:col w:w="5420" w:space="320"/>
            <w:col w:w="3279"/>
          </w:cols>
          <w:pgMar w:left="1440" w:top="504" w:right="1440" w:bottom="1440" w:gutter="0" w:footer="0" w:header="0"/>
          <w:type w:val="continuous"/>
        </w:sectPr>
      </w:pPr>
    </w:p>
    <w:p>
      <w:pPr>
        <w:ind w:left="200" w:right="239"/>
        <w:spacing w:after="0" w:line="248" w:lineRule="auto"/>
        <w:rPr>
          <w:sz w:val="20"/>
          <w:szCs w:val="20"/>
          <w:color w:val="auto"/>
        </w:rPr>
      </w:pPr>
      <w:r>
        <w:rPr>
          <w:rFonts w:ascii="Calibri" w:cs="Calibri" w:eastAsia="Calibri" w:hAnsi="Calibri"/>
          <w:sz w:val="17"/>
          <w:szCs w:val="17"/>
          <w:color w:val="auto"/>
        </w:rPr>
        <w:t>Our directors and executve ofcers are subject to our Insider Trading Policy, which is designed to facilitate compliance with insider trading laws and governs transactons in our Common Stock and related derivatve securites. Any director, ofcer or employee in possession of material, nonpublic informaton, or who may be deemed to possess such informaton by reason of his or her positons, may not (i) trade in the Company’s securites; (ii) share the informaton with others (“tpping”), or (iii) permit a member of his or her immediate family to trade in the Company’s securites. Our policy designates certain regular periods, from 15 days prior to the end of a calendar quarter to two full business days afer the release of fnancial results, in which trading is prohibited for individuals in informaton-sensitve positons, including directors and executve ofcers. Our policy also prohibits executve ofcers and directors from (a) trading in Company stock on a short-term basis (minimum six-month holding period); (b) engaging in short sales of Company stock;</w:t>
      </w:r>
    </w:p>
    <w:p>
      <w:pPr>
        <w:spacing w:after="0" w:line="1" w:lineRule="exact"/>
        <w:rPr>
          <w:sz w:val="20"/>
          <w:szCs w:val="20"/>
          <w:color w:val="auto"/>
        </w:rPr>
      </w:pPr>
    </w:p>
    <w:p>
      <w:pPr>
        <w:ind w:left="200" w:right="519" w:firstLine="9"/>
        <w:spacing w:after="0" w:line="235" w:lineRule="auto"/>
        <w:tabs>
          <w:tab w:leader="none" w:pos="420"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buying or selling put optons or call optons or other derivatve instruments associated with Company stock; or (d) entering into hedging transactons associated with Merit stock.</w:t>
      </w:r>
    </w:p>
    <w:p>
      <w:pPr>
        <w:spacing w:after="0" w:line="177" w:lineRule="exact"/>
        <w:rPr>
          <w:sz w:val="20"/>
          <w:szCs w:val="20"/>
          <w:color w:val="auto"/>
        </w:rPr>
      </w:pPr>
    </w:p>
    <w:p>
      <w:pPr>
        <w:ind w:left="200" w:right="339"/>
        <w:spacing w:after="0" w:line="233" w:lineRule="auto"/>
        <w:rPr>
          <w:sz w:val="20"/>
          <w:szCs w:val="20"/>
          <w:color w:val="auto"/>
        </w:rPr>
      </w:pPr>
      <w:r>
        <w:rPr>
          <w:rFonts w:ascii="Calibri" w:cs="Calibri" w:eastAsia="Calibri" w:hAnsi="Calibri"/>
          <w:sz w:val="18"/>
          <w:szCs w:val="18"/>
          <w:color w:val="auto"/>
        </w:rPr>
        <w:t>Additonal periods of trading restricton may be imposed as determined by our CEO or the Insider Trading Compliance Ofcers (currently our Chief Legal Ofcer and our Chief Financial Ofcer) in light of material pending developments. Further, during permited windows, individuals in informaton-sensitve positons are required to seek pre-clearance for trades from an Insider Trading Compliance Ofcer, who assesses whether there are any important pending developments, including cybersecurity maters, which need to be made public before the individual may partcipate in the market.</w:t>
      </w:r>
    </w:p>
    <w:p>
      <w:pPr>
        <w:spacing w:after="0" w:line="178" w:lineRule="exact"/>
        <w:rPr>
          <w:sz w:val="20"/>
          <w:szCs w:val="20"/>
          <w:color w:val="auto"/>
        </w:rPr>
      </w:pPr>
    </w:p>
    <w:p>
      <w:pPr>
        <w:ind w:left="200" w:right="219"/>
        <w:spacing w:after="0" w:line="234" w:lineRule="auto"/>
        <w:rPr>
          <w:sz w:val="20"/>
          <w:szCs w:val="20"/>
          <w:color w:val="auto"/>
        </w:rPr>
      </w:pPr>
      <w:r>
        <w:rPr>
          <w:rFonts w:ascii="Calibri" w:cs="Calibri" w:eastAsia="Calibri" w:hAnsi="Calibri"/>
          <w:sz w:val="18"/>
          <w:szCs w:val="18"/>
          <w:color w:val="auto"/>
        </w:rPr>
        <w:t>During 2023, our independent directors, with the assistance of our Chief Legal Ofcer, completed a comprehensive review of our Insider Trading Policy, following which our Chief Legal Ofcer provided to the Board a writen report setng forth fndings of the review. Based upon that review, as well as the SEC’s amendment of rules governing stock trading programs for corporate insiders, known as Rule 10b5-1 plans, the Governance Commitee recommended and the Board approved amendments to the Insider Trading Policy to address the recommendatons of the independent directors as well as the requirements of the new SEC rules. Those amendments included imposing restrictons on gifs or donatons of Common Stock made while the donor is in possession of material non-public informaton, extending the duraton of “blackout periods” under the Insider Trading Policy untl disclosure of the Company’s periodic fnancial informaton has been disclosed in a quarterly or annual report fled with the SEC, enhancing the procedures for adopton of Rule 10b5-1 plans by Company insiders and development of Rule 10b5-1 plan guidelines.</w:t>
      </w:r>
    </w:p>
    <w:p>
      <w:pPr>
        <w:spacing w:after="0" w:line="175"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Director Retrement Policy</w:t>
      </w:r>
    </w:p>
    <w:p>
      <w:pPr>
        <w:spacing w:after="0" w:line="177" w:lineRule="exact"/>
        <w:rPr>
          <w:sz w:val="20"/>
          <w:szCs w:val="20"/>
          <w:color w:val="auto"/>
        </w:rPr>
      </w:pPr>
    </w:p>
    <w:p>
      <w:pPr>
        <w:ind w:left="200" w:right="359"/>
        <w:spacing w:after="0" w:line="235" w:lineRule="auto"/>
        <w:rPr>
          <w:sz w:val="20"/>
          <w:szCs w:val="20"/>
          <w:color w:val="auto"/>
        </w:rPr>
      </w:pPr>
      <w:r>
        <w:rPr>
          <w:rFonts w:ascii="Calibri" w:cs="Calibri" w:eastAsia="Calibri" w:hAnsi="Calibri"/>
          <w:sz w:val="18"/>
          <w:szCs w:val="18"/>
          <w:color w:val="auto"/>
        </w:rPr>
        <w:t>In October 2017, we amended our Governance Guidelines to require that, upon reaching 75 years of age, each director of the Company must submit to the Board a leter of resignaton to be efectve at the next annual meetng of shareholders. The Board will generally accept such resignatons unless the Governance Commitee or the Board determines to extend the director’s service through the expiraton of his or her then-current term or nominate the director for another term.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29" w:name="page30"/>
    <w:bookmarkEnd w:id="29"/>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CORPORATE GOVERNANCE AND RELATED MATTERS</w:t>
      </w:r>
    </w:p>
    <w:p>
      <w:pPr>
        <w:spacing w:after="0" w:line="136" w:lineRule="exact"/>
        <w:rPr>
          <w:sz w:val="20"/>
          <w:szCs w:val="20"/>
          <w:color w:val="auto"/>
        </w:rPr>
      </w:pPr>
    </w:p>
    <w:p>
      <w:pPr>
        <w:ind w:left="200" w:right="299"/>
        <w:spacing w:after="0" w:line="234" w:lineRule="auto"/>
        <w:rPr>
          <w:sz w:val="20"/>
          <w:szCs w:val="20"/>
          <w:color w:val="auto"/>
        </w:rPr>
      </w:pPr>
      <w:r>
        <w:rPr>
          <w:rFonts w:ascii="Calibri" w:cs="Calibri" w:eastAsia="Calibri" w:hAnsi="Calibri"/>
          <w:sz w:val="18"/>
          <w:szCs w:val="18"/>
          <w:color w:val="auto"/>
        </w:rPr>
        <w:t>In accordance with the provisions of the Governance Guidelines, upon reaching the age of 75 years, A. Scot Anderson tendered to the Board his leter of resignaton. Our Governance Commitee and the Board considered Mr. Anderson’s resignaton and his contributons to the Company. Following such consideraton, the Governance Commitee recommended that the Board decline to accept Mr. Anderson’s resignaton and, actng on that recommendaton, the Board declined to accept his resignaton. The Board determined that, despite being beyond the retrement age set forth in our Governance Guidelines, Mr. Anderson contnued to provide signifcant contributons to our Board and the Company, and his unique perspectve and extensive skills and experience contnued to make him a valuable asset to the Board and the Company. Mr. Anderson’s term as a director will expire at the Annual Meetng and the Board did not nominate him for re-electon as a director. Accordingly, Mr. Anderson’s service as a director will conclude at the Annual Meetng.</w:t>
      </w:r>
    </w:p>
    <w:p>
      <w:pPr>
        <w:spacing w:after="0" w:line="161"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Sustainability</w:t>
      </w:r>
    </w:p>
    <w:p>
      <w:pPr>
        <w:spacing w:after="0" w:line="199" w:lineRule="exact"/>
        <w:rPr>
          <w:sz w:val="20"/>
          <w:szCs w:val="20"/>
          <w:color w:val="auto"/>
        </w:rPr>
      </w:pPr>
    </w:p>
    <w:p>
      <w:pPr>
        <w:ind w:left="200" w:right="319"/>
        <w:spacing w:after="0" w:line="232" w:lineRule="auto"/>
        <w:rPr>
          <w:sz w:val="20"/>
          <w:szCs w:val="20"/>
          <w:color w:val="auto"/>
        </w:rPr>
      </w:pPr>
      <w:r>
        <w:rPr>
          <w:rFonts w:ascii="Calibri" w:cs="Calibri" w:eastAsia="Calibri" w:hAnsi="Calibri"/>
          <w:sz w:val="18"/>
          <w:szCs w:val="18"/>
          <w:color w:val="auto"/>
        </w:rPr>
        <w:t>Under the oversight of our Board of Directors and management team, we contnue to make sustainability a key focus of our business. We have a cross-functonal Corporate Sustainability Council that promotes achievement of long-term Environment, Social and Governance (</w:t>
      </w:r>
      <w:r>
        <w:rPr>
          <w:rFonts w:ascii="Calibri" w:cs="Calibri" w:eastAsia="Calibri" w:hAnsi="Calibri"/>
          <w:sz w:val="18"/>
          <w:szCs w:val="18"/>
          <w:u w:val="single" w:color="auto"/>
          <w:color w:val="AF0000"/>
        </w:rPr>
        <w:t>ESG</w:t>
      </w:r>
      <w:r>
        <w:rPr>
          <w:rFonts w:ascii="Calibri" w:cs="Calibri" w:eastAsia="Calibri" w:hAnsi="Calibri"/>
          <w:sz w:val="18"/>
          <w:szCs w:val="18"/>
          <w:color w:val="auto"/>
        </w:rPr>
        <w:t>) goals across our enterprise. These eforts have included proactve actons to address both risks and opportunites related to our sustainability program, as we strive for contnued growth and proftability.</w:t>
      </w:r>
    </w:p>
    <w:p>
      <w:pPr>
        <w:spacing w:after="0" w:line="180" w:lineRule="exact"/>
        <w:rPr>
          <w:sz w:val="20"/>
          <w:szCs w:val="20"/>
          <w:color w:val="auto"/>
        </w:rPr>
      </w:pPr>
    </w:p>
    <w:p>
      <w:pPr>
        <w:ind w:left="200" w:right="379"/>
        <w:spacing w:after="0" w:line="233" w:lineRule="auto"/>
        <w:rPr>
          <w:sz w:val="20"/>
          <w:szCs w:val="20"/>
          <w:color w:val="auto"/>
        </w:rPr>
      </w:pPr>
      <w:r>
        <w:rPr>
          <w:rFonts w:ascii="Calibri" w:cs="Calibri" w:eastAsia="Calibri" w:hAnsi="Calibri"/>
          <w:sz w:val="18"/>
          <w:szCs w:val="18"/>
          <w:color w:val="auto"/>
        </w:rPr>
        <w:t>Most of our products are disposable medical devices and are generally discarded afer a single use due primarily to the risks of exposing patents to bloodborne pathogens capable of transmitng disease or other potentally infectous materials. Additonally, repeated sterilizaton to address such risks is not possible because it may adversely afect the quality of the materials used in many of our products and result in the failure of our products to functon properly if used in multple medical procedures. Consequently, many of our used products will likely end up in a medical waste disposal facility at the end of their usefulness. We contnually look for opportunites to deliver sustainable, long-term growth of our business. Our sustainability practces are an integral component of our business strategy.</w:t>
      </w:r>
    </w:p>
    <w:p>
      <w:pPr>
        <w:spacing w:after="0" w:line="194" w:lineRule="exact"/>
        <w:rPr>
          <w:sz w:val="20"/>
          <w:szCs w:val="20"/>
          <w:color w:val="auto"/>
        </w:rPr>
      </w:pPr>
    </w:p>
    <w:p>
      <w:pPr>
        <w:ind w:left="200" w:right="479"/>
        <w:spacing w:after="0" w:line="230" w:lineRule="auto"/>
        <w:rPr>
          <w:sz w:val="20"/>
          <w:szCs w:val="20"/>
          <w:color w:val="auto"/>
        </w:rPr>
      </w:pPr>
      <w:r>
        <w:rPr>
          <w:rFonts w:ascii="Calibri" w:cs="Calibri" w:eastAsia="Calibri" w:hAnsi="Calibri"/>
          <w:sz w:val="18"/>
          <w:szCs w:val="18"/>
          <w:color w:val="auto"/>
        </w:rPr>
        <w:t>We have identfed our sustainability opportunites and have developed areas of focus where we believe we are positoned to make a positve impact. These include programs designed to reduce waste, improve efciencies, reduce greenhouse gas emissions, and protect the environment.</w:t>
      </w:r>
    </w:p>
    <w:p>
      <w:pPr>
        <w:spacing w:after="0" w:line="167"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Sustainability Governance Structure</w:t>
      </w:r>
    </w:p>
    <w:p>
      <w:pPr>
        <w:spacing w:after="0" w:line="186" w:lineRule="exact"/>
        <w:rPr>
          <w:sz w:val="20"/>
          <w:szCs w:val="20"/>
          <w:color w:val="auto"/>
        </w:rPr>
      </w:pPr>
    </w:p>
    <w:p>
      <w:pPr>
        <w:ind w:left="200" w:right="239"/>
        <w:spacing w:after="0" w:line="235" w:lineRule="auto"/>
        <w:rPr>
          <w:sz w:val="20"/>
          <w:szCs w:val="20"/>
          <w:color w:val="auto"/>
        </w:rPr>
      </w:pPr>
      <w:r>
        <w:rPr>
          <w:rFonts w:ascii="Calibri" w:cs="Calibri" w:eastAsia="Calibri" w:hAnsi="Calibri"/>
          <w:sz w:val="18"/>
          <w:szCs w:val="18"/>
          <w:color w:val="auto"/>
        </w:rPr>
        <w:t>Our formal sustainability governance structure is depicted below, and its elements guide the implementaton of our sustainability program. The Governance Commitee oversees our sustainability program, including regular reviews of our stated targets and commitments.</w:t>
      </w: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26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30" w:name="page31"/>
    <w:bookmarkEnd w:id="30"/>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CORPORATE GOVERNANCE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122555</wp:posOffset>
            </wp:positionV>
            <wp:extent cx="5507355" cy="4971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07355" cy="497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1200" w:type="dxa"/>
            <w:vAlign w:val="bottom"/>
          </w:tcPr>
          <w:p>
            <w:pPr>
              <w:jc w:val="right"/>
              <w:ind w:right="19"/>
              <w:spacing w:after="0"/>
              <w:rPr>
                <w:sz w:val="20"/>
                <w:szCs w:val="20"/>
                <w:color w:val="auto"/>
              </w:rPr>
            </w:pPr>
            <w:r>
              <w:rPr>
                <w:rFonts w:ascii="Calibri" w:cs="Calibri" w:eastAsia="Calibri" w:hAnsi="Calibri"/>
                <w:sz w:val="16"/>
                <w:szCs w:val="16"/>
                <w:b w:val="1"/>
                <w:bCs w:val="1"/>
                <w:color w:val="auto"/>
                <w:w w:val="97"/>
              </w:rPr>
              <w:t>Governing Body:</w:t>
            </w:r>
          </w:p>
        </w:tc>
        <w:tc>
          <w:tcPr>
            <w:tcW w:w="1800" w:type="dxa"/>
            <w:vAlign w:val="bottom"/>
          </w:tcPr>
          <w:p>
            <w:pPr>
              <w:ind w:left="100"/>
              <w:spacing w:after="0"/>
              <w:rPr>
                <w:sz w:val="20"/>
                <w:szCs w:val="20"/>
                <w:color w:val="auto"/>
              </w:rPr>
            </w:pPr>
            <w:r>
              <w:rPr>
                <w:rFonts w:ascii="Calibri" w:cs="Calibri" w:eastAsia="Calibri" w:hAnsi="Calibri"/>
                <w:sz w:val="16"/>
                <w:szCs w:val="16"/>
                <w:color w:val="auto"/>
              </w:rPr>
              <w:t>Board of Directors</w:t>
            </w:r>
          </w:p>
        </w:tc>
        <w:tc>
          <w:tcPr>
            <w:tcW w:w="1760" w:type="dxa"/>
            <w:vAlign w:val="bottom"/>
          </w:tcPr>
          <w:p>
            <w:pPr>
              <w:ind w:left="100"/>
              <w:spacing w:after="0"/>
              <w:rPr>
                <w:sz w:val="20"/>
                <w:szCs w:val="20"/>
                <w:color w:val="auto"/>
              </w:rPr>
            </w:pPr>
            <w:r>
              <w:rPr>
                <w:rFonts w:ascii="Calibri" w:cs="Calibri" w:eastAsia="Calibri" w:hAnsi="Calibri"/>
                <w:sz w:val="16"/>
                <w:szCs w:val="16"/>
                <w:color w:val="auto"/>
              </w:rPr>
              <w:t>Corporate</w:t>
            </w:r>
          </w:p>
        </w:tc>
        <w:tc>
          <w:tcPr>
            <w:tcW w:w="1800" w:type="dxa"/>
            <w:vAlign w:val="bottom"/>
          </w:tcPr>
          <w:p>
            <w:pPr>
              <w:ind w:left="120"/>
              <w:spacing w:after="0"/>
              <w:rPr>
                <w:sz w:val="20"/>
                <w:szCs w:val="20"/>
                <w:color w:val="auto"/>
              </w:rPr>
            </w:pPr>
            <w:r>
              <w:rPr>
                <w:rFonts w:ascii="Calibri" w:cs="Calibri" w:eastAsia="Calibri" w:hAnsi="Calibri"/>
                <w:sz w:val="16"/>
                <w:szCs w:val="16"/>
                <w:color w:val="auto"/>
              </w:rPr>
              <w:t>Enterprise Opportunity</w:t>
            </w:r>
          </w:p>
        </w:tc>
        <w:tc>
          <w:tcPr>
            <w:tcW w:w="1640" w:type="dxa"/>
            <w:vAlign w:val="bottom"/>
          </w:tcPr>
          <w:p>
            <w:pPr>
              <w:ind w:left="100"/>
              <w:spacing w:after="0"/>
              <w:rPr>
                <w:sz w:val="20"/>
                <w:szCs w:val="20"/>
                <w:color w:val="auto"/>
              </w:rPr>
            </w:pPr>
            <w:r>
              <w:rPr>
                <w:rFonts w:ascii="Calibri" w:cs="Calibri" w:eastAsia="Calibri" w:hAnsi="Calibri"/>
                <w:sz w:val="16"/>
                <w:szCs w:val="16"/>
                <w:color w:val="auto"/>
              </w:rPr>
              <w:t>Sustainability</w:t>
            </w:r>
          </w:p>
        </w:tc>
        <w:tc>
          <w:tcPr>
            <w:tcW w:w="0" w:type="dxa"/>
            <w:vAlign w:val="bottom"/>
          </w:tcPr>
          <w:p>
            <w:pPr>
              <w:spacing w:after="0"/>
              <w:rPr>
                <w:sz w:val="1"/>
                <w:szCs w:val="1"/>
                <w:color w:val="auto"/>
              </w:rPr>
            </w:pPr>
          </w:p>
        </w:tc>
      </w:tr>
      <w:tr>
        <w:trPr>
          <w:trHeight w:val="193"/>
        </w:trPr>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60" w:type="dxa"/>
            <w:vAlign w:val="bottom"/>
          </w:tcPr>
          <w:p>
            <w:pPr>
              <w:ind w:left="100"/>
              <w:spacing w:after="0" w:line="193" w:lineRule="exact"/>
              <w:rPr>
                <w:sz w:val="20"/>
                <w:szCs w:val="20"/>
                <w:color w:val="auto"/>
              </w:rPr>
            </w:pPr>
            <w:r>
              <w:rPr>
                <w:rFonts w:ascii="Calibri" w:cs="Calibri" w:eastAsia="Calibri" w:hAnsi="Calibri"/>
                <w:sz w:val="16"/>
                <w:szCs w:val="16"/>
                <w:color w:val="auto"/>
              </w:rPr>
              <w:t>Sustainability Council</w:t>
            </w:r>
          </w:p>
        </w:tc>
        <w:tc>
          <w:tcPr>
            <w:tcW w:w="1800" w:type="dxa"/>
            <w:vAlign w:val="bottom"/>
          </w:tcPr>
          <w:p>
            <w:pPr>
              <w:ind w:left="120"/>
              <w:spacing w:after="0" w:line="193" w:lineRule="exact"/>
              <w:rPr>
                <w:sz w:val="20"/>
                <w:szCs w:val="20"/>
                <w:color w:val="auto"/>
              </w:rPr>
            </w:pPr>
            <w:r>
              <w:rPr>
                <w:rFonts w:ascii="Calibri" w:cs="Calibri" w:eastAsia="Calibri" w:hAnsi="Calibri"/>
                <w:sz w:val="16"/>
                <w:szCs w:val="16"/>
                <w:color w:val="auto"/>
              </w:rPr>
              <w:t>Management</w:t>
            </w:r>
          </w:p>
        </w:tc>
        <w:tc>
          <w:tcPr>
            <w:tcW w:w="1640" w:type="dxa"/>
            <w:vAlign w:val="bottom"/>
          </w:tcPr>
          <w:p>
            <w:pPr>
              <w:ind w:left="100"/>
              <w:spacing w:after="0" w:line="193" w:lineRule="exact"/>
              <w:rPr>
                <w:sz w:val="20"/>
                <w:szCs w:val="20"/>
                <w:color w:val="auto"/>
              </w:rPr>
            </w:pPr>
            <w:r>
              <w:rPr>
                <w:rFonts w:ascii="Calibri" w:cs="Calibri" w:eastAsia="Calibri" w:hAnsi="Calibri"/>
                <w:sz w:val="16"/>
                <w:szCs w:val="16"/>
                <w:color w:val="auto"/>
              </w:rPr>
              <w:t>Management</w:t>
            </w:r>
          </w:p>
        </w:tc>
        <w:tc>
          <w:tcPr>
            <w:tcW w:w="0" w:type="dxa"/>
            <w:vAlign w:val="bottom"/>
          </w:tcPr>
          <w:p>
            <w:pPr>
              <w:spacing w:after="0"/>
              <w:rPr>
                <w:sz w:val="1"/>
                <w:szCs w:val="1"/>
                <w:color w:val="auto"/>
              </w:rPr>
            </w:pPr>
          </w:p>
        </w:tc>
      </w:tr>
      <w:tr>
        <w:trPr>
          <w:trHeight w:val="387"/>
        </w:trPr>
        <w:tc>
          <w:tcPr>
            <w:tcW w:w="1200" w:type="dxa"/>
            <w:vAlign w:val="bottom"/>
          </w:tcPr>
          <w:p>
            <w:pPr>
              <w:jc w:val="right"/>
              <w:ind w:right="19"/>
              <w:spacing w:after="0"/>
              <w:rPr>
                <w:sz w:val="20"/>
                <w:szCs w:val="20"/>
                <w:color w:val="auto"/>
              </w:rPr>
            </w:pPr>
            <w:r>
              <w:rPr>
                <w:rFonts w:ascii="Calibri" w:cs="Calibri" w:eastAsia="Calibri" w:hAnsi="Calibri"/>
                <w:sz w:val="16"/>
                <w:szCs w:val="16"/>
                <w:b w:val="1"/>
                <w:bCs w:val="1"/>
                <w:color w:val="0070C0"/>
              </w:rPr>
              <w:t>Lead by:</w:t>
            </w:r>
          </w:p>
        </w:tc>
        <w:tc>
          <w:tcPr>
            <w:tcW w:w="1800" w:type="dxa"/>
            <w:vAlign w:val="bottom"/>
          </w:tcPr>
          <w:p>
            <w:pPr>
              <w:ind w:left="100"/>
              <w:spacing w:after="0"/>
              <w:rPr>
                <w:sz w:val="20"/>
                <w:szCs w:val="20"/>
                <w:color w:val="auto"/>
              </w:rPr>
            </w:pPr>
            <w:r>
              <w:rPr>
                <w:rFonts w:ascii="Calibri" w:cs="Calibri" w:eastAsia="Calibri" w:hAnsi="Calibri"/>
                <w:sz w:val="16"/>
                <w:szCs w:val="16"/>
                <w:color w:val="0070C0"/>
              </w:rPr>
              <w:t>Chair and Chair of</w:t>
            </w:r>
          </w:p>
        </w:tc>
        <w:tc>
          <w:tcPr>
            <w:tcW w:w="1760" w:type="dxa"/>
            <w:vAlign w:val="bottom"/>
          </w:tcPr>
          <w:p>
            <w:pPr>
              <w:ind w:left="100"/>
              <w:spacing w:after="0"/>
              <w:rPr>
                <w:sz w:val="20"/>
                <w:szCs w:val="20"/>
                <w:color w:val="auto"/>
              </w:rPr>
            </w:pPr>
            <w:r>
              <w:rPr>
                <w:rFonts w:ascii="Calibri" w:cs="Calibri" w:eastAsia="Calibri" w:hAnsi="Calibri"/>
                <w:sz w:val="16"/>
                <w:szCs w:val="16"/>
                <w:color w:val="0070C0"/>
              </w:rPr>
              <w:t>Chair, President and</w:t>
            </w:r>
          </w:p>
        </w:tc>
        <w:tc>
          <w:tcPr>
            <w:tcW w:w="1800" w:type="dxa"/>
            <w:vAlign w:val="bottom"/>
          </w:tcPr>
          <w:p>
            <w:pPr>
              <w:ind w:left="120"/>
              <w:spacing w:after="0"/>
              <w:rPr>
                <w:sz w:val="20"/>
                <w:szCs w:val="20"/>
                <w:color w:val="auto"/>
              </w:rPr>
            </w:pPr>
            <w:r>
              <w:rPr>
                <w:rFonts w:ascii="Calibri" w:cs="Calibri" w:eastAsia="Calibri" w:hAnsi="Calibri"/>
                <w:sz w:val="16"/>
                <w:szCs w:val="16"/>
                <w:color w:val="0070C0"/>
              </w:rPr>
              <w:t>Director, Enterprise Risk</w:t>
            </w:r>
          </w:p>
        </w:tc>
        <w:tc>
          <w:tcPr>
            <w:tcW w:w="1640" w:type="dxa"/>
            <w:vAlign w:val="bottom"/>
          </w:tcPr>
          <w:p>
            <w:pPr>
              <w:ind w:left="100"/>
              <w:spacing w:after="0"/>
              <w:rPr>
                <w:sz w:val="20"/>
                <w:szCs w:val="20"/>
                <w:color w:val="auto"/>
              </w:rPr>
            </w:pPr>
            <w:r>
              <w:rPr>
                <w:rFonts w:ascii="Calibri" w:cs="Calibri" w:eastAsia="Calibri" w:hAnsi="Calibri"/>
                <w:sz w:val="16"/>
                <w:szCs w:val="16"/>
                <w:color w:val="0070C0"/>
              </w:rPr>
              <w:t>Vice President, ESG</w:t>
            </w:r>
          </w:p>
        </w:tc>
        <w:tc>
          <w:tcPr>
            <w:tcW w:w="0" w:type="dxa"/>
            <w:vAlign w:val="bottom"/>
          </w:tcPr>
          <w:p>
            <w:pPr>
              <w:spacing w:after="0"/>
              <w:rPr>
                <w:sz w:val="1"/>
                <w:szCs w:val="1"/>
                <w:color w:val="auto"/>
              </w:rPr>
            </w:pPr>
          </w:p>
        </w:tc>
      </w:tr>
      <w:tr>
        <w:trPr>
          <w:trHeight w:val="193"/>
        </w:trPr>
        <w:tc>
          <w:tcPr>
            <w:tcW w:w="1200" w:type="dxa"/>
            <w:vAlign w:val="bottom"/>
          </w:tcPr>
          <w:p>
            <w:pPr>
              <w:spacing w:after="0"/>
              <w:rPr>
                <w:sz w:val="16"/>
                <w:szCs w:val="16"/>
                <w:color w:val="auto"/>
              </w:rPr>
            </w:pPr>
          </w:p>
        </w:tc>
        <w:tc>
          <w:tcPr>
            <w:tcW w:w="1800" w:type="dxa"/>
            <w:vAlign w:val="bottom"/>
          </w:tcPr>
          <w:p>
            <w:pPr>
              <w:ind w:left="100"/>
              <w:spacing w:after="0" w:line="193" w:lineRule="exact"/>
              <w:rPr>
                <w:sz w:val="20"/>
                <w:szCs w:val="20"/>
                <w:color w:val="auto"/>
              </w:rPr>
            </w:pPr>
            <w:r>
              <w:rPr>
                <w:rFonts w:ascii="Calibri" w:cs="Calibri" w:eastAsia="Calibri" w:hAnsi="Calibri"/>
                <w:sz w:val="16"/>
                <w:szCs w:val="16"/>
                <w:color w:val="0070C0"/>
              </w:rPr>
              <w:t>Governance Commitee</w:t>
            </w:r>
          </w:p>
        </w:tc>
        <w:tc>
          <w:tcPr>
            <w:tcW w:w="1760" w:type="dxa"/>
            <w:vAlign w:val="bottom"/>
          </w:tcPr>
          <w:p>
            <w:pPr>
              <w:ind w:left="100"/>
              <w:spacing w:after="0" w:line="193" w:lineRule="exact"/>
              <w:rPr>
                <w:sz w:val="20"/>
                <w:szCs w:val="20"/>
                <w:color w:val="auto"/>
              </w:rPr>
            </w:pPr>
            <w:r>
              <w:rPr>
                <w:rFonts w:ascii="Calibri" w:cs="Calibri" w:eastAsia="Calibri" w:hAnsi="Calibri"/>
                <w:sz w:val="16"/>
                <w:szCs w:val="16"/>
                <w:color w:val="0070C0"/>
              </w:rPr>
              <w:t>CEO</w:t>
            </w:r>
          </w:p>
        </w:tc>
        <w:tc>
          <w:tcPr>
            <w:tcW w:w="1800" w:type="dxa"/>
            <w:vAlign w:val="bottom"/>
          </w:tcPr>
          <w:p>
            <w:pPr>
              <w:ind w:left="120"/>
              <w:spacing w:after="0" w:line="193" w:lineRule="exact"/>
              <w:rPr>
                <w:sz w:val="20"/>
                <w:szCs w:val="20"/>
                <w:color w:val="auto"/>
              </w:rPr>
            </w:pPr>
            <w:r>
              <w:rPr>
                <w:rFonts w:ascii="Calibri" w:cs="Calibri" w:eastAsia="Calibri" w:hAnsi="Calibri"/>
                <w:sz w:val="16"/>
                <w:szCs w:val="16"/>
                <w:color w:val="0070C0"/>
              </w:rPr>
              <w:t>Management</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12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Organizaton</w:t>
            </w:r>
          </w:p>
        </w:tc>
        <w:tc>
          <w:tcPr>
            <w:tcW w:w="1800" w:type="dxa"/>
            <w:vAlign w:val="bottom"/>
          </w:tcPr>
          <w:p>
            <w:pPr>
              <w:ind w:left="100"/>
              <w:spacing w:after="0"/>
              <w:rPr>
                <w:sz w:val="20"/>
                <w:szCs w:val="20"/>
                <w:color w:val="auto"/>
              </w:rPr>
            </w:pPr>
            <w:r>
              <w:rPr>
                <w:rFonts w:ascii="Calibri" w:cs="Calibri" w:eastAsia="Calibri" w:hAnsi="Calibri"/>
                <w:sz w:val="16"/>
                <w:szCs w:val="16"/>
                <w:color w:val="auto"/>
              </w:rPr>
              <w:t>Directors, facilitated by</w:t>
            </w:r>
          </w:p>
        </w:tc>
        <w:tc>
          <w:tcPr>
            <w:tcW w:w="1760" w:type="dxa"/>
            <w:vAlign w:val="bottom"/>
          </w:tcPr>
          <w:p>
            <w:pPr>
              <w:ind w:left="100"/>
              <w:spacing w:after="0"/>
              <w:rPr>
                <w:sz w:val="20"/>
                <w:szCs w:val="20"/>
                <w:color w:val="auto"/>
              </w:rPr>
            </w:pPr>
            <w:r>
              <w:rPr>
                <w:rFonts w:ascii="Calibri" w:cs="Calibri" w:eastAsia="Calibri" w:hAnsi="Calibri"/>
                <w:sz w:val="16"/>
                <w:szCs w:val="16"/>
                <w:color w:val="auto"/>
              </w:rPr>
              <w:t>Chief Operatng Ofcer</w:t>
            </w:r>
          </w:p>
        </w:tc>
        <w:tc>
          <w:tcPr>
            <w:tcW w:w="1800" w:type="dxa"/>
            <w:vAlign w:val="bottom"/>
          </w:tcPr>
          <w:p>
            <w:pPr>
              <w:ind w:left="120"/>
              <w:spacing w:after="0"/>
              <w:rPr>
                <w:sz w:val="20"/>
                <w:szCs w:val="20"/>
                <w:color w:val="auto"/>
              </w:rPr>
            </w:pPr>
            <w:r>
              <w:rPr>
                <w:rFonts w:ascii="Calibri" w:cs="Calibri" w:eastAsia="Calibri" w:hAnsi="Calibri"/>
                <w:sz w:val="16"/>
                <w:szCs w:val="16"/>
                <w:color w:val="auto"/>
              </w:rPr>
              <w:t>Vice Presidents of</w:t>
            </w:r>
          </w:p>
        </w:tc>
        <w:tc>
          <w:tcPr>
            <w:tcW w:w="1640" w:type="dxa"/>
            <w:vAlign w:val="bottom"/>
          </w:tcPr>
          <w:p>
            <w:pPr>
              <w:ind w:left="100"/>
              <w:spacing w:after="0"/>
              <w:rPr>
                <w:sz w:val="20"/>
                <w:szCs w:val="20"/>
                <w:color w:val="auto"/>
              </w:rPr>
            </w:pPr>
            <w:r>
              <w:rPr>
                <w:rFonts w:ascii="Calibri" w:cs="Calibri" w:eastAsia="Calibri" w:hAnsi="Calibri"/>
                <w:sz w:val="16"/>
                <w:szCs w:val="16"/>
                <w:color w:val="auto"/>
              </w:rPr>
              <w:t>Directors and Senior</w:t>
            </w:r>
          </w:p>
        </w:tc>
        <w:tc>
          <w:tcPr>
            <w:tcW w:w="0" w:type="dxa"/>
            <w:vAlign w:val="bottom"/>
          </w:tcPr>
          <w:p>
            <w:pPr>
              <w:spacing w:after="0"/>
              <w:rPr>
                <w:sz w:val="1"/>
                <w:szCs w:val="1"/>
                <w:color w:val="auto"/>
              </w:rPr>
            </w:pPr>
          </w:p>
        </w:tc>
      </w:tr>
      <w:tr>
        <w:trPr>
          <w:trHeight w:val="189"/>
        </w:trPr>
        <w:tc>
          <w:tcPr>
            <w:tcW w:w="1200" w:type="dxa"/>
            <w:vAlign w:val="bottom"/>
          </w:tcPr>
          <w:p>
            <w:pPr>
              <w:jc w:val="right"/>
              <w:ind w:right="19"/>
              <w:spacing w:after="0" w:line="189" w:lineRule="exact"/>
              <w:rPr>
                <w:sz w:val="20"/>
                <w:szCs w:val="20"/>
                <w:color w:val="auto"/>
              </w:rPr>
            </w:pPr>
            <w:r>
              <w:rPr>
                <w:rFonts w:ascii="Calibri" w:cs="Calibri" w:eastAsia="Calibri" w:hAnsi="Calibri"/>
                <w:sz w:val="16"/>
                <w:szCs w:val="16"/>
                <w:b w:val="1"/>
                <w:bCs w:val="1"/>
                <w:color w:val="auto"/>
              </w:rPr>
              <w:t>Partcipants:</w:t>
            </w:r>
          </w:p>
        </w:tc>
        <w:tc>
          <w:tcPr>
            <w:tcW w:w="1800" w:type="dxa"/>
            <w:vAlign w:val="bottom"/>
          </w:tcPr>
          <w:p>
            <w:pPr>
              <w:ind w:left="100"/>
              <w:spacing w:after="0" w:line="189" w:lineRule="exact"/>
              <w:rPr>
                <w:sz w:val="20"/>
                <w:szCs w:val="20"/>
                <w:color w:val="auto"/>
              </w:rPr>
            </w:pPr>
            <w:r>
              <w:rPr>
                <w:rFonts w:ascii="Calibri" w:cs="Calibri" w:eastAsia="Calibri" w:hAnsi="Calibri"/>
                <w:sz w:val="16"/>
                <w:szCs w:val="16"/>
                <w:color w:val="auto"/>
              </w:rPr>
              <w:t>the Governance</w:t>
            </w:r>
          </w:p>
        </w:tc>
        <w:tc>
          <w:tcPr>
            <w:tcW w:w="1760" w:type="dxa"/>
            <w:vAlign w:val="bottom"/>
            <w:vMerge w:val="restart"/>
          </w:tcPr>
          <w:p>
            <w:pPr>
              <w:ind w:left="100"/>
              <w:spacing w:after="0"/>
              <w:rPr>
                <w:sz w:val="20"/>
                <w:szCs w:val="20"/>
                <w:color w:val="auto"/>
              </w:rPr>
            </w:pPr>
            <w:r>
              <w:rPr>
                <w:rFonts w:ascii="Calibri" w:cs="Calibri" w:eastAsia="Calibri" w:hAnsi="Calibri"/>
                <w:sz w:val="16"/>
                <w:szCs w:val="16"/>
                <w:color w:val="auto"/>
              </w:rPr>
              <w:t>Chief Financial Ofcer</w:t>
            </w:r>
          </w:p>
        </w:tc>
        <w:tc>
          <w:tcPr>
            <w:tcW w:w="1800" w:type="dxa"/>
            <w:vAlign w:val="bottom"/>
          </w:tcPr>
          <w:p>
            <w:pPr>
              <w:ind w:left="120"/>
              <w:spacing w:after="0" w:line="189" w:lineRule="exact"/>
              <w:rPr>
                <w:sz w:val="20"/>
                <w:szCs w:val="20"/>
                <w:color w:val="auto"/>
              </w:rPr>
            </w:pPr>
            <w:r>
              <w:rPr>
                <w:rFonts w:ascii="Calibri" w:cs="Calibri" w:eastAsia="Calibri" w:hAnsi="Calibri"/>
                <w:sz w:val="16"/>
                <w:szCs w:val="16"/>
                <w:color w:val="auto"/>
              </w:rPr>
              <w:t>business segments</w:t>
            </w:r>
          </w:p>
        </w:tc>
        <w:tc>
          <w:tcPr>
            <w:tcW w:w="1640" w:type="dxa"/>
            <w:vAlign w:val="bottom"/>
          </w:tcPr>
          <w:p>
            <w:pPr>
              <w:ind w:left="100"/>
              <w:spacing w:after="0" w:line="189" w:lineRule="exact"/>
              <w:rPr>
                <w:sz w:val="20"/>
                <w:szCs w:val="20"/>
                <w:color w:val="auto"/>
              </w:rPr>
            </w:pPr>
            <w:r>
              <w:rPr>
                <w:rFonts w:ascii="Calibri" w:cs="Calibri" w:eastAsia="Calibri" w:hAnsi="Calibri"/>
                <w:sz w:val="16"/>
                <w:szCs w:val="16"/>
                <w:color w:val="auto"/>
              </w:rPr>
              <w:t>Managers responsible</w:t>
            </w:r>
          </w:p>
        </w:tc>
        <w:tc>
          <w:tcPr>
            <w:tcW w:w="0" w:type="dxa"/>
            <w:vAlign w:val="bottom"/>
          </w:tcPr>
          <w:p>
            <w:pPr>
              <w:spacing w:after="0"/>
              <w:rPr>
                <w:sz w:val="1"/>
                <w:szCs w:val="1"/>
                <w:color w:val="auto"/>
              </w:rPr>
            </w:pPr>
          </w:p>
        </w:tc>
      </w:tr>
      <w:tr>
        <w:trPr>
          <w:trHeight w:val="193"/>
        </w:trPr>
        <w:tc>
          <w:tcPr>
            <w:tcW w:w="1200" w:type="dxa"/>
            <w:vAlign w:val="bottom"/>
          </w:tcPr>
          <w:p>
            <w:pPr>
              <w:spacing w:after="0"/>
              <w:rPr>
                <w:sz w:val="16"/>
                <w:szCs w:val="16"/>
                <w:color w:val="auto"/>
              </w:rPr>
            </w:pPr>
          </w:p>
        </w:tc>
        <w:tc>
          <w:tcPr>
            <w:tcW w:w="1800" w:type="dxa"/>
            <w:vAlign w:val="bottom"/>
          </w:tcPr>
          <w:p>
            <w:pPr>
              <w:ind w:left="100"/>
              <w:spacing w:after="0" w:line="193" w:lineRule="exact"/>
              <w:rPr>
                <w:sz w:val="20"/>
                <w:szCs w:val="20"/>
                <w:color w:val="auto"/>
              </w:rPr>
            </w:pPr>
            <w:r>
              <w:rPr>
                <w:rFonts w:ascii="Calibri" w:cs="Calibri" w:eastAsia="Calibri" w:hAnsi="Calibri"/>
                <w:sz w:val="16"/>
                <w:szCs w:val="16"/>
                <w:color w:val="auto"/>
              </w:rPr>
              <w:t>Commitee</w:t>
            </w:r>
          </w:p>
        </w:tc>
        <w:tc>
          <w:tcPr>
            <w:tcW w:w="1760" w:type="dxa"/>
            <w:vAlign w:val="bottom"/>
            <w:vMerge w:val="continue"/>
          </w:tcPr>
          <w:p>
            <w:pPr>
              <w:spacing w:after="0"/>
              <w:rPr>
                <w:sz w:val="16"/>
                <w:szCs w:val="16"/>
                <w:color w:val="auto"/>
              </w:rPr>
            </w:pPr>
          </w:p>
        </w:tc>
        <w:tc>
          <w:tcPr>
            <w:tcW w:w="1800" w:type="dxa"/>
            <w:vAlign w:val="bottom"/>
          </w:tcPr>
          <w:p>
            <w:pPr>
              <w:spacing w:after="0"/>
              <w:rPr>
                <w:sz w:val="16"/>
                <w:szCs w:val="16"/>
                <w:color w:val="auto"/>
              </w:rPr>
            </w:pPr>
          </w:p>
        </w:tc>
        <w:tc>
          <w:tcPr>
            <w:tcW w:w="1640" w:type="dxa"/>
            <w:vAlign w:val="bottom"/>
          </w:tcPr>
          <w:p>
            <w:pPr>
              <w:ind w:left="100"/>
              <w:spacing w:after="0" w:line="193" w:lineRule="exact"/>
              <w:rPr>
                <w:sz w:val="20"/>
                <w:szCs w:val="20"/>
                <w:color w:val="auto"/>
              </w:rPr>
            </w:pPr>
            <w:r>
              <w:rPr>
                <w:rFonts w:ascii="Calibri" w:cs="Calibri" w:eastAsia="Calibri" w:hAnsi="Calibri"/>
                <w:sz w:val="16"/>
                <w:szCs w:val="16"/>
                <w:color w:val="auto"/>
              </w:rPr>
              <w:t>for functons related to</w:t>
            </w: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60" w:type="dxa"/>
            <w:vAlign w:val="bottom"/>
            <w:vMerge w:val="restart"/>
          </w:tcPr>
          <w:p>
            <w:pPr>
              <w:ind w:left="100"/>
              <w:spacing w:after="0"/>
              <w:rPr>
                <w:sz w:val="20"/>
                <w:szCs w:val="20"/>
                <w:color w:val="auto"/>
              </w:rPr>
            </w:pPr>
            <w:r>
              <w:rPr>
                <w:rFonts w:ascii="Calibri" w:cs="Calibri" w:eastAsia="Calibri" w:hAnsi="Calibri"/>
                <w:sz w:val="16"/>
                <w:szCs w:val="16"/>
                <w:color w:val="auto"/>
              </w:rPr>
              <w:t>Senior Vice Presidents</w:t>
            </w:r>
          </w:p>
        </w:tc>
        <w:tc>
          <w:tcPr>
            <w:tcW w:w="1800" w:type="dxa"/>
            <w:vAlign w:val="bottom"/>
          </w:tcPr>
          <w:p>
            <w:pPr>
              <w:spacing w:after="0"/>
              <w:rPr>
                <w:sz w:val="17"/>
                <w:szCs w:val="17"/>
                <w:color w:val="auto"/>
              </w:rPr>
            </w:pPr>
          </w:p>
        </w:tc>
        <w:tc>
          <w:tcPr>
            <w:tcW w:w="1640" w:type="dxa"/>
            <w:vAlign w:val="bottom"/>
          </w:tcPr>
          <w:p>
            <w:pPr>
              <w:ind w:left="100"/>
              <w:spacing w:after="0"/>
              <w:rPr>
                <w:sz w:val="20"/>
                <w:szCs w:val="20"/>
                <w:color w:val="auto"/>
              </w:rPr>
            </w:pPr>
            <w:r>
              <w:rPr>
                <w:rFonts w:ascii="Calibri" w:cs="Calibri" w:eastAsia="Calibri" w:hAnsi="Calibri"/>
                <w:sz w:val="16"/>
                <w:szCs w:val="16"/>
                <w:color w:val="auto"/>
              </w:rPr>
              <w:t>specifc sustainability</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1640" w:type="dxa"/>
            <w:vAlign w:val="bottom"/>
          </w:tcPr>
          <w:p>
            <w:pPr>
              <w:ind w:left="100"/>
              <w:spacing w:after="0" w:line="162" w:lineRule="exact"/>
              <w:rPr>
                <w:sz w:val="20"/>
                <w:szCs w:val="20"/>
                <w:color w:val="auto"/>
              </w:rPr>
            </w:pPr>
            <w:r>
              <w:rPr>
                <w:rFonts w:ascii="Calibri" w:cs="Calibri" w:eastAsia="Calibri" w:hAnsi="Calibri"/>
                <w:sz w:val="16"/>
                <w:szCs w:val="16"/>
                <w:color w:val="auto"/>
              </w:rPr>
              <w:t>management and goals</w:t>
            </w:r>
          </w:p>
        </w:tc>
        <w:tc>
          <w:tcPr>
            <w:tcW w:w="0" w:type="dxa"/>
            <w:vAlign w:val="bottom"/>
          </w:tcPr>
          <w:p>
            <w:pPr>
              <w:spacing w:after="0"/>
              <w:rPr>
                <w:sz w:val="1"/>
                <w:szCs w:val="1"/>
                <w:color w:val="auto"/>
              </w:rPr>
            </w:pPr>
          </w:p>
        </w:tc>
      </w:tr>
      <w:tr>
        <w:trPr>
          <w:trHeight w:val="193"/>
        </w:trPr>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60" w:type="dxa"/>
            <w:vAlign w:val="bottom"/>
          </w:tcPr>
          <w:p>
            <w:pPr>
              <w:ind w:left="100"/>
              <w:spacing w:after="0" w:line="193" w:lineRule="exact"/>
              <w:rPr>
                <w:sz w:val="20"/>
                <w:szCs w:val="20"/>
                <w:color w:val="auto"/>
              </w:rPr>
            </w:pPr>
            <w:r>
              <w:rPr>
                <w:rFonts w:ascii="Calibri" w:cs="Calibri" w:eastAsia="Calibri" w:hAnsi="Calibri"/>
                <w:sz w:val="16"/>
                <w:szCs w:val="16"/>
                <w:color w:val="auto"/>
              </w:rPr>
              <w:t>of business functons</w:t>
            </w:r>
          </w:p>
        </w:tc>
        <w:tc>
          <w:tcPr>
            <w:tcW w:w="1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60" w:type="dxa"/>
            <w:vAlign w:val="bottom"/>
          </w:tcPr>
          <w:p>
            <w:pPr>
              <w:ind w:left="100"/>
              <w:spacing w:after="0"/>
              <w:rPr>
                <w:sz w:val="20"/>
                <w:szCs w:val="20"/>
                <w:color w:val="auto"/>
              </w:rPr>
            </w:pPr>
            <w:r>
              <w:rPr>
                <w:rFonts w:ascii="Calibri" w:cs="Calibri" w:eastAsia="Calibri" w:hAnsi="Calibri"/>
                <w:sz w:val="16"/>
                <w:szCs w:val="16"/>
                <w:color w:val="auto"/>
              </w:rPr>
              <w:t>Vice Presidents of</w:t>
            </w:r>
          </w:p>
        </w:tc>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60" w:type="dxa"/>
            <w:vAlign w:val="bottom"/>
          </w:tcPr>
          <w:p>
            <w:pPr>
              <w:ind w:left="100"/>
              <w:spacing w:after="0" w:line="193" w:lineRule="exact"/>
              <w:rPr>
                <w:sz w:val="20"/>
                <w:szCs w:val="20"/>
                <w:color w:val="auto"/>
              </w:rPr>
            </w:pPr>
            <w:r>
              <w:rPr>
                <w:rFonts w:ascii="Calibri" w:cs="Calibri" w:eastAsia="Calibri" w:hAnsi="Calibri"/>
                <w:sz w:val="16"/>
                <w:szCs w:val="16"/>
                <w:color w:val="auto"/>
              </w:rPr>
              <w:t>business segments</w:t>
            </w:r>
          </w:p>
        </w:tc>
        <w:tc>
          <w:tcPr>
            <w:tcW w:w="1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1200" w:type="dxa"/>
            <w:vAlign w:val="bottom"/>
          </w:tcPr>
          <w:p>
            <w:pPr>
              <w:jc w:val="right"/>
              <w:ind w:right="19"/>
              <w:spacing w:after="0"/>
              <w:rPr>
                <w:sz w:val="20"/>
                <w:szCs w:val="20"/>
                <w:color w:val="auto"/>
              </w:rPr>
            </w:pPr>
            <w:r>
              <w:rPr>
                <w:rFonts w:ascii="Calibri" w:cs="Calibri" w:eastAsia="Calibri" w:hAnsi="Calibri"/>
                <w:sz w:val="16"/>
                <w:szCs w:val="16"/>
                <w:b w:val="1"/>
                <w:bCs w:val="1"/>
                <w:color w:val="0070C0"/>
              </w:rPr>
              <w:t>Functons &amp;</w:t>
            </w:r>
          </w:p>
        </w:tc>
        <w:tc>
          <w:tcPr>
            <w:tcW w:w="1800" w:type="dxa"/>
            <w:vAlign w:val="bottom"/>
          </w:tcPr>
          <w:p>
            <w:pPr>
              <w:ind w:left="100"/>
              <w:spacing w:after="0"/>
              <w:rPr>
                <w:sz w:val="20"/>
                <w:szCs w:val="20"/>
                <w:color w:val="auto"/>
              </w:rPr>
            </w:pPr>
            <w:r>
              <w:rPr>
                <w:rFonts w:ascii="Calibri" w:cs="Calibri" w:eastAsia="Calibri" w:hAnsi="Calibri"/>
                <w:sz w:val="16"/>
                <w:szCs w:val="16"/>
                <w:color w:val="0070C0"/>
              </w:rPr>
              <w:t>Monitors the</w:t>
            </w:r>
          </w:p>
        </w:tc>
        <w:tc>
          <w:tcPr>
            <w:tcW w:w="1760" w:type="dxa"/>
            <w:vAlign w:val="bottom"/>
          </w:tcPr>
          <w:p>
            <w:pPr>
              <w:ind w:left="100"/>
              <w:spacing w:after="0"/>
              <w:rPr>
                <w:sz w:val="20"/>
                <w:szCs w:val="20"/>
                <w:color w:val="auto"/>
              </w:rPr>
            </w:pPr>
            <w:r>
              <w:rPr>
                <w:rFonts w:ascii="Calibri" w:cs="Calibri" w:eastAsia="Calibri" w:hAnsi="Calibri"/>
                <w:sz w:val="16"/>
                <w:szCs w:val="16"/>
                <w:color w:val="0070C0"/>
              </w:rPr>
              <w:t>Oversees the</w:t>
            </w:r>
          </w:p>
        </w:tc>
        <w:tc>
          <w:tcPr>
            <w:tcW w:w="1800" w:type="dxa"/>
            <w:vAlign w:val="bottom"/>
          </w:tcPr>
          <w:p>
            <w:pPr>
              <w:ind w:left="120"/>
              <w:spacing w:after="0"/>
              <w:rPr>
                <w:sz w:val="20"/>
                <w:szCs w:val="20"/>
                <w:color w:val="auto"/>
              </w:rPr>
            </w:pPr>
            <w:r>
              <w:rPr>
                <w:rFonts w:ascii="Calibri" w:cs="Calibri" w:eastAsia="Calibri" w:hAnsi="Calibri"/>
                <w:sz w:val="16"/>
                <w:szCs w:val="16"/>
                <w:color w:val="0070C0"/>
              </w:rPr>
              <w:t>Oversees enterprise risk</w:t>
            </w:r>
          </w:p>
        </w:tc>
        <w:tc>
          <w:tcPr>
            <w:tcW w:w="1640" w:type="dxa"/>
            <w:vAlign w:val="bottom"/>
          </w:tcPr>
          <w:p>
            <w:pPr>
              <w:ind w:left="100"/>
              <w:spacing w:after="0"/>
              <w:rPr>
                <w:sz w:val="20"/>
                <w:szCs w:val="20"/>
                <w:color w:val="auto"/>
              </w:rPr>
            </w:pPr>
            <w:r>
              <w:rPr>
                <w:rFonts w:ascii="Calibri" w:cs="Calibri" w:eastAsia="Calibri" w:hAnsi="Calibri"/>
                <w:sz w:val="16"/>
                <w:szCs w:val="16"/>
                <w:color w:val="0070C0"/>
              </w:rPr>
              <w:t>Reviews progress to</w:t>
            </w:r>
          </w:p>
        </w:tc>
        <w:tc>
          <w:tcPr>
            <w:tcW w:w="0" w:type="dxa"/>
            <w:vAlign w:val="bottom"/>
          </w:tcPr>
          <w:p>
            <w:pPr>
              <w:spacing w:after="0"/>
              <w:rPr>
                <w:sz w:val="1"/>
                <w:szCs w:val="1"/>
                <w:color w:val="auto"/>
              </w:rPr>
            </w:pPr>
          </w:p>
        </w:tc>
      </w:tr>
      <w:tr>
        <w:trPr>
          <w:trHeight w:val="189"/>
        </w:trPr>
        <w:tc>
          <w:tcPr>
            <w:tcW w:w="1200" w:type="dxa"/>
            <w:vAlign w:val="bottom"/>
          </w:tcPr>
          <w:p>
            <w:pPr>
              <w:jc w:val="right"/>
              <w:ind w:right="19"/>
              <w:spacing w:after="0" w:line="189" w:lineRule="exact"/>
              <w:rPr>
                <w:sz w:val="20"/>
                <w:szCs w:val="20"/>
                <w:color w:val="auto"/>
              </w:rPr>
            </w:pPr>
            <w:r>
              <w:rPr>
                <w:rFonts w:ascii="Calibri" w:cs="Calibri" w:eastAsia="Calibri" w:hAnsi="Calibri"/>
                <w:sz w:val="16"/>
                <w:szCs w:val="16"/>
                <w:b w:val="1"/>
                <w:bCs w:val="1"/>
                <w:color w:val="0070C0"/>
              </w:rPr>
              <w:t>Oversight:</w:t>
            </w:r>
          </w:p>
        </w:tc>
        <w:tc>
          <w:tcPr>
            <w:tcW w:w="1800" w:type="dxa"/>
            <w:vAlign w:val="bottom"/>
          </w:tcPr>
          <w:p>
            <w:pPr>
              <w:ind w:left="100"/>
              <w:spacing w:after="0" w:line="189" w:lineRule="exact"/>
              <w:rPr>
                <w:sz w:val="20"/>
                <w:szCs w:val="20"/>
                <w:color w:val="auto"/>
              </w:rPr>
            </w:pPr>
            <w:r>
              <w:rPr>
                <w:rFonts w:ascii="Calibri" w:cs="Calibri" w:eastAsia="Calibri" w:hAnsi="Calibri"/>
                <w:sz w:val="16"/>
                <w:szCs w:val="16"/>
                <w:color w:val="0070C0"/>
              </w:rPr>
              <w:t>Company’s adherence</w:t>
            </w:r>
          </w:p>
        </w:tc>
        <w:tc>
          <w:tcPr>
            <w:tcW w:w="1760" w:type="dxa"/>
            <w:vAlign w:val="bottom"/>
          </w:tcPr>
          <w:p>
            <w:pPr>
              <w:ind w:left="100"/>
              <w:spacing w:after="0" w:line="189" w:lineRule="exact"/>
              <w:rPr>
                <w:sz w:val="20"/>
                <w:szCs w:val="20"/>
                <w:color w:val="auto"/>
              </w:rPr>
            </w:pPr>
            <w:r>
              <w:rPr>
                <w:rFonts w:ascii="Calibri" w:cs="Calibri" w:eastAsia="Calibri" w:hAnsi="Calibri"/>
                <w:sz w:val="16"/>
                <w:szCs w:val="16"/>
                <w:color w:val="0070C0"/>
              </w:rPr>
              <w:t>sustainability program</w:t>
            </w:r>
          </w:p>
        </w:tc>
        <w:tc>
          <w:tcPr>
            <w:tcW w:w="1800" w:type="dxa"/>
            <w:vAlign w:val="bottom"/>
          </w:tcPr>
          <w:p>
            <w:pPr>
              <w:ind w:left="120"/>
              <w:spacing w:after="0" w:line="189" w:lineRule="exact"/>
              <w:rPr>
                <w:sz w:val="20"/>
                <w:szCs w:val="20"/>
                <w:color w:val="auto"/>
              </w:rPr>
            </w:pPr>
            <w:r>
              <w:rPr>
                <w:rFonts w:ascii="Calibri" w:cs="Calibri" w:eastAsia="Calibri" w:hAnsi="Calibri"/>
                <w:sz w:val="16"/>
                <w:szCs w:val="16"/>
                <w:color w:val="0070C0"/>
              </w:rPr>
              <w:t>management and</w:t>
            </w:r>
          </w:p>
        </w:tc>
        <w:tc>
          <w:tcPr>
            <w:tcW w:w="1640" w:type="dxa"/>
            <w:vAlign w:val="bottom"/>
          </w:tcPr>
          <w:p>
            <w:pPr>
              <w:ind w:left="100"/>
              <w:spacing w:after="0" w:line="189" w:lineRule="exact"/>
              <w:rPr>
                <w:sz w:val="20"/>
                <w:szCs w:val="20"/>
                <w:color w:val="auto"/>
              </w:rPr>
            </w:pPr>
            <w:r>
              <w:rPr>
                <w:rFonts w:ascii="Calibri" w:cs="Calibri" w:eastAsia="Calibri" w:hAnsi="Calibri"/>
                <w:sz w:val="16"/>
                <w:szCs w:val="16"/>
                <w:color w:val="0070C0"/>
              </w:rPr>
              <w:t>targets and</w:t>
            </w:r>
          </w:p>
        </w:tc>
        <w:tc>
          <w:tcPr>
            <w:tcW w:w="0" w:type="dxa"/>
            <w:vAlign w:val="bottom"/>
          </w:tcPr>
          <w:p>
            <w:pPr>
              <w:spacing w:after="0"/>
              <w:rPr>
                <w:sz w:val="1"/>
                <w:szCs w:val="1"/>
                <w:color w:val="auto"/>
              </w:rPr>
            </w:pPr>
          </w:p>
        </w:tc>
      </w:tr>
      <w:tr>
        <w:trPr>
          <w:trHeight w:val="193"/>
        </w:trPr>
        <w:tc>
          <w:tcPr>
            <w:tcW w:w="1200" w:type="dxa"/>
            <w:vAlign w:val="bottom"/>
          </w:tcPr>
          <w:p>
            <w:pPr>
              <w:spacing w:after="0"/>
              <w:rPr>
                <w:sz w:val="16"/>
                <w:szCs w:val="16"/>
                <w:color w:val="auto"/>
              </w:rPr>
            </w:pPr>
          </w:p>
        </w:tc>
        <w:tc>
          <w:tcPr>
            <w:tcW w:w="1800" w:type="dxa"/>
            <w:vAlign w:val="bottom"/>
          </w:tcPr>
          <w:p>
            <w:pPr>
              <w:ind w:left="100"/>
              <w:spacing w:after="0" w:line="193" w:lineRule="exact"/>
              <w:rPr>
                <w:sz w:val="20"/>
                <w:szCs w:val="20"/>
                <w:color w:val="auto"/>
              </w:rPr>
            </w:pPr>
            <w:r>
              <w:rPr>
                <w:rFonts w:ascii="Calibri" w:cs="Calibri" w:eastAsia="Calibri" w:hAnsi="Calibri"/>
                <w:sz w:val="16"/>
                <w:szCs w:val="16"/>
                <w:color w:val="0070C0"/>
              </w:rPr>
              <w:t>to corporate</w:t>
            </w:r>
          </w:p>
        </w:tc>
        <w:tc>
          <w:tcPr>
            <w:tcW w:w="1760" w:type="dxa"/>
            <w:vAlign w:val="bottom"/>
          </w:tcPr>
          <w:p>
            <w:pPr>
              <w:ind w:left="100"/>
              <w:spacing w:after="0" w:line="193" w:lineRule="exact"/>
              <w:rPr>
                <w:sz w:val="20"/>
                <w:szCs w:val="20"/>
                <w:color w:val="auto"/>
              </w:rPr>
            </w:pPr>
            <w:r>
              <w:rPr>
                <w:rFonts w:ascii="Calibri" w:cs="Calibri" w:eastAsia="Calibri" w:hAnsi="Calibri"/>
                <w:sz w:val="16"/>
                <w:szCs w:val="16"/>
                <w:color w:val="0070C0"/>
              </w:rPr>
              <w:t>and enables business</w:t>
            </w:r>
          </w:p>
        </w:tc>
        <w:tc>
          <w:tcPr>
            <w:tcW w:w="1800" w:type="dxa"/>
            <w:vAlign w:val="bottom"/>
          </w:tcPr>
          <w:p>
            <w:pPr>
              <w:ind w:left="120"/>
              <w:spacing w:after="0" w:line="193" w:lineRule="exact"/>
              <w:rPr>
                <w:sz w:val="20"/>
                <w:szCs w:val="20"/>
                <w:color w:val="auto"/>
              </w:rPr>
            </w:pPr>
            <w:r>
              <w:rPr>
                <w:rFonts w:ascii="Calibri" w:cs="Calibri" w:eastAsia="Calibri" w:hAnsi="Calibri"/>
                <w:sz w:val="16"/>
                <w:szCs w:val="16"/>
                <w:color w:val="0070C0"/>
              </w:rPr>
              <w:t>opportunites to inform</w:t>
            </w:r>
          </w:p>
        </w:tc>
        <w:tc>
          <w:tcPr>
            <w:tcW w:w="1640" w:type="dxa"/>
            <w:vAlign w:val="bottom"/>
          </w:tcPr>
          <w:p>
            <w:pPr>
              <w:ind w:left="100"/>
              <w:spacing w:after="0" w:line="193" w:lineRule="exact"/>
              <w:rPr>
                <w:sz w:val="20"/>
                <w:szCs w:val="20"/>
                <w:color w:val="auto"/>
              </w:rPr>
            </w:pPr>
            <w:r>
              <w:rPr>
                <w:rFonts w:ascii="Calibri" w:cs="Calibri" w:eastAsia="Calibri" w:hAnsi="Calibri"/>
                <w:sz w:val="16"/>
                <w:szCs w:val="16"/>
                <w:color w:val="0070C0"/>
              </w:rPr>
              <w:t>opportunites for</w:t>
            </w: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1800" w:type="dxa"/>
            <w:vAlign w:val="bottom"/>
          </w:tcPr>
          <w:p>
            <w:pPr>
              <w:ind w:left="100"/>
              <w:spacing w:after="0"/>
              <w:rPr>
                <w:sz w:val="20"/>
                <w:szCs w:val="20"/>
                <w:color w:val="auto"/>
              </w:rPr>
            </w:pPr>
            <w:r>
              <w:rPr>
                <w:rFonts w:ascii="Calibri" w:cs="Calibri" w:eastAsia="Calibri" w:hAnsi="Calibri"/>
                <w:sz w:val="16"/>
                <w:szCs w:val="16"/>
                <w:color w:val="0070C0"/>
              </w:rPr>
              <w:t>governance policies,</w:t>
            </w:r>
          </w:p>
        </w:tc>
        <w:tc>
          <w:tcPr>
            <w:tcW w:w="1760" w:type="dxa"/>
            <w:vAlign w:val="bottom"/>
          </w:tcPr>
          <w:p>
            <w:pPr>
              <w:ind w:left="100"/>
              <w:spacing w:after="0"/>
              <w:rPr>
                <w:sz w:val="20"/>
                <w:szCs w:val="20"/>
                <w:color w:val="auto"/>
              </w:rPr>
            </w:pPr>
            <w:r>
              <w:rPr>
                <w:rFonts w:ascii="Calibri" w:cs="Calibri" w:eastAsia="Calibri" w:hAnsi="Calibri"/>
                <w:sz w:val="16"/>
                <w:szCs w:val="16"/>
                <w:color w:val="0070C0"/>
              </w:rPr>
              <w:t>segment and functons</w:t>
            </w:r>
          </w:p>
        </w:tc>
        <w:tc>
          <w:tcPr>
            <w:tcW w:w="1800" w:type="dxa"/>
            <w:vAlign w:val="bottom"/>
          </w:tcPr>
          <w:p>
            <w:pPr>
              <w:ind w:left="120"/>
              <w:spacing w:after="0"/>
              <w:rPr>
                <w:sz w:val="20"/>
                <w:szCs w:val="20"/>
                <w:color w:val="auto"/>
              </w:rPr>
            </w:pPr>
            <w:r>
              <w:rPr>
                <w:rFonts w:ascii="Calibri" w:cs="Calibri" w:eastAsia="Calibri" w:hAnsi="Calibri"/>
                <w:sz w:val="16"/>
                <w:szCs w:val="16"/>
                <w:color w:val="0070C0"/>
              </w:rPr>
              <w:t>executve leadership</w:t>
            </w:r>
          </w:p>
        </w:tc>
        <w:tc>
          <w:tcPr>
            <w:tcW w:w="1640" w:type="dxa"/>
            <w:vAlign w:val="bottom"/>
          </w:tcPr>
          <w:p>
            <w:pPr>
              <w:ind w:left="100"/>
              <w:spacing w:after="0"/>
              <w:rPr>
                <w:sz w:val="20"/>
                <w:szCs w:val="20"/>
                <w:color w:val="auto"/>
              </w:rPr>
            </w:pPr>
            <w:r>
              <w:rPr>
                <w:rFonts w:ascii="Calibri" w:cs="Calibri" w:eastAsia="Calibri" w:hAnsi="Calibri"/>
                <w:sz w:val="16"/>
                <w:szCs w:val="16"/>
                <w:color w:val="0070C0"/>
              </w:rPr>
              <w:t>program enhancement</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800" w:type="dxa"/>
            <w:vAlign w:val="bottom"/>
          </w:tcPr>
          <w:p>
            <w:pPr>
              <w:ind w:left="100"/>
              <w:spacing w:after="0" w:line="189" w:lineRule="exact"/>
              <w:rPr>
                <w:sz w:val="20"/>
                <w:szCs w:val="20"/>
                <w:color w:val="auto"/>
              </w:rPr>
            </w:pPr>
            <w:r>
              <w:rPr>
                <w:rFonts w:ascii="Calibri" w:cs="Calibri" w:eastAsia="Calibri" w:hAnsi="Calibri"/>
                <w:sz w:val="16"/>
                <w:szCs w:val="16"/>
                <w:color w:val="0070C0"/>
              </w:rPr>
              <w:t>including the</w:t>
            </w:r>
          </w:p>
        </w:tc>
        <w:tc>
          <w:tcPr>
            <w:tcW w:w="1760" w:type="dxa"/>
            <w:vAlign w:val="bottom"/>
          </w:tcPr>
          <w:p>
            <w:pPr>
              <w:ind w:left="100"/>
              <w:spacing w:after="0" w:line="189" w:lineRule="exact"/>
              <w:rPr>
                <w:sz w:val="20"/>
                <w:szCs w:val="20"/>
                <w:color w:val="auto"/>
              </w:rPr>
            </w:pPr>
            <w:r>
              <w:rPr>
                <w:rFonts w:ascii="Calibri" w:cs="Calibri" w:eastAsia="Calibri" w:hAnsi="Calibri"/>
                <w:sz w:val="16"/>
                <w:szCs w:val="16"/>
                <w:color w:val="0070C0"/>
              </w:rPr>
              <w:t>to pursue and</w:t>
            </w:r>
          </w:p>
        </w:tc>
        <w:tc>
          <w:tcPr>
            <w:tcW w:w="1800" w:type="dxa"/>
            <w:vAlign w:val="bottom"/>
          </w:tcPr>
          <w:p>
            <w:pPr>
              <w:ind w:left="120"/>
              <w:spacing w:after="0" w:line="189" w:lineRule="exact"/>
              <w:rPr>
                <w:sz w:val="20"/>
                <w:szCs w:val="20"/>
                <w:color w:val="auto"/>
              </w:rPr>
            </w:pPr>
            <w:r>
              <w:rPr>
                <w:rFonts w:ascii="Calibri" w:cs="Calibri" w:eastAsia="Calibri" w:hAnsi="Calibri"/>
                <w:sz w:val="16"/>
                <w:szCs w:val="16"/>
                <w:color w:val="0070C0"/>
              </w:rPr>
              <w:t>and the Board of</w:t>
            </w:r>
          </w:p>
        </w:tc>
        <w:tc>
          <w:tcPr>
            <w:tcW w:w="1640" w:type="dxa"/>
            <w:vAlign w:val="bottom"/>
          </w:tcPr>
          <w:p>
            <w:pPr>
              <w:ind w:left="100"/>
              <w:spacing w:after="0" w:line="189" w:lineRule="exact"/>
              <w:rPr>
                <w:sz w:val="20"/>
                <w:szCs w:val="20"/>
                <w:color w:val="auto"/>
              </w:rPr>
            </w:pPr>
            <w:r>
              <w:rPr>
                <w:rFonts w:ascii="Calibri" w:cs="Calibri" w:eastAsia="Calibri" w:hAnsi="Calibri"/>
                <w:sz w:val="16"/>
                <w:szCs w:val="16"/>
                <w:color w:val="0070C0"/>
                <w:w w:val="99"/>
              </w:rPr>
              <w:t>and shares internal and</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800" w:type="dxa"/>
            <w:vAlign w:val="bottom"/>
          </w:tcPr>
          <w:p>
            <w:pPr>
              <w:ind w:left="100"/>
              <w:spacing w:after="0" w:line="189" w:lineRule="exact"/>
              <w:rPr>
                <w:sz w:val="20"/>
                <w:szCs w:val="20"/>
                <w:color w:val="auto"/>
              </w:rPr>
            </w:pPr>
            <w:r>
              <w:rPr>
                <w:rFonts w:ascii="Calibri" w:cs="Calibri" w:eastAsia="Calibri" w:hAnsi="Calibri"/>
                <w:sz w:val="16"/>
                <w:szCs w:val="16"/>
                <w:color w:val="0070C0"/>
              </w:rPr>
              <w:t>Governance Guidelines,</w:t>
            </w:r>
          </w:p>
        </w:tc>
        <w:tc>
          <w:tcPr>
            <w:tcW w:w="1760" w:type="dxa"/>
            <w:vAlign w:val="bottom"/>
          </w:tcPr>
          <w:p>
            <w:pPr>
              <w:ind w:left="100"/>
              <w:spacing w:after="0" w:line="189" w:lineRule="exact"/>
              <w:rPr>
                <w:sz w:val="20"/>
                <w:szCs w:val="20"/>
                <w:color w:val="auto"/>
              </w:rPr>
            </w:pPr>
            <w:r>
              <w:rPr>
                <w:rFonts w:ascii="Calibri" w:cs="Calibri" w:eastAsia="Calibri" w:hAnsi="Calibri"/>
                <w:sz w:val="16"/>
                <w:szCs w:val="16"/>
                <w:color w:val="0070C0"/>
              </w:rPr>
              <w:t>implement</w:t>
            </w:r>
          </w:p>
        </w:tc>
        <w:tc>
          <w:tcPr>
            <w:tcW w:w="1800" w:type="dxa"/>
            <w:vAlign w:val="bottom"/>
          </w:tcPr>
          <w:p>
            <w:pPr>
              <w:ind w:left="120"/>
              <w:spacing w:after="0" w:line="189" w:lineRule="exact"/>
              <w:rPr>
                <w:sz w:val="20"/>
                <w:szCs w:val="20"/>
                <w:color w:val="auto"/>
              </w:rPr>
            </w:pPr>
            <w:r>
              <w:rPr>
                <w:rFonts w:ascii="Calibri" w:cs="Calibri" w:eastAsia="Calibri" w:hAnsi="Calibri"/>
                <w:sz w:val="16"/>
                <w:szCs w:val="16"/>
                <w:color w:val="0070C0"/>
              </w:rPr>
              <w:t>Directors on risk</w:t>
            </w:r>
          </w:p>
        </w:tc>
        <w:tc>
          <w:tcPr>
            <w:tcW w:w="1640" w:type="dxa"/>
            <w:vAlign w:val="bottom"/>
          </w:tcPr>
          <w:p>
            <w:pPr>
              <w:ind w:left="100"/>
              <w:spacing w:after="0" w:line="189" w:lineRule="exact"/>
              <w:rPr>
                <w:sz w:val="20"/>
                <w:szCs w:val="20"/>
                <w:color w:val="auto"/>
              </w:rPr>
            </w:pPr>
            <w:r>
              <w:rPr>
                <w:rFonts w:ascii="Calibri" w:cs="Calibri" w:eastAsia="Calibri" w:hAnsi="Calibri"/>
                <w:sz w:val="16"/>
                <w:szCs w:val="16"/>
                <w:color w:val="0070C0"/>
              </w:rPr>
              <w:t>external insights and</w:t>
            </w:r>
          </w:p>
        </w:tc>
        <w:tc>
          <w:tcPr>
            <w:tcW w:w="0" w:type="dxa"/>
            <w:vAlign w:val="bottom"/>
          </w:tcPr>
          <w:p>
            <w:pPr>
              <w:spacing w:after="0"/>
              <w:rPr>
                <w:sz w:val="1"/>
                <w:szCs w:val="1"/>
                <w:color w:val="auto"/>
              </w:rPr>
            </w:pPr>
          </w:p>
        </w:tc>
      </w:tr>
      <w:tr>
        <w:trPr>
          <w:trHeight w:val="193"/>
        </w:trPr>
        <w:tc>
          <w:tcPr>
            <w:tcW w:w="1200" w:type="dxa"/>
            <w:vAlign w:val="bottom"/>
          </w:tcPr>
          <w:p>
            <w:pPr>
              <w:spacing w:after="0"/>
              <w:rPr>
                <w:sz w:val="16"/>
                <w:szCs w:val="16"/>
                <w:color w:val="auto"/>
              </w:rPr>
            </w:pPr>
          </w:p>
        </w:tc>
        <w:tc>
          <w:tcPr>
            <w:tcW w:w="1800" w:type="dxa"/>
            <w:vAlign w:val="bottom"/>
          </w:tcPr>
          <w:p>
            <w:pPr>
              <w:ind w:left="100"/>
              <w:spacing w:after="0" w:line="193" w:lineRule="exact"/>
              <w:rPr>
                <w:sz w:val="20"/>
                <w:szCs w:val="20"/>
                <w:color w:val="auto"/>
              </w:rPr>
            </w:pPr>
            <w:r>
              <w:rPr>
                <w:rFonts w:ascii="Calibri" w:cs="Calibri" w:eastAsia="Calibri" w:hAnsi="Calibri"/>
                <w:sz w:val="16"/>
                <w:szCs w:val="16"/>
                <w:color w:val="0070C0"/>
              </w:rPr>
              <w:t>oversight of the</w:t>
            </w:r>
          </w:p>
        </w:tc>
        <w:tc>
          <w:tcPr>
            <w:tcW w:w="1760" w:type="dxa"/>
            <w:vAlign w:val="bottom"/>
          </w:tcPr>
          <w:p>
            <w:pPr>
              <w:ind w:left="100"/>
              <w:spacing w:after="0" w:line="193" w:lineRule="exact"/>
              <w:rPr>
                <w:sz w:val="20"/>
                <w:szCs w:val="20"/>
                <w:color w:val="auto"/>
              </w:rPr>
            </w:pPr>
            <w:r>
              <w:rPr>
                <w:rFonts w:ascii="Calibri" w:cs="Calibri" w:eastAsia="Calibri" w:hAnsi="Calibri"/>
                <w:sz w:val="16"/>
                <w:szCs w:val="16"/>
                <w:color w:val="0070C0"/>
              </w:rPr>
              <w:t>opportunites and</w:t>
            </w:r>
          </w:p>
        </w:tc>
        <w:tc>
          <w:tcPr>
            <w:tcW w:w="1800" w:type="dxa"/>
            <w:vAlign w:val="bottom"/>
          </w:tcPr>
          <w:p>
            <w:pPr>
              <w:ind w:left="120"/>
              <w:spacing w:after="0" w:line="193" w:lineRule="exact"/>
              <w:rPr>
                <w:sz w:val="20"/>
                <w:szCs w:val="20"/>
                <w:color w:val="auto"/>
              </w:rPr>
            </w:pPr>
            <w:r>
              <w:rPr>
                <w:rFonts w:ascii="Calibri" w:cs="Calibri" w:eastAsia="Calibri" w:hAnsi="Calibri"/>
                <w:sz w:val="16"/>
                <w:szCs w:val="16"/>
                <w:color w:val="0070C0"/>
              </w:rPr>
              <w:t>management eforts</w:t>
            </w:r>
          </w:p>
        </w:tc>
        <w:tc>
          <w:tcPr>
            <w:tcW w:w="1640" w:type="dxa"/>
            <w:vAlign w:val="bottom"/>
          </w:tcPr>
          <w:p>
            <w:pPr>
              <w:ind w:left="100"/>
              <w:spacing w:after="0" w:line="193" w:lineRule="exact"/>
              <w:rPr>
                <w:sz w:val="20"/>
                <w:szCs w:val="20"/>
                <w:color w:val="auto"/>
              </w:rPr>
            </w:pPr>
            <w:r>
              <w:rPr>
                <w:rFonts w:ascii="Calibri" w:cs="Calibri" w:eastAsia="Calibri" w:hAnsi="Calibri"/>
                <w:sz w:val="16"/>
                <w:szCs w:val="16"/>
                <w:color w:val="0070C0"/>
              </w:rPr>
              <w:t>best practces.</w:t>
            </w: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1800" w:type="dxa"/>
            <w:vAlign w:val="bottom"/>
          </w:tcPr>
          <w:p>
            <w:pPr>
              <w:ind w:left="100"/>
              <w:spacing w:after="0"/>
              <w:rPr>
                <w:sz w:val="20"/>
                <w:szCs w:val="20"/>
                <w:color w:val="auto"/>
              </w:rPr>
            </w:pPr>
            <w:r>
              <w:rPr>
                <w:rFonts w:ascii="Calibri" w:cs="Calibri" w:eastAsia="Calibri" w:hAnsi="Calibri"/>
                <w:sz w:val="16"/>
                <w:szCs w:val="16"/>
                <w:color w:val="0070C0"/>
              </w:rPr>
              <w:t>Company’s practces</w:t>
            </w:r>
          </w:p>
        </w:tc>
        <w:tc>
          <w:tcPr>
            <w:tcW w:w="1760" w:type="dxa"/>
            <w:vAlign w:val="bottom"/>
          </w:tcPr>
          <w:p>
            <w:pPr>
              <w:ind w:left="100"/>
              <w:spacing w:after="0"/>
              <w:rPr>
                <w:sz w:val="20"/>
                <w:szCs w:val="20"/>
                <w:color w:val="auto"/>
              </w:rPr>
            </w:pPr>
            <w:r>
              <w:rPr>
                <w:rFonts w:ascii="Calibri" w:cs="Calibri" w:eastAsia="Calibri" w:hAnsi="Calibri"/>
                <w:sz w:val="16"/>
                <w:szCs w:val="16"/>
                <w:color w:val="0070C0"/>
              </w:rPr>
              <w:t>practces that support</w:t>
            </w:r>
          </w:p>
        </w:tc>
        <w:tc>
          <w:tcPr>
            <w:tcW w:w="1800" w:type="dxa"/>
            <w:vAlign w:val="bottom"/>
          </w:tcPr>
          <w:p>
            <w:pPr>
              <w:ind w:left="120"/>
              <w:spacing w:after="0"/>
              <w:rPr>
                <w:sz w:val="20"/>
                <w:szCs w:val="20"/>
                <w:color w:val="auto"/>
              </w:rPr>
            </w:pPr>
            <w:r>
              <w:rPr>
                <w:rFonts w:ascii="Calibri" w:cs="Calibri" w:eastAsia="Calibri" w:hAnsi="Calibri"/>
                <w:sz w:val="16"/>
                <w:szCs w:val="16"/>
                <w:color w:val="0070C0"/>
              </w:rPr>
              <w:t>and provides a forum to</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800" w:type="dxa"/>
            <w:vAlign w:val="bottom"/>
          </w:tcPr>
          <w:p>
            <w:pPr>
              <w:ind w:left="100"/>
              <w:spacing w:after="0" w:line="189" w:lineRule="exact"/>
              <w:rPr>
                <w:sz w:val="20"/>
                <w:szCs w:val="20"/>
                <w:color w:val="auto"/>
              </w:rPr>
            </w:pPr>
            <w:r>
              <w:rPr>
                <w:rFonts w:ascii="Calibri" w:cs="Calibri" w:eastAsia="Calibri" w:hAnsi="Calibri"/>
                <w:sz w:val="16"/>
                <w:szCs w:val="16"/>
                <w:color w:val="0070C0"/>
              </w:rPr>
              <w:t>with respect to</w:t>
            </w:r>
          </w:p>
        </w:tc>
        <w:tc>
          <w:tcPr>
            <w:tcW w:w="1760" w:type="dxa"/>
            <w:vAlign w:val="bottom"/>
          </w:tcPr>
          <w:p>
            <w:pPr>
              <w:ind w:left="100"/>
              <w:spacing w:after="0" w:line="189" w:lineRule="exact"/>
              <w:rPr>
                <w:sz w:val="20"/>
                <w:szCs w:val="20"/>
                <w:color w:val="auto"/>
              </w:rPr>
            </w:pPr>
            <w:r>
              <w:rPr>
                <w:rFonts w:ascii="Calibri" w:cs="Calibri" w:eastAsia="Calibri" w:hAnsi="Calibri"/>
                <w:sz w:val="16"/>
                <w:szCs w:val="16"/>
                <w:color w:val="0070C0"/>
              </w:rPr>
              <w:t>the sustainability policy</w:t>
            </w:r>
          </w:p>
        </w:tc>
        <w:tc>
          <w:tcPr>
            <w:tcW w:w="1800" w:type="dxa"/>
            <w:vAlign w:val="bottom"/>
          </w:tcPr>
          <w:p>
            <w:pPr>
              <w:ind w:left="120"/>
              <w:spacing w:after="0" w:line="189" w:lineRule="exact"/>
              <w:rPr>
                <w:sz w:val="20"/>
                <w:szCs w:val="20"/>
                <w:color w:val="auto"/>
              </w:rPr>
            </w:pPr>
            <w:r>
              <w:rPr>
                <w:rFonts w:ascii="Calibri" w:cs="Calibri" w:eastAsia="Calibri" w:hAnsi="Calibri"/>
                <w:sz w:val="16"/>
                <w:szCs w:val="16"/>
                <w:color w:val="0070C0"/>
              </w:rPr>
              <w:t>review and guide</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1800" w:type="dxa"/>
            <w:vAlign w:val="bottom"/>
          </w:tcPr>
          <w:p>
            <w:pPr>
              <w:ind w:left="100"/>
              <w:spacing w:after="0" w:line="193" w:lineRule="exact"/>
              <w:rPr>
                <w:sz w:val="20"/>
                <w:szCs w:val="20"/>
                <w:color w:val="auto"/>
              </w:rPr>
            </w:pPr>
            <w:r>
              <w:rPr>
                <w:rFonts w:ascii="Calibri" w:cs="Calibri" w:eastAsia="Calibri" w:hAnsi="Calibri"/>
                <w:sz w:val="16"/>
                <w:szCs w:val="16"/>
                <w:color w:val="0070C0"/>
              </w:rPr>
              <w:t>environmental</w:t>
            </w:r>
          </w:p>
        </w:tc>
        <w:tc>
          <w:tcPr>
            <w:tcW w:w="1760" w:type="dxa"/>
            <w:vAlign w:val="bottom"/>
          </w:tcPr>
          <w:p>
            <w:pPr>
              <w:spacing w:after="0"/>
              <w:rPr>
                <w:sz w:val="16"/>
                <w:szCs w:val="16"/>
                <w:color w:val="auto"/>
              </w:rPr>
            </w:pPr>
          </w:p>
        </w:tc>
        <w:tc>
          <w:tcPr>
            <w:tcW w:w="1800" w:type="dxa"/>
            <w:vAlign w:val="bottom"/>
          </w:tcPr>
          <w:p>
            <w:pPr>
              <w:ind w:left="120"/>
              <w:spacing w:after="0" w:line="193" w:lineRule="exact"/>
              <w:rPr>
                <w:sz w:val="20"/>
                <w:szCs w:val="20"/>
                <w:color w:val="auto"/>
              </w:rPr>
            </w:pPr>
            <w:r>
              <w:rPr>
                <w:rFonts w:ascii="Calibri" w:cs="Calibri" w:eastAsia="Calibri" w:hAnsi="Calibri"/>
                <w:sz w:val="16"/>
                <w:szCs w:val="16"/>
                <w:color w:val="0070C0"/>
              </w:rPr>
              <w:t>enterprise sustainability</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1800" w:type="dxa"/>
            <w:vAlign w:val="bottom"/>
          </w:tcPr>
          <w:p>
            <w:pPr>
              <w:ind w:left="100"/>
              <w:spacing w:after="0"/>
              <w:rPr>
                <w:sz w:val="20"/>
                <w:szCs w:val="20"/>
                <w:color w:val="auto"/>
              </w:rPr>
            </w:pPr>
            <w:r>
              <w:rPr>
                <w:rFonts w:ascii="Calibri" w:cs="Calibri" w:eastAsia="Calibri" w:hAnsi="Calibri"/>
                <w:sz w:val="16"/>
                <w:szCs w:val="16"/>
                <w:color w:val="0070C0"/>
              </w:rPr>
              <w:t>sustainability, oversight</w:t>
            </w:r>
          </w:p>
        </w:tc>
        <w:tc>
          <w:tcPr>
            <w:tcW w:w="1760" w:type="dxa"/>
            <w:vAlign w:val="bottom"/>
          </w:tcPr>
          <w:p>
            <w:pPr>
              <w:spacing w:after="0"/>
              <w:rPr>
                <w:sz w:val="17"/>
                <w:szCs w:val="17"/>
                <w:color w:val="auto"/>
              </w:rPr>
            </w:pPr>
          </w:p>
        </w:tc>
        <w:tc>
          <w:tcPr>
            <w:tcW w:w="1800" w:type="dxa"/>
            <w:vAlign w:val="bottom"/>
          </w:tcPr>
          <w:p>
            <w:pPr>
              <w:ind w:left="120"/>
              <w:spacing w:after="0"/>
              <w:rPr>
                <w:sz w:val="20"/>
                <w:szCs w:val="20"/>
                <w:color w:val="auto"/>
              </w:rPr>
            </w:pPr>
            <w:r>
              <w:rPr>
                <w:rFonts w:ascii="Calibri" w:cs="Calibri" w:eastAsia="Calibri" w:hAnsi="Calibri"/>
                <w:sz w:val="16"/>
                <w:szCs w:val="16"/>
                <w:color w:val="0070C0"/>
              </w:rPr>
              <w:t>initatves and provide</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800" w:type="dxa"/>
            <w:vAlign w:val="bottom"/>
          </w:tcPr>
          <w:p>
            <w:pPr>
              <w:ind w:left="100"/>
              <w:spacing w:after="0" w:line="189" w:lineRule="exact"/>
              <w:rPr>
                <w:sz w:val="20"/>
                <w:szCs w:val="20"/>
                <w:color w:val="auto"/>
              </w:rPr>
            </w:pPr>
            <w:r>
              <w:rPr>
                <w:rFonts w:ascii="Calibri" w:cs="Calibri" w:eastAsia="Calibri" w:hAnsi="Calibri"/>
                <w:sz w:val="16"/>
                <w:szCs w:val="16"/>
                <w:color w:val="0070C0"/>
              </w:rPr>
              <w:t>of maters impactng</w:t>
            </w:r>
          </w:p>
        </w:tc>
        <w:tc>
          <w:tcPr>
            <w:tcW w:w="1760" w:type="dxa"/>
            <w:vAlign w:val="bottom"/>
          </w:tcPr>
          <w:p>
            <w:pPr>
              <w:spacing w:after="0"/>
              <w:rPr>
                <w:sz w:val="16"/>
                <w:szCs w:val="16"/>
                <w:color w:val="auto"/>
              </w:rPr>
            </w:pPr>
          </w:p>
        </w:tc>
        <w:tc>
          <w:tcPr>
            <w:tcW w:w="1800" w:type="dxa"/>
            <w:vAlign w:val="bottom"/>
          </w:tcPr>
          <w:p>
            <w:pPr>
              <w:ind w:left="120"/>
              <w:spacing w:after="0" w:line="189" w:lineRule="exact"/>
              <w:rPr>
                <w:sz w:val="20"/>
                <w:szCs w:val="20"/>
                <w:color w:val="auto"/>
              </w:rPr>
            </w:pPr>
            <w:r>
              <w:rPr>
                <w:rFonts w:ascii="Calibri" w:cs="Calibri" w:eastAsia="Calibri" w:hAnsi="Calibri"/>
                <w:sz w:val="16"/>
                <w:szCs w:val="16"/>
                <w:color w:val="0070C0"/>
              </w:rPr>
              <w:t>input on sustainability</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800" w:type="dxa"/>
            <w:vAlign w:val="bottom"/>
          </w:tcPr>
          <w:p>
            <w:pPr>
              <w:ind w:left="100"/>
              <w:spacing w:after="0" w:line="189" w:lineRule="exact"/>
              <w:rPr>
                <w:sz w:val="20"/>
                <w:szCs w:val="20"/>
                <w:color w:val="auto"/>
              </w:rPr>
            </w:pPr>
            <w:r>
              <w:rPr>
                <w:rFonts w:ascii="Calibri" w:cs="Calibri" w:eastAsia="Calibri" w:hAnsi="Calibri"/>
                <w:sz w:val="16"/>
                <w:szCs w:val="16"/>
                <w:color w:val="0070C0"/>
              </w:rPr>
              <w:t>the Company’s image</w:t>
            </w:r>
          </w:p>
        </w:tc>
        <w:tc>
          <w:tcPr>
            <w:tcW w:w="1760" w:type="dxa"/>
            <w:vAlign w:val="bottom"/>
          </w:tcPr>
          <w:p>
            <w:pPr>
              <w:spacing w:after="0"/>
              <w:rPr>
                <w:sz w:val="16"/>
                <w:szCs w:val="16"/>
                <w:color w:val="auto"/>
              </w:rPr>
            </w:pPr>
          </w:p>
        </w:tc>
        <w:tc>
          <w:tcPr>
            <w:tcW w:w="1800" w:type="dxa"/>
            <w:vAlign w:val="bottom"/>
          </w:tcPr>
          <w:p>
            <w:pPr>
              <w:ind w:left="120"/>
              <w:spacing w:after="0" w:line="189" w:lineRule="exact"/>
              <w:rPr>
                <w:sz w:val="20"/>
                <w:szCs w:val="20"/>
                <w:color w:val="auto"/>
              </w:rPr>
            </w:pPr>
            <w:r>
              <w:rPr>
                <w:rFonts w:ascii="Calibri" w:cs="Calibri" w:eastAsia="Calibri" w:hAnsi="Calibri"/>
                <w:sz w:val="16"/>
                <w:szCs w:val="16"/>
                <w:color w:val="0070C0"/>
              </w:rPr>
              <w:t>program executon.</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1800" w:type="dxa"/>
            <w:vAlign w:val="bottom"/>
          </w:tcPr>
          <w:p>
            <w:pPr>
              <w:ind w:left="100"/>
              <w:spacing w:after="0" w:line="193" w:lineRule="exact"/>
              <w:rPr>
                <w:sz w:val="20"/>
                <w:szCs w:val="20"/>
                <w:color w:val="auto"/>
              </w:rPr>
            </w:pPr>
            <w:r>
              <w:rPr>
                <w:rFonts w:ascii="Calibri" w:cs="Calibri" w:eastAsia="Calibri" w:hAnsi="Calibri"/>
                <w:sz w:val="16"/>
                <w:szCs w:val="16"/>
                <w:color w:val="0070C0"/>
              </w:rPr>
              <w:t>and reputaton and its</w:t>
            </w:r>
          </w:p>
        </w:tc>
        <w:tc>
          <w:tcPr>
            <w:tcW w:w="1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1800" w:type="dxa"/>
            <w:vAlign w:val="bottom"/>
          </w:tcPr>
          <w:p>
            <w:pPr>
              <w:ind w:left="100"/>
              <w:spacing w:after="0"/>
              <w:rPr>
                <w:sz w:val="20"/>
                <w:szCs w:val="20"/>
                <w:color w:val="auto"/>
              </w:rPr>
            </w:pPr>
            <w:r>
              <w:rPr>
                <w:rFonts w:ascii="Calibri" w:cs="Calibri" w:eastAsia="Calibri" w:hAnsi="Calibri"/>
                <w:sz w:val="16"/>
                <w:szCs w:val="16"/>
                <w:color w:val="0070C0"/>
              </w:rPr>
              <w:t>standing as a</w:t>
            </w:r>
          </w:p>
        </w:tc>
        <w:tc>
          <w:tcPr>
            <w:tcW w:w="1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800" w:type="dxa"/>
            <w:vAlign w:val="bottom"/>
          </w:tcPr>
          <w:p>
            <w:pPr>
              <w:ind w:left="100"/>
              <w:spacing w:after="0" w:line="189" w:lineRule="exact"/>
              <w:rPr>
                <w:sz w:val="20"/>
                <w:szCs w:val="20"/>
                <w:color w:val="auto"/>
              </w:rPr>
            </w:pPr>
            <w:r>
              <w:rPr>
                <w:rFonts w:ascii="Calibri" w:cs="Calibri" w:eastAsia="Calibri" w:hAnsi="Calibri"/>
                <w:sz w:val="16"/>
                <w:szCs w:val="16"/>
                <w:color w:val="0070C0"/>
              </w:rPr>
              <w:t>responsible corporate</w:t>
            </w:r>
          </w:p>
        </w:tc>
        <w:tc>
          <w:tcPr>
            <w:tcW w:w="1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800" w:type="dxa"/>
            <w:vAlign w:val="bottom"/>
          </w:tcPr>
          <w:p>
            <w:pPr>
              <w:ind w:left="100"/>
              <w:spacing w:after="0" w:line="189" w:lineRule="exact"/>
              <w:rPr>
                <w:sz w:val="20"/>
                <w:szCs w:val="20"/>
                <w:color w:val="auto"/>
              </w:rPr>
            </w:pPr>
            <w:r>
              <w:rPr>
                <w:rFonts w:ascii="Calibri" w:cs="Calibri" w:eastAsia="Calibri" w:hAnsi="Calibri"/>
                <w:sz w:val="16"/>
                <w:szCs w:val="16"/>
                <w:color w:val="0070C0"/>
              </w:rPr>
              <w:t>citzen and other</w:t>
            </w:r>
          </w:p>
        </w:tc>
        <w:tc>
          <w:tcPr>
            <w:tcW w:w="1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16"/>
                <w:szCs w:val="16"/>
                <w:color w:val="auto"/>
              </w:rPr>
            </w:pPr>
          </w:p>
        </w:tc>
        <w:tc>
          <w:tcPr>
            <w:tcW w:w="1800" w:type="dxa"/>
            <w:vAlign w:val="bottom"/>
          </w:tcPr>
          <w:p>
            <w:pPr>
              <w:ind w:left="100"/>
              <w:spacing w:after="0" w:line="193" w:lineRule="exact"/>
              <w:rPr>
                <w:sz w:val="20"/>
                <w:szCs w:val="20"/>
                <w:color w:val="auto"/>
              </w:rPr>
            </w:pPr>
            <w:r>
              <w:rPr>
                <w:rFonts w:ascii="Calibri" w:cs="Calibri" w:eastAsia="Calibri" w:hAnsi="Calibri"/>
                <w:sz w:val="16"/>
                <w:szCs w:val="16"/>
                <w:color w:val="0070C0"/>
              </w:rPr>
              <w:t>responsibilites required</w:t>
            </w:r>
          </w:p>
        </w:tc>
        <w:tc>
          <w:tcPr>
            <w:tcW w:w="1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1800" w:type="dxa"/>
            <w:vAlign w:val="bottom"/>
          </w:tcPr>
          <w:p>
            <w:pPr>
              <w:ind w:left="100"/>
              <w:spacing w:after="0"/>
              <w:rPr>
                <w:sz w:val="20"/>
                <w:szCs w:val="20"/>
                <w:color w:val="auto"/>
              </w:rPr>
            </w:pPr>
            <w:r>
              <w:rPr>
                <w:rFonts w:ascii="Calibri" w:cs="Calibri" w:eastAsia="Calibri" w:hAnsi="Calibri"/>
                <w:sz w:val="16"/>
                <w:szCs w:val="16"/>
                <w:color w:val="0070C0"/>
              </w:rPr>
              <w:t>by applicable laws and</w:t>
            </w:r>
          </w:p>
        </w:tc>
        <w:tc>
          <w:tcPr>
            <w:tcW w:w="1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1800" w:type="dxa"/>
            <w:vAlign w:val="bottom"/>
          </w:tcPr>
          <w:p>
            <w:pPr>
              <w:ind w:left="100"/>
              <w:spacing w:after="0" w:line="193" w:lineRule="exact"/>
              <w:rPr>
                <w:sz w:val="20"/>
                <w:szCs w:val="20"/>
                <w:color w:val="auto"/>
              </w:rPr>
            </w:pPr>
            <w:r>
              <w:rPr>
                <w:rFonts w:ascii="Calibri" w:cs="Calibri" w:eastAsia="Calibri" w:hAnsi="Calibri"/>
                <w:sz w:val="16"/>
                <w:szCs w:val="16"/>
                <w:color w:val="0070C0"/>
              </w:rPr>
              <w:t>regulatons.</w:t>
            </w:r>
          </w:p>
        </w:tc>
        <w:tc>
          <w:tcPr>
            <w:tcW w:w="1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Sustainability Reportng</w:t>
      </w:r>
    </w:p>
    <w:p>
      <w:pPr>
        <w:spacing w:after="0" w:line="227" w:lineRule="exact"/>
        <w:rPr>
          <w:sz w:val="20"/>
          <w:szCs w:val="20"/>
          <w:color w:val="auto"/>
        </w:rPr>
      </w:pPr>
    </w:p>
    <w:p>
      <w:pPr>
        <w:ind w:left="200" w:right="339"/>
        <w:spacing w:after="0" w:line="233" w:lineRule="auto"/>
        <w:rPr>
          <w:sz w:val="20"/>
          <w:szCs w:val="20"/>
          <w:color w:val="auto"/>
        </w:rPr>
      </w:pPr>
      <w:r>
        <w:rPr>
          <w:rFonts w:ascii="Calibri" w:cs="Calibri" w:eastAsia="Calibri" w:hAnsi="Calibri"/>
          <w:sz w:val="18"/>
          <w:szCs w:val="18"/>
          <w:color w:val="auto"/>
        </w:rPr>
        <w:t xml:space="preserve">Merit has been recognized for our sustainability eforts. We publish annual sustainability reportng which is prepared with Global Reportng Initatve and Sustainability Accountng Standards Board disclosure indexes. We also maintain a dedicated sustainability website at </w:t>
      </w:r>
      <w:r>
        <w:rPr>
          <w:rFonts w:ascii="Calibri" w:cs="Calibri" w:eastAsia="Calibri" w:hAnsi="Calibri"/>
          <w:sz w:val="18"/>
          <w:szCs w:val="18"/>
          <w:b w:val="1"/>
          <w:bCs w:val="1"/>
          <w:color w:val="AF0000"/>
        </w:rPr>
        <w:t>www.merit.com</w:t>
      </w:r>
      <w:r>
        <w:rPr>
          <w:rFonts w:ascii="Calibri" w:cs="Calibri" w:eastAsia="Calibri" w:hAnsi="Calibri"/>
          <w:sz w:val="18"/>
          <w:szCs w:val="18"/>
          <w:color w:val="auto"/>
        </w:rPr>
        <w:t xml:space="preserve"> that serves as an online repository for our historical sustainability-related disclosures and accompanying policies. In our upcoming 2023 Sustainability Report scheduled to be released in May 2024, we intend to include disclosures consistent with the framework of the Task Force on Climate-Related Financial Disclosures that will add valuable insights for investors on how Merit is incorporatng climate-related risks and opportunites into our business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31" w:name="page32"/>
    <w:bookmarkEnd w:id="31"/>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CORPORATE GOVERNANCE AND RELATED MATTERS</w:t>
      </w:r>
    </w:p>
    <w:p>
      <w:pPr>
        <w:spacing w:after="0" w:line="124"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Climate and Environmental Stewardship</w:t>
      </w:r>
    </w:p>
    <w:p>
      <w:pPr>
        <w:spacing w:after="0" w:line="186" w:lineRule="exact"/>
        <w:rPr>
          <w:sz w:val="20"/>
          <w:szCs w:val="20"/>
          <w:color w:val="auto"/>
        </w:rPr>
      </w:pPr>
    </w:p>
    <w:p>
      <w:pPr>
        <w:ind w:left="200" w:right="359"/>
        <w:spacing w:after="0" w:line="232" w:lineRule="auto"/>
        <w:rPr>
          <w:sz w:val="20"/>
          <w:szCs w:val="20"/>
          <w:color w:val="auto"/>
        </w:rPr>
      </w:pPr>
      <w:r>
        <w:rPr>
          <w:rFonts w:ascii="Calibri" w:cs="Calibri" w:eastAsia="Calibri" w:hAnsi="Calibri"/>
          <w:sz w:val="18"/>
          <w:szCs w:val="18"/>
          <w:color w:val="auto"/>
        </w:rPr>
        <w:t>Climate risks and opportunites impact our long-term resiliency as a global medical device leader. We recognize that companies have a role in meetng the challenge of mitgatng and adaptng to climate change risks. We seek to understand and address climate risks while leveraging opportunites to foster a strong business model for the future. In 2024, Merit has engaged consultants to run scenario analysis to further refne our strategy and disclosures as we move forward with our 2030 sustainability goals and management plan.</w:t>
      </w:r>
    </w:p>
    <w:p>
      <w:pPr>
        <w:spacing w:after="0" w:line="182"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2023 Sustainability Report</w:t>
      </w:r>
    </w:p>
    <w:p>
      <w:pPr>
        <w:spacing w:after="0" w:line="173" w:lineRule="exact"/>
        <w:rPr>
          <w:sz w:val="20"/>
          <w:szCs w:val="20"/>
          <w:color w:val="auto"/>
        </w:rPr>
      </w:pPr>
    </w:p>
    <w:p>
      <w:pPr>
        <w:ind w:left="200" w:right="379"/>
        <w:spacing w:after="0" w:line="235" w:lineRule="auto"/>
        <w:rPr>
          <w:sz w:val="20"/>
          <w:szCs w:val="20"/>
          <w:color w:val="auto"/>
        </w:rPr>
      </w:pPr>
      <w:r>
        <w:rPr>
          <w:rFonts w:ascii="Calibri" w:cs="Calibri" w:eastAsia="Calibri" w:hAnsi="Calibri"/>
          <w:sz w:val="18"/>
          <w:szCs w:val="18"/>
          <w:color w:val="auto"/>
        </w:rPr>
        <w:t xml:space="preserve">We intend to provide additonal details about our sustainability initatves and eforts in 2023 in our 2023 Sustainability Report, which is scheduled to be released in May 2024. To learn more about our sustainability eforts, and to view Sustainability Reports for prior years, please review the informaton on our website at </w:t>
      </w:r>
      <w:r>
        <w:rPr>
          <w:rFonts w:ascii="Calibri" w:cs="Calibri" w:eastAsia="Calibri" w:hAnsi="Calibri"/>
          <w:sz w:val="18"/>
          <w:szCs w:val="18"/>
          <w:b w:val="1"/>
          <w:bCs w:val="1"/>
          <w:color w:val="AF0000"/>
        </w:rPr>
        <w:t>www.merit.com/about/corporate-sustainability/</w:t>
      </w:r>
      <w:r>
        <w:rPr>
          <w:rFonts w:ascii="Calibri" w:cs="Calibri" w:eastAsia="Calibri" w:hAnsi="Calibri"/>
          <w:sz w:val="18"/>
          <w:szCs w:val="18"/>
          <w:color w:val="000000"/>
        </w:rPr>
        <w:t>.</w:t>
      </w:r>
    </w:p>
    <w:p>
      <w:pPr>
        <w:spacing w:after="0" w:line="174"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Health &amp; Safety</w:t>
      </w:r>
    </w:p>
    <w:p>
      <w:pPr>
        <w:spacing w:after="0" w:line="177" w:lineRule="exact"/>
        <w:rPr>
          <w:sz w:val="20"/>
          <w:szCs w:val="20"/>
          <w:color w:val="auto"/>
        </w:rPr>
      </w:pPr>
    </w:p>
    <w:p>
      <w:pPr>
        <w:ind w:left="200" w:right="279"/>
        <w:spacing w:after="0" w:line="248" w:lineRule="auto"/>
        <w:rPr>
          <w:sz w:val="20"/>
          <w:szCs w:val="20"/>
          <w:color w:val="auto"/>
        </w:rPr>
      </w:pPr>
      <w:r>
        <w:rPr>
          <w:rFonts w:ascii="Calibri" w:cs="Calibri" w:eastAsia="Calibri" w:hAnsi="Calibri"/>
          <w:sz w:val="17"/>
          <w:szCs w:val="17"/>
          <w:color w:val="auto"/>
        </w:rPr>
        <w:t>The health and safety of our employees is our top priority. We promote a culture where the health and safety of our environment, employees, contractors, suppliers, partners, and customers are of utmost importance. We believe that everyone across the organizaton is accountable and responsible for environmental health and safety, and we train and ask every employee to actvely champion the behaviors and attudes necessary to prevent work-related injuries, illnesses, property damage, and adverse impacts to the environment. In this way, employee health and safety are an integral part of our culture and a driver for sustainable growth. Merit holds ISO 45001 certfcatons for our occupatonal health and safety management systems at our facilites located in Salt Lake City, Utah and Richmond, Virginia in the United States, Galway, Ireland, Tijuana, Mexico, Paris, France, and Venlo and Maastricht, The Netherlands.</w:t>
      </w:r>
    </w:p>
    <w:p>
      <w:pPr>
        <w:spacing w:after="0" w:line="170"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Compliance &amp; Ethics</w:t>
      </w:r>
    </w:p>
    <w:p>
      <w:pPr>
        <w:spacing w:after="0" w:line="190" w:lineRule="exact"/>
        <w:rPr>
          <w:sz w:val="20"/>
          <w:szCs w:val="20"/>
          <w:color w:val="auto"/>
        </w:rPr>
      </w:pPr>
    </w:p>
    <w:p>
      <w:pPr>
        <w:ind w:left="200" w:right="279"/>
        <w:spacing w:after="0" w:line="234" w:lineRule="auto"/>
        <w:rPr>
          <w:sz w:val="20"/>
          <w:szCs w:val="20"/>
          <w:color w:val="auto"/>
        </w:rPr>
      </w:pPr>
      <w:r>
        <w:rPr>
          <w:rFonts w:ascii="Calibri" w:cs="Calibri" w:eastAsia="Calibri" w:hAnsi="Calibri"/>
          <w:sz w:val="18"/>
          <w:szCs w:val="18"/>
          <w:color w:val="auto"/>
        </w:rPr>
        <w:t>We are commited to a strong culture of compliance and ethics. We recognize that corrupton and unethical conduct of any kind undermines our integrity and reputaton and is contrary to our values and long-term success. We demonstrate this advocacy by maintaining ethical and responsible policies and practces and monitoring and enforcing these policies throughout all levels of the organizaton. We hold ourselves accountable to high standards of honesty, fairness, and integrity. Company compliance and ant-corrupton policies are designed to ensure interactons with healthcare professionals and healthcare organizatons will beneft patents and enhance the practce of medicine. Every Merit employee is responsible for adhering to these policies as well as complying with all applicable laws and regulatons, e.g., the U.S. Ant- Kickback Statute, the False Claims Act, the Foreign Corrupt Practces Act (</w:t>
      </w:r>
      <w:r>
        <w:rPr>
          <w:rFonts w:ascii="Calibri" w:cs="Calibri" w:eastAsia="Calibri" w:hAnsi="Calibri"/>
          <w:sz w:val="18"/>
          <w:szCs w:val="18"/>
          <w:u w:val="single" w:color="auto"/>
          <w:color w:val="AF0000"/>
        </w:rPr>
        <w:t>FCPA</w:t>
      </w:r>
      <w:r>
        <w:rPr>
          <w:rFonts w:ascii="Calibri" w:cs="Calibri" w:eastAsia="Calibri" w:hAnsi="Calibri"/>
          <w:sz w:val="18"/>
          <w:szCs w:val="18"/>
          <w:color w:val="auto"/>
        </w:rPr>
        <w:t>), export and import regulatons, advertsing and promoton laws, and applicable Sunshine/Transparency Laws.</w:t>
      </w:r>
    </w:p>
    <w:p>
      <w:pPr>
        <w:spacing w:after="0" w:line="17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Environmental Sustainability</w:t>
      </w:r>
    </w:p>
    <w:p>
      <w:pPr>
        <w:spacing w:after="0" w:line="177" w:lineRule="exact"/>
        <w:rPr>
          <w:sz w:val="20"/>
          <w:szCs w:val="20"/>
          <w:color w:val="auto"/>
        </w:rPr>
      </w:pPr>
    </w:p>
    <w:p>
      <w:pPr>
        <w:ind w:left="200" w:right="279"/>
        <w:spacing w:after="0" w:line="233" w:lineRule="auto"/>
        <w:rPr>
          <w:sz w:val="20"/>
          <w:szCs w:val="20"/>
          <w:color w:val="auto"/>
        </w:rPr>
      </w:pPr>
      <w:r>
        <w:rPr>
          <w:rFonts w:ascii="Calibri" w:cs="Calibri" w:eastAsia="Calibri" w:hAnsi="Calibri"/>
          <w:sz w:val="18"/>
          <w:szCs w:val="18"/>
          <w:color w:val="auto"/>
        </w:rPr>
        <w:t>As a leading global manufacturer of medical devices, we believe we have a signifcant role to play in contributng to a sustainable future. Our core beliefs and our goal to be the most customer-focused company in healthcare is at the heart of everything we do. We strive to provide superior safe and efectve products in a sustainable manner, providing for the health of our customers and our communites. We understand that good environmental practces are benefcial to our business and to our stakeholders, both now and in the future. We hold ISO 14001 certfcaton for our environmental management systems at our manufacturing sites located in Salt Lake City, Utah and Richmond, Virginia in the United States, Galway, Ireland, Tijuana, Mexico, Paris, France and Venlo, The Netherlands and at our EMEA distributon center located in Maastricht, The Netherlands.</w:t>
      </w: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28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32" w:name="page33"/>
    <w:bookmarkEnd w:id="32"/>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CORPORATE GOVERNANCE AND RELATED MATTERS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Diversity &amp; Inclusion</w:t>
      </w:r>
    </w:p>
    <w:p>
      <w:pPr>
        <w:spacing w:after="0" w:line="177" w:lineRule="exact"/>
        <w:rPr>
          <w:sz w:val="20"/>
          <w:szCs w:val="20"/>
          <w:color w:val="auto"/>
        </w:rPr>
      </w:pPr>
    </w:p>
    <w:p>
      <w:pPr>
        <w:ind w:left="200" w:right="239"/>
        <w:spacing w:after="0" w:line="233" w:lineRule="auto"/>
        <w:rPr>
          <w:sz w:val="20"/>
          <w:szCs w:val="20"/>
          <w:color w:val="auto"/>
        </w:rPr>
      </w:pPr>
      <w:r>
        <w:rPr>
          <w:rFonts w:ascii="Calibri" w:cs="Calibri" w:eastAsia="Calibri" w:hAnsi="Calibri"/>
          <w:sz w:val="18"/>
          <w:szCs w:val="18"/>
          <w:color w:val="auto"/>
        </w:rPr>
        <w:t>As a global company, we understand that having a diverse workforce adds value to the entre organizaton. Among the many advantages are greater innovaton, learning, growth, and productvity. We are commited to recruitng and retaining diverse team members at all levels of the organizaton who can share their varied perspectves on the most complex challenges facing us as we work toward a more equitable world. Thirty percent of our directors are women, and 40% of our directors meet the Nasdaq standard for diversity. Additonally, more than 37% of our management employees are women. Our global workforce comprises 55% female team members, and 57% of our team members in the United States come from diverse minority backgrounds. While we are proud of our progress, we recognize there is stll room for improvement and are working on initatves in this area.</w:t>
      </w:r>
    </w:p>
    <w:p>
      <w:pPr>
        <w:spacing w:after="0" w:line="183" w:lineRule="exact"/>
        <w:rPr>
          <w:sz w:val="20"/>
          <w:szCs w:val="20"/>
          <w:color w:val="auto"/>
        </w:rPr>
      </w:pPr>
    </w:p>
    <w:p>
      <w:pPr>
        <w:ind w:left="200" w:right="239"/>
        <w:spacing w:after="0" w:line="235" w:lineRule="auto"/>
        <w:rPr>
          <w:sz w:val="20"/>
          <w:szCs w:val="20"/>
          <w:color w:val="auto"/>
        </w:rPr>
      </w:pPr>
      <w:r>
        <w:rPr>
          <w:rFonts w:ascii="Calibri" w:cs="Calibri" w:eastAsia="Calibri" w:hAnsi="Calibri"/>
          <w:sz w:val="18"/>
          <w:szCs w:val="18"/>
          <w:color w:val="auto"/>
        </w:rPr>
        <w:t>In 2021, we launched our North America Women’s Leadership Initatve (</w:t>
      </w:r>
      <w:r>
        <w:rPr>
          <w:rFonts w:ascii="Calibri" w:cs="Calibri" w:eastAsia="Calibri" w:hAnsi="Calibri"/>
          <w:sz w:val="18"/>
          <w:szCs w:val="18"/>
          <w:u w:val="single" w:color="auto"/>
          <w:color w:val="AF0000"/>
        </w:rPr>
        <w:t>WLI</w:t>
      </w:r>
      <w:r>
        <w:rPr>
          <w:rFonts w:ascii="Calibri" w:cs="Calibri" w:eastAsia="Calibri" w:hAnsi="Calibri"/>
          <w:sz w:val="18"/>
          <w:szCs w:val="18"/>
          <w:color w:val="auto"/>
        </w:rPr>
        <w:t>) with tremendous success. We have also launched similar organizatons in Asia and Europe. The WLI is an afnity group led by women that is open to all Company employees. The group employs a comprehensive program to cultvate employee engagement and retenton by holding meaningful events that facilitate both personal and professional development.</w:t>
      </w:r>
    </w:p>
    <w:p>
      <w:pPr>
        <w:spacing w:after="0" w:line="134"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Enterprise Opportunity Management</w:t>
      </w:r>
    </w:p>
    <w:p>
      <w:pPr>
        <w:spacing w:after="0" w:line="150" w:lineRule="exact"/>
        <w:rPr>
          <w:sz w:val="20"/>
          <w:szCs w:val="20"/>
          <w:color w:val="auto"/>
        </w:rPr>
      </w:pPr>
    </w:p>
    <w:p>
      <w:pPr>
        <w:ind w:left="200" w:right="219"/>
        <w:spacing w:after="0" w:line="233" w:lineRule="auto"/>
        <w:rPr>
          <w:sz w:val="20"/>
          <w:szCs w:val="20"/>
          <w:color w:val="auto"/>
        </w:rPr>
      </w:pPr>
      <w:r>
        <w:rPr>
          <w:rFonts w:ascii="Calibri" w:cs="Calibri" w:eastAsia="Calibri" w:hAnsi="Calibri"/>
          <w:sz w:val="18"/>
          <w:szCs w:val="18"/>
          <w:color w:val="auto"/>
        </w:rPr>
        <w:t>With risk comes opportunity, and with opportunity comes risk. As we navigate our business through a myriad of risks, we strive to focus on and embraces opportunites to improve. We recognize that risks and opportunites are present in all business actvites and that the efectve management of risk while proactvely seeking opportunity is crucial to maximizing organizatonal value. Our Enterprise Opportunity Management (</w:t>
      </w:r>
      <w:r>
        <w:rPr>
          <w:rFonts w:ascii="Calibri" w:cs="Calibri" w:eastAsia="Calibri" w:hAnsi="Calibri"/>
          <w:sz w:val="18"/>
          <w:szCs w:val="18"/>
          <w:u w:val="single" w:color="auto"/>
          <w:color w:val="AF0000"/>
        </w:rPr>
        <w:t>EOM</w:t>
      </w:r>
      <w:r>
        <w:rPr>
          <w:rFonts w:ascii="Calibri" w:cs="Calibri" w:eastAsia="Calibri" w:hAnsi="Calibri"/>
          <w:sz w:val="18"/>
          <w:szCs w:val="18"/>
          <w:color w:val="auto"/>
        </w:rPr>
        <w:t>) program is designed to actvely engage executve leadership, with Board oversight, in monitoring and managing critcal risks and opportunites associated with our business and the environment in which we operate. We also look to the future to prepare for emerging risks and opportunites that are on the horizon. As Merit’s Enterprise Risk Management program, EOM is aligned with the COSO Enterprise Risk Management and ISO 31000:2018 frameworks.</w:t>
      </w:r>
    </w:p>
    <w:p>
      <w:pPr>
        <w:spacing w:after="0" w:line="143" w:lineRule="exact"/>
        <w:rPr>
          <w:sz w:val="20"/>
          <w:szCs w:val="20"/>
          <w:color w:val="auto"/>
        </w:rPr>
      </w:pPr>
    </w:p>
    <w:p>
      <w:pPr>
        <w:ind w:left="200" w:right="259"/>
        <w:spacing w:after="0" w:line="251" w:lineRule="auto"/>
        <w:rPr>
          <w:sz w:val="20"/>
          <w:szCs w:val="20"/>
          <w:color w:val="auto"/>
        </w:rPr>
      </w:pPr>
      <w:r>
        <w:rPr>
          <w:rFonts w:ascii="Calibri" w:cs="Calibri" w:eastAsia="Calibri" w:hAnsi="Calibri"/>
          <w:sz w:val="17"/>
          <w:szCs w:val="17"/>
          <w:color w:val="auto"/>
        </w:rPr>
        <w:t>Our EOM program has supported Merit’s sustainability objectves by facilitatng analysis and discussion in many areas related to ESG, such as responsible sourcing, salient environmental impacts, transitonal risks, diversity and inclusion, numerous business contnuity-related maters, and compliance with various laws and regulatons. During 2023, we conducted scenario analyses to assess both our potental impact on the environment as well as potental climate change impacts on our operatons. We considered the potental impact of a 1.5°- 3°C of warming at eight of our manufacturing facilites worldwide. Through these EOM actvites, we identfed and have been driving to implement opportunites for improvement that will enable us to not only prepare but to thrive as a sustainable and responsible organizaton.</w:t>
      </w:r>
    </w:p>
    <w:p>
      <w:pPr>
        <w:spacing w:after="0" w:line="12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Philanthropy</w:t>
      </w:r>
    </w:p>
    <w:p>
      <w:pPr>
        <w:spacing w:after="0" w:line="150" w:lineRule="exact"/>
        <w:rPr>
          <w:sz w:val="20"/>
          <w:szCs w:val="20"/>
          <w:color w:val="auto"/>
        </w:rPr>
      </w:pPr>
    </w:p>
    <w:p>
      <w:pPr>
        <w:ind w:left="200" w:right="279"/>
        <w:spacing w:after="0" w:line="246" w:lineRule="auto"/>
        <w:rPr>
          <w:sz w:val="20"/>
          <w:szCs w:val="20"/>
          <w:color w:val="auto"/>
        </w:rPr>
      </w:pPr>
      <w:r>
        <w:rPr>
          <w:rFonts w:ascii="Calibri" w:cs="Calibri" w:eastAsia="Calibri" w:hAnsi="Calibri"/>
          <w:sz w:val="17"/>
          <w:szCs w:val="17"/>
          <w:color w:val="auto"/>
        </w:rPr>
        <w:t>From the incepton of our company, we set out to improve lives around the globe. More than 30 years later, this mission stll drives us forward in business and social impact. Through fnancial contributons, employee tme and dedicaton, and collaboraton with global and local non-proft organizatons, our worldwide facilites foster stronger communites and create positve change in the areas we serve. During 2023, we partnered, through donatons, with important organizatons such as The American Heart Associaton, Ask Childhood Cancer Foundaton, Mothers Against Prescripton Drug Abuse, Primary Children’s Medical Center, The Huntsman Cancer Foundaton, Utah Special Olympics, Utah Clean Air, Women’s Leadership Insttute, and Women in Innovaton through the Society for Cardiovascular Angiography and Interventons. We also partnered with organizatons that facilitate the delivery of healthcare to underserved regions of the globe. In 2023, Merit donated products to medical missions in Hait, Honduras, Brazil, Belize, Nigeria, and Tanzania.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33" w:name="page34"/>
    <w:bookmarkEnd w:id="33"/>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CORPORATE GOVERNANCE AND RELATED MATTERS</w:t>
      </w:r>
    </w:p>
    <w:p>
      <w:pPr>
        <w:spacing w:after="0" w:line="131"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Quality Assurance</w:t>
      </w:r>
    </w:p>
    <w:p>
      <w:pPr>
        <w:spacing w:after="0" w:line="150" w:lineRule="exact"/>
        <w:rPr>
          <w:sz w:val="20"/>
          <w:szCs w:val="20"/>
          <w:color w:val="auto"/>
        </w:rPr>
      </w:pPr>
    </w:p>
    <w:p>
      <w:pPr>
        <w:ind w:left="200" w:right="299"/>
        <w:spacing w:after="0" w:line="233" w:lineRule="auto"/>
        <w:rPr>
          <w:sz w:val="20"/>
          <w:szCs w:val="20"/>
          <w:color w:val="auto"/>
        </w:rPr>
      </w:pPr>
      <w:r>
        <w:rPr>
          <w:rFonts w:ascii="Calibri" w:cs="Calibri" w:eastAsia="Calibri" w:hAnsi="Calibri"/>
          <w:sz w:val="18"/>
          <w:szCs w:val="18"/>
          <w:color w:val="auto"/>
        </w:rPr>
        <w:t>We are commited to delivering excellence across all aspects of our business. This includes the quality of our products, the attude of our employees, our turnaround tme on shipping and deliveries, and the additonal value we can bring to the healthcare system with clinician training programs. Patent care is central to our mission. Providing high-quality, innovatve products that are safe and efectve is our primary goal. The Company’s Quality Policy is supported by a quality management system, which is designed to deliver innovatve quality products and services throughout all stages of a product’s lifecycle, including design, manufacturing, pre- and post-clinical trials, customer evaluatons, and post-market surveillance.</w:t>
      </w:r>
    </w:p>
    <w:p>
      <w:pPr>
        <w:spacing w:after="0" w:line="129"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Contnued Dedicaton</w:t>
      </w:r>
    </w:p>
    <w:p>
      <w:pPr>
        <w:spacing w:after="0" w:line="146" w:lineRule="exact"/>
        <w:rPr>
          <w:sz w:val="20"/>
          <w:szCs w:val="20"/>
          <w:color w:val="auto"/>
        </w:rPr>
      </w:pPr>
    </w:p>
    <w:p>
      <w:pPr>
        <w:ind w:left="200" w:right="239"/>
        <w:spacing w:after="0" w:line="235" w:lineRule="auto"/>
        <w:rPr>
          <w:sz w:val="20"/>
          <w:szCs w:val="20"/>
          <w:color w:val="auto"/>
        </w:rPr>
      </w:pPr>
      <w:r>
        <w:rPr>
          <w:rFonts w:ascii="Calibri" w:cs="Calibri" w:eastAsia="Calibri" w:hAnsi="Calibri"/>
          <w:sz w:val="18"/>
          <w:szCs w:val="18"/>
          <w:color w:val="auto"/>
        </w:rPr>
        <w:t>We recognize the importance of operatng both a sustainable and proftable enterprise for the long term. We believe our operatons should not compromise the environment or the economic prospects of future generatons, and, under the directon of the Governance Commitee and corporate leadership, we have focused increasing atenton on sustainability and reducing our global environmental footprint in our operatons through reducing waste, combatng climate change, and reducing, reusing, and recycling materials.</w:t>
      </w:r>
    </w:p>
    <w:p>
      <w:pPr>
        <w:spacing w:after="0" w:line="139" w:lineRule="exact"/>
        <w:rPr>
          <w:sz w:val="20"/>
          <w:szCs w:val="20"/>
          <w:color w:val="auto"/>
        </w:rPr>
      </w:pPr>
    </w:p>
    <w:p>
      <w:pPr>
        <w:ind w:left="200" w:right="219"/>
        <w:spacing w:after="0" w:line="235" w:lineRule="auto"/>
        <w:rPr>
          <w:sz w:val="20"/>
          <w:szCs w:val="20"/>
          <w:color w:val="auto"/>
        </w:rPr>
      </w:pPr>
      <w:r>
        <w:rPr>
          <w:rFonts w:ascii="Calibri" w:cs="Calibri" w:eastAsia="Calibri" w:hAnsi="Calibri"/>
          <w:sz w:val="18"/>
          <w:szCs w:val="18"/>
          <w:color w:val="auto"/>
        </w:rPr>
        <w:t>Whether it is manufacturing processes, shipping, or the day-to-day actvites at our ofces, our employees at all levels are engaged in developing innovatve solutons to produce high quality medical products while reducing our global environmental footprint. We are commited to contnued reducton in the environmental impact of our business, even as our operatons contnue to grow.</w:t>
      </w:r>
    </w:p>
    <w:p>
      <w:pPr>
        <w:spacing w:after="0" w:line="134"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Director Compensaton</w:t>
      </w:r>
    </w:p>
    <w:p>
      <w:pPr>
        <w:spacing w:after="0" w:line="186" w:lineRule="exact"/>
        <w:rPr>
          <w:sz w:val="20"/>
          <w:szCs w:val="20"/>
          <w:color w:val="auto"/>
        </w:rPr>
      </w:pPr>
    </w:p>
    <w:p>
      <w:pPr>
        <w:ind w:left="200" w:right="479"/>
        <w:spacing w:after="0" w:line="252" w:lineRule="auto"/>
        <w:rPr>
          <w:sz w:val="20"/>
          <w:szCs w:val="20"/>
          <w:color w:val="auto"/>
        </w:rPr>
      </w:pPr>
      <w:r>
        <w:rPr>
          <w:rFonts w:ascii="Calibri" w:cs="Calibri" w:eastAsia="Calibri" w:hAnsi="Calibri"/>
          <w:sz w:val="17"/>
          <w:szCs w:val="17"/>
          <w:color w:val="auto"/>
        </w:rPr>
        <w:t>We use a combinaton of cash and stock-based incentve compensaton to atract and retain qualifed candidates to serve as directors. In setng director compensaton, the Board considers the signifcant amount of tme that directors expend in fulflling their dutes to the Company as well as the skill level required by the Company of its directors. The following table shows the annual retainer amounts payable by the Company to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129540</wp:posOffset>
            </wp:positionV>
            <wp:extent cx="436308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63085" cy="17145"/>
                    </a:xfrm>
                    <a:prstGeom prst="rect">
                      <a:avLst/>
                    </a:prstGeom>
                    <a:noFill/>
                  </pic:spPr>
                </pic:pic>
              </a:graphicData>
            </a:graphic>
          </wp:anchor>
        </w:drawing>
      </w:r>
    </w:p>
    <w:p>
      <w:pPr>
        <w:spacing w:after="0" w:line="184" w:lineRule="exact"/>
        <w:rPr>
          <w:sz w:val="20"/>
          <w:szCs w:val="20"/>
          <w:color w:val="auto"/>
        </w:rPr>
      </w:pPr>
    </w:p>
    <w:p>
      <w:pPr>
        <w:ind w:left="1160"/>
        <w:spacing w:after="0"/>
        <w:rPr>
          <w:sz w:val="20"/>
          <w:szCs w:val="20"/>
          <w:color w:val="auto"/>
        </w:rPr>
      </w:pPr>
      <w:r>
        <w:rPr>
          <w:rFonts w:ascii="Calibri" w:cs="Calibri" w:eastAsia="Calibri" w:hAnsi="Calibri"/>
          <w:sz w:val="18"/>
          <w:szCs w:val="18"/>
          <w:b w:val="1"/>
          <w:bCs w:val="1"/>
          <w:color w:val="auto"/>
        </w:rPr>
        <w:t>Director Retainers</w:t>
      </w:r>
    </w:p>
    <w:p>
      <w:pPr>
        <w:spacing w:after="0" w:line="3" w:lineRule="exact"/>
        <w:rPr>
          <w:sz w:val="20"/>
          <w:szCs w:val="20"/>
          <w:color w:val="auto"/>
        </w:rPr>
      </w:pPr>
    </w:p>
    <w:tbl>
      <w:tblPr>
        <w:tblLayout w:type="fixed"/>
        <w:tblInd w:w="1080" w:type="dxa"/>
        <w:tblCellMar>
          <w:top w:w="0" w:type="dxa"/>
          <w:left w:w="0" w:type="dxa"/>
          <w:bottom w:w="0" w:type="dxa"/>
          <w:right w:w="0" w:type="dxa"/>
        </w:tblCellMar>
      </w:tblPr>
      <w:tr>
        <w:trPr>
          <w:trHeight w:val="242"/>
        </w:trPr>
        <w:tc>
          <w:tcPr>
            <w:tcW w:w="3620" w:type="dxa"/>
            <w:vAlign w:val="bottom"/>
            <w:tcBorders>
              <w:top w:val="single" w:sz="8" w:color="AF0000"/>
              <w:bottom w:val="single" w:sz="8" w:color="A6A6A6"/>
            </w:tcBorders>
          </w:tcPr>
          <w:p>
            <w:pPr>
              <w:ind w:left="220"/>
              <w:spacing w:after="0"/>
              <w:rPr>
                <w:sz w:val="20"/>
                <w:szCs w:val="20"/>
                <w:color w:val="auto"/>
              </w:rPr>
            </w:pPr>
            <w:r>
              <w:rPr>
                <w:rFonts w:ascii="Calibri" w:cs="Calibri" w:eastAsia="Calibri" w:hAnsi="Calibri"/>
                <w:sz w:val="18"/>
                <w:szCs w:val="18"/>
                <w:color w:val="auto"/>
              </w:rPr>
              <w:t>Lead Independent Director</w:t>
            </w:r>
          </w:p>
        </w:tc>
        <w:tc>
          <w:tcPr>
            <w:tcW w:w="1860" w:type="dxa"/>
            <w:vAlign w:val="bottom"/>
            <w:tcBorders>
              <w:top w:val="single" w:sz="8" w:color="AF0000"/>
              <w:bottom w:val="single" w:sz="8" w:color="A6A6A6"/>
            </w:tcBorders>
          </w:tcPr>
          <w:p>
            <w:pPr>
              <w:jc w:val="right"/>
              <w:ind w:right="210"/>
              <w:spacing w:after="0"/>
              <w:rPr>
                <w:sz w:val="20"/>
                <w:szCs w:val="20"/>
                <w:color w:val="auto"/>
              </w:rPr>
            </w:pPr>
            <w:r>
              <w:rPr>
                <w:rFonts w:ascii="Calibri" w:cs="Calibri" w:eastAsia="Calibri" w:hAnsi="Calibri"/>
                <w:sz w:val="18"/>
                <w:szCs w:val="18"/>
                <w:color w:val="auto"/>
              </w:rPr>
              <w:t>$</w:t>
            </w:r>
          </w:p>
        </w:tc>
        <w:tc>
          <w:tcPr>
            <w:tcW w:w="1380" w:type="dxa"/>
            <w:vAlign w:val="bottom"/>
            <w:tcBorders>
              <w:top w:val="single" w:sz="8" w:color="AF0000"/>
              <w:bottom w:val="single" w:sz="8" w:color="A6A6A6"/>
            </w:tcBorders>
          </w:tcPr>
          <w:p>
            <w:pPr>
              <w:jc w:val="center"/>
              <w:ind w:right="110"/>
              <w:spacing w:after="0"/>
              <w:rPr>
                <w:sz w:val="20"/>
                <w:szCs w:val="20"/>
                <w:color w:val="auto"/>
              </w:rPr>
            </w:pPr>
            <w:r>
              <w:rPr>
                <w:rFonts w:ascii="Calibri" w:cs="Calibri" w:eastAsia="Calibri" w:hAnsi="Calibri"/>
                <w:sz w:val="18"/>
                <w:szCs w:val="18"/>
                <w:color w:val="auto"/>
                <w:w w:val="97"/>
              </w:rPr>
              <w:t>116,000</w:t>
            </w:r>
          </w:p>
        </w:tc>
      </w:tr>
      <w:tr>
        <w:trPr>
          <w:trHeight w:val="210"/>
        </w:trPr>
        <w:tc>
          <w:tcPr>
            <w:tcW w:w="3620" w:type="dxa"/>
            <w:vAlign w:val="bottom"/>
            <w:tcBorders>
              <w:bottom w:val="single" w:sz="8" w:color="A6A6A6"/>
            </w:tcBorders>
          </w:tcPr>
          <w:p>
            <w:pPr>
              <w:ind w:left="220"/>
              <w:spacing w:after="0" w:line="209" w:lineRule="exact"/>
              <w:rPr>
                <w:sz w:val="20"/>
                <w:szCs w:val="20"/>
                <w:color w:val="auto"/>
              </w:rPr>
            </w:pPr>
            <w:r>
              <w:rPr>
                <w:rFonts w:ascii="Calibri" w:cs="Calibri" w:eastAsia="Calibri" w:hAnsi="Calibri"/>
                <w:sz w:val="18"/>
                <w:szCs w:val="18"/>
                <w:color w:val="auto"/>
              </w:rPr>
              <w:t>Other Directors</w:t>
            </w:r>
          </w:p>
        </w:tc>
        <w:tc>
          <w:tcPr>
            <w:tcW w:w="1860" w:type="dxa"/>
            <w:vAlign w:val="bottom"/>
            <w:tcBorders>
              <w:bottom w:val="single" w:sz="8" w:color="A6A6A6"/>
            </w:tcBorders>
          </w:tcPr>
          <w:p>
            <w:pPr>
              <w:jc w:val="right"/>
              <w:ind w:right="210"/>
              <w:spacing w:after="0" w:line="209"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6A6A6"/>
            </w:tcBorders>
          </w:tcPr>
          <w:p>
            <w:pPr>
              <w:jc w:val="center"/>
              <w:ind w:right="110"/>
              <w:spacing w:after="0" w:line="209" w:lineRule="exact"/>
              <w:rPr>
                <w:sz w:val="20"/>
                <w:szCs w:val="20"/>
                <w:color w:val="auto"/>
              </w:rPr>
            </w:pPr>
            <w:r>
              <w:rPr>
                <w:rFonts w:ascii="Calibri" w:cs="Calibri" w:eastAsia="Calibri" w:hAnsi="Calibri"/>
                <w:sz w:val="18"/>
                <w:szCs w:val="18"/>
                <w:color w:val="auto"/>
                <w:w w:val="99"/>
              </w:rPr>
              <w:t>86,000</w:t>
            </w:r>
          </w:p>
        </w:tc>
      </w:tr>
      <w:tr>
        <w:trPr>
          <w:trHeight w:val="209"/>
        </w:trPr>
        <w:tc>
          <w:tcPr>
            <w:tcW w:w="3620" w:type="dxa"/>
            <w:vAlign w:val="bottom"/>
            <w:tcBorders>
              <w:bottom w:val="single" w:sz="8" w:color="A6A6A6"/>
            </w:tcBorders>
          </w:tcPr>
          <w:p>
            <w:pPr>
              <w:ind w:left="220"/>
              <w:spacing w:after="0" w:line="209" w:lineRule="exact"/>
              <w:rPr>
                <w:sz w:val="20"/>
                <w:szCs w:val="20"/>
                <w:color w:val="auto"/>
              </w:rPr>
            </w:pPr>
            <w:r>
              <w:rPr>
                <w:rFonts w:ascii="Calibri" w:cs="Calibri" w:eastAsia="Calibri" w:hAnsi="Calibri"/>
                <w:sz w:val="18"/>
                <w:szCs w:val="18"/>
                <w:color w:val="auto"/>
              </w:rPr>
              <w:t>Audit Chair</w:t>
            </w:r>
          </w:p>
        </w:tc>
        <w:tc>
          <w:tcPr>
            <w:tcW w:w="1860" w:type="dxa"/>
            <w:vAlign w:val="bottom"/>
            <w:tcBorders>
              <w:bottom w:val="single" w:sz="8" w:color="A6A6A6"/>
            </w:tcBorders>
          </w:tcPr>
          <w:p>
            <w:pPr>
              <w:jc w:val="right"/>
              <w:ind w:right="210"/>
              <w:spacing w:after="0" w:line="209"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6A6A6"/>
            </w:tcBorders>
          </w:tcPr>
          <w:p>
            <w:pPr>
              <w:jc w:val="center"/>
              <w:ind w:right="110"/>
              <w:spacing w:after="0" w:line="209" w:lineRule="exact"/>
              <w:rPr>
                <w:sz w:val="20"/>
                <w:szCs w:val="20"/>
                <w:color w:val="auto"/>
              </w:rPr>
            </w:pPr>
            <w:r>
              <w:rPr>
                <w:rFonts w:ascii="Calibri" w:cs="Calibri" w:eastAsia="Calibri" w:hAnsi="Calibri"/>
                <w:sz w:val="18"/>
                <w:szCs w:val="18"/>
                <w:color w:val="auto"/>
                <w:w w:val="99"/>
              </w:rPr>
              <w:t>20,000</w:t>
            </w:r>
          </w:p>
        </w:tc>
      </w:tr>
      <w:tr>
        <w:trPr>
          <w:trHeight w:val="210"/>
        </w:trPr>
        <w:tc>
          <w:tcPr>
            <w:tcW w:w="3620" w:type="dxa"/>
            <w:vAlign w:val="bottom"/>
            <w:tcBorders>
              <w:bottom w:val="single" w:sz="8" w:color="A6A6A6"/>
            </w:tcBorders>
          </w:tcPr>
          <w:p>
            <w:pPr>
              <w:ind w:left="220"/>
              <w:spacing w:after="0" w:line="209" w:lineRule="exact"/>
              <w:rPr>
                <w:sz w:val="20"/>
                <w:szCs w:val="20"/>
                <w:color w:val="auto"/>
              </w:rPr>
            </w:pPr>
            <w:r>
              <w:rPr>
                <w:rFonts w:ascii="Calibri" w:cs="Calibri" w:eastAsia="Calibri" w:hAnsi="Calibri"/>
                <w:sz w:val="18"/>
                <w:szCs w:val="18"/>
                <w:color w:val="auto"/>
              </w:rPr>
              <w:t>Compensaton Chair</w:t>
            </w:r>
          </w:p>
        </w:tc>
        <w:tc>
          <w:tcPr>
            <w:tcW w:w="1860" w:type="dxa"/>
            <w:vAlign w:val="bottom"/>
            <w:tcBorders>
              <w:bottom w:val="single" w:sz="8" w:color="A6A6A6"/>
            </w:tcBorders>
          </w:tcPr>
          <w:p>
            <w:pPr>
              <w:jc w:val="right"/>
              <w:ind w:right="210"/>
              <w:spacing w:after="0" w:line="209"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6A6A6"/>
            </w:tcBorders>
          </w:tcPr>
          <w:p>
            <w:pPr>
              <w:jc w:val="center"/>
              <w:ind w:right="110"/>
              <w:spacing w:after="0" w:line="209" w:lineRule="exact"/>
              <w:rPr>
                <w:sz w:val="20"/>
                <w:szCs w:val="20"/>
                <w:color w:val="auto"/>
              </w:rPr>
            </w:pPr>
            <w:r>
              <w:rPr>
                <w:rFonts w:ascii="Calibri" w:cs="Calibri" w:eastAsia="Calibri" w:hAnsi="Calibri"/>
                <w:sz w:val="18"/>
                <w:szCs w:val="18"/>
                <w:color w:val="auto"/>
                <w:w w:val="99"/>
              </w:rPr>
              <w:t>15,000</w:t>
            </w:r>
          </w:p>
        </w:tc>
      </w:tr>
      <w:tr>
        <w:trPr>
          <w:trHeight w:val="210"/>
        </w:trPr>
        <w:tc>
          <w:tcPr>
            <w:tcW w:w="3620" w:type="dxa"/>
            <w:vAlign w:val="bottom"/>
            <w:tcBorders>
              <w:bottom w:val="single" w:sz="8" w:color="A6A6A6"/>
            </w:tcBorders>
          </w:tcPr>
          <w:p>
            <w:pPr>
              <w:ind w:left="220"/>
              <w:spacing w:after="0" w:line="209" w:lineRule="exact"/>
              <w:rPr>
                <w:sz w:val="20"/>
                <w:szCs w:val="20"/>
                <w:color w:val="auto"/>
              </w:rPr>
            </w:pPr>
            <w:r>
              <w:rPr>
                <w:rFonts w:ascii="Calibri" w:cs="Calibri" w:eastAsia="Calibri" w:hAnsi="Calibri"/>
                <w:sz w:val="18"/>
                <w:szCs w:val="18"/>
                <w:color w:val="auto"/>
              </w:rPr>
              <w:t>Governance Chair</w:t>
            </w:r>
          </w:p>
        </w:tc>
        <w:tc>
          <w:tcPr>
            <w:tcW w:w="1860" w:type="dxa"/>
            <w:vAlign w:val="bottom"/>
            <w:tcBorders>
              <w:bottom w:val="single" w:sz="8" w:color="A6A6A6"/>
            </w:tcBorders>
          </w:tcPr>
          <w:p>
            <w:pPr>
              <w:jc w:val="right"/>
              <w:ind w:right="210"/>
              <w:spacing w:after="0" w:line="209"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6A6A6"/>
            </w:tcBorders>
          </w:tcPr>
          <w:p>
            <w:pPr>
              <w:jc w:val="center"/>
              <w:ind w:right="110"/>
              <w:spacing w:after="0" w:line="209" w:lineRule="exact"/>
              <w:rPr>
                <w:sz w:val="20"/>
                <w:szCs w:val="20"/>
                <w:color w:val="auto"/>
              </w:rPr>
            </w:pPr>
            <w:r>
              <w:rPr>
                <w:rFonts w:ascii="Calibri" w:cs="Calibri" w:eastAsia="Calibri" w:hAnsi="Calibri"/>
                <w:sz w:val="18"/>
                <w:szCs w:val="18"/>
                <w:color w:val="auto"/>
                <w:w w:val="99"/>
              </w:rPr>
              <w:t>15,000</w:t>
            </w:r>
          </w:p>
        </w:tc>
      </w:tr>
      <w:tr>
        <w:trPr>
          <w:trHeight w:val="209"/>
        </w:trPr>
        <w:tc>
          <w:tcPr>
            <w:tcW w:w="3620" w:type="dxa"/>
            <w:vAlign w:val="bottom"/>
            <w:tcBorders>
              <w:bottom w:val="single" w:sz="8" w:color="A6A6A6"/>
            </w:tcBorders>
          </w:tcPr>
          <w:p>
            <w:pPr>
              <w:ind w:left="220"/>
              <w:spacing w:after="0" w:line="209" w:lineRule="exact"/>
              <w:rPr>
                <w:sz w:val="20"/>
                <w:szCs w:val="20"/>
                <w:color w:val="auto"/>
              </w:rPr>
            </w:pPr>
            <w:r>
              <w:rPr>
                <w:rFonts w:ascii="Calibri" w:cs="Calibri" w:eastAsia="Calibri" w:hAnsi="Calibri"/>
                <w:sz w:val="18"/>
                <w:szCs w:val="18"/>
                <w:color w:val="auto"/>
              </w:rPr>
              <w:t>Finance Chair</w:t>
            </w:r>
          </w:p>
        </w:tc>
        <w:tc>
          <w:tcPr>
            <w:tcW w:w="1860" w:type="dxa"/>
            <w:vAlign w:val="bottom"/>
            <w:tcBorders>
              <w:bottom w:val="single" w:sz="8" w:color="A6A6A6"/>
            </w:tcBorders>
          </w:tcPr>
          <w:p>
            <w:pPr>
              <w:jc w:val="right"/>
              <w:ind w:right="210"/>
              <w:spacing w:after="0" w:line="209"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6A6A6"/>
            </w:tcBorders>
          </w:tcPr>
          <w:p>
            <w:pPr>
              <w:jc w:val="center"/>
              <w:ind w:right="110"/>
              <w:spacing w:after="0" w:line="209" w:lineRule="exact"/>
              <w:rPr>
                <w:sz w:val="20"/>
                <w:szCs w:val="20"/>
                <w:color w:val="auto"/>
              </w:rPr>
            </w:pPr>
            <w:r>
              <w:rPr>
                <w:rFonts w:ascii="Calibri" w:cs="Calibri" w:eastAsia="Calibri" w:hAnsi="Calibri"/>
                <w:sz w:val="18"/>
                <w:szCs w:val="18"/>
                <w:color w:val="auto"/>
                <w:w w:val="99"/>
              </w:rPr>
              <w:t>15,000</w:t>
            </w:r>
          </w:p>
        </w:tc>
      </w:tr>
      <w:tr>
        <w:trPr>
          <w:trHeight w:val="217"/>
        </w:trPr>
        <w:tc>
          <w:tcPr>
            <w:tcW w:w="3620" w:type="dxa"/>
            <w:vAlign w:val="bottom"/>
            <w:tcBorders>
              <w:bottom w:val="single" w:sz="8" w:color="AF0000"/>
            </w:tcBorders>
          </w:tcPr>
          <w:p>
            <w:pPr>
              <w:ind w:left="220"/>
              <w:spacing w:after="0" w:line="209" w:lineRule="exact"/>
              <w:rPr>
                <w:sz w:val="20"/>
                <w:szCs w:val="20"/>
                <w:color w:val="auto"/>
              </w:rPr>
            </w:pPr>
            <w:r>
              <w:rPr>
                <w:rFonts w:ascii="Calibri" w:cs="Calibri" w:eastAsia="Calibri" w:hAnsi="Calibri"/>
                <w:sz w:val="18"/>
                <w:szCs w:val="18"/>
                <w:color w:val="auto"/>
              </w:rPr>
              <w:t>Operatng Chair</w:t>
            </w:r>
          </w:p>
        </w:tc>
        <w:tc>
          <w:tcPr>
            <w:tcW w:w="1860" w:type="dxa"/>
            <w:vAlign w:val="bottom"/>
            <w:tcBorders>
              <w:bottom w:val="single" w:sz="8" w:color="AF0000"/>
            </w:tcBorders>
          </w:tcPr>
          <w:p>
            <w:pPr>
              <w:jc w:val="right"/>
              <w:ind w:right="210"/>
              <w:spacing w:after="0" w:line="209"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F0000"/>
            </w:tcBorders>
          </w:tcPr>
          <w:p>
            <w:pPr>
              <w:jc w:val="center"/>
              <w:ind w:right="110"/>
              <w:spacing w:after="0" w:line="209" w:lineRule="exact"/>
              <w:rPr>
                <w:sz w:val="20"/>
                <w:szCs w:val="20"/>
                <w:color w:val="auto"/>
              </w:rPr>
            </w:pPr>
            <w:r>
              <w:rPr>
                <w:rFonts w:ascii="Calibri" w:cs="Calibri" w:eastAsia="Calibri" w:hAnsi="Calibri"/>
                <w:sz w:val="18"/>
                <w:szCs w:val="18"/>
                <w:color w:val="auto"/>
                <w:w w:val="99"/>
              </w:rPr>
              <w:t>15,000</w:t>
            </w:r>
          </w:p>
        </w:tc>
      </w:tr>
    </w:tbl>
    <w:p>
      <w:pPr>
        <w:spacing w:after="0" w:line="182"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Cash Compensaton Paid to Directors</w:t>
      </w:r>
    </w:p>
    <w:p>
      <w:pPr>
        <w:spacing w:after="0" w:line="146" w:lineRule="exact"/>
        <w:rPr>
          <w:sz w:val="20"/>
          <w:szCs w:val="20"/>
          <w:color w:val="auto"/>
        </w:rPr>
      </w:pPr>
    </w:p>
    <w:p>
      <w:pPr>
        <w:ind w:left="200" w:right="299"/>
        <w:spacing w:after="0" w:line="233" w:lineRule="auto"/>
        <w:rPr>
          <w:sz w:val="20"/>
          <w:szCs w:val="20"/>
          <w:color w:val="auto"/>
        </w:rPr>
      </w:pPr>
      <w:r>
        <w:rPr>
          <w:rFonts w:ascii="Calibri" w:cs="Calibri" w:eastAsia="Calibri" w:hAnsi="Calibri"/>
          <w:sz w:val="18"/>
          <w:szCs w:val="18"/>
          <w:color w:val="auto"/>
        </w:rPr>
        <w:t>During the year ended December 31, 2023, all non-employee directors of the Company (except F. Ann Millner, Ed.D and James T. Hogan, a former director) received quarterly retainer payments totaling $86,000 in aggregate. James T. Hogan, received a pro-rated retainer amount of $43,000 for services rendered through the end of his term as a director on May 18, 2023. Dr. Millner, who served as Lead Independent Director throughout the year, received quarterly retainer payments totaling $116,000 in the aggregate. Additonally, each of the commitee chairs was paid his or her chair-specifc retainer(s) (as set forth in the foregoing table) during the year ended December 31, 2023. Directors are also reimbursed for (a) out-of-pocket travel and related expenses incurred in atending Board and commitee meetngs and other Company events and (b) up to $5,000 for annual educatonal expenses.</w:t>
      </w: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30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34" w:name="page35"/>
    <w:bookmarkEnd w:id="34"/>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CORPORATE GOVERNANCE AND RELATED MATTERS</w:t>
      </w:r>
    </w:p>
    <w:p>
      <w:pPr>
        <w:spacing w:after="0" w:line="165"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Stock Awards</w:t>
      </w:r>
    </w:p>
    <w:p>
      <w:pPr>
        <w:spacing w:after="0" w:line="146" w:lineRule="exact"/>
        <w:rPr>
          <w:sz w:val="20"/>
          <w:szCs w:val="20"/>
          <w:color w:val="auto"/>
        </w:rPr>
      </w:pPr>
    </w:p>
    <w:p>
      <w:pPr>
        <w:ind w:left="200" w:right="299"/>
        <w:spacing w:after="0" w:line="248" w:lineRule="auto"/>
        <w:rPr>
          <w:sz w:val="20"/>
          <w:szCs w:val="20"/>
          <w:color w:val="auto"/>
        </w:rPr>
      </w:pPr>
      <w:r>
        <w:rPr>
          <w:rFonts w:ascii="Calibri" w:cs="Calibri" w:eastAsia="Calibri" w:hAnsi="Calibri"/>
          <w:sz w:val="17"/>
          <w:szCs w:val="17"/>
          <w:color w:val="auto"/>
        </w:rPr>
        <w:t>Directors are eligible to partcipate in our equity incentve programs. For the year ended December 31, 2023, the amount of the annual equity compensaton award for non-employee directors was set at $190,000. Accordingly, each non-employee director who served during the year ended December 31, 2023 received 2,262 restricted stock units under the 2018 Incentve Plan, which vest on May 18, 2024, one year afer the grant date. We frst began grantng restricted stock units to directors during the year ended December 31, 2020. In prior years, directors were granted optons to purchase shares of Common Stock, which vested in equal annual increments over a period of three years (for optons granted in 2019) or fve years (for optons granted prior to 2019). Efectve as of the Annual Meetng, the Board increased the amount of the annual equity compensaton award for non-employee directors to $200,000.</w:t>
      </w:r>
    </w:p>
    <w:p>
      <w:pPr>
        <w:spacing w:after="0" w:line="17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The following table shows compensaton for each of our non-employee directors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545211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85"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1520" w:type="dxa"/>
            <w:vAlign w:val="bottom"/>
          </w:tcPr>
          <w:p>
            <w:pPr>
              <w:jc w:val="center"/>
              <w:ind w:left="482"/>
              <w:spacing w:after="0"/>
              <w:rPr>
                <w:sz w:val="20"/>
                <w:szCs w:val="20"/>
                <w:color w:val="auto"/>
              </w:rPr>
            </w:pPr>
            <w:r>
              <w:rPr>
                <w:rFonts w:ascii="Calibri" w:cs="Calibri" w:eastAsia="Calibri" w:hAnsi="Calibri"/>
                <w:sz w:val="14"/>
                <w:szCs w:val="14"/>
                <w:b w:val="1"/>
                <w:bCs w:val="1"/>
                <w:color w:val="auto"/>
              </w:rPr>
              <w:t>Fees Earned</w:t>
            </w: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5"/>
        </w:trPr>
        <w:tc>
          <w:tcPr>
            <w:tcW w:w="2140" w:type="dxa"/>
            <w:vAlign w:val="bottom"/>
          </w:tcPr>
          <w:p>
            <w:pPr>
              <w:spacing w:after="0"/>
              <w:rPr>
                <w:sz w:val="16"/>
                <w:szCs w:val="16"/>
                <w:color w:val="auto"/>
              </w:rPr>
            </w:pPr>
          </w:p>
        </w:tc>
        <w:tc>
          <w:tcPr>
            <w:tcW w:w="1520" w:type="dxa"/>
            <w:vAlign w:val="bottom"/>
          </w:tcPr>
          <w:p>
            <w:pPr>
              <w:jc w:val="center"/>
              <w:ind w:left="482"/>
              <w:spacing w:after="0"/>
              <w:rPr>
                <w:sz w:val="20"/>
                <w:szCs w:val="20"/>
                <w:color w:val="auto"/>
              </w:rPr>
            </w:pPr>
            <w:r>
              <w:rPr>
                <w:rFonts w:ascii="Calibri" w:cs="Calibri" w:eastAsia="Calibri" w:hAnsi="Calibri"/>
                <w:sz w:val="14"/>
                <w:szCs w:val="14"/>
                <w:b w:val="1"/>
                <w:bCs w:val="1"/>
                <w:color w:val="auto"/>
              </w:rPr>
              <w:t>or Paid in</w:t>
            </w: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Stock</w:t>
            </w:r>
          </w:p>
        </w:tc>
        <w:tc>
          <w:tcPr>
            <w:tcW w:w="1420" w:type="dxa"/>
            <w:vAlign w:val="bottom"/>
          </w:tcPr>
          <w:p>
            <w:pPr>
              <w:jc w:val="right"/>
              <w:ind w:right="21"/>
              <w:spacing w:after="0"/>
              <w:rPr>
                <w:sz w:val="20"/>
                <w:szCs w:val="20"/>
                <w:color w:val="auto"/>
              </w:rPr>
            </w:pPr>
            <w:r>
              <w:rPr>
                <w:rFonts w:ascii="Calibri" w:cs="Calibri" w:eastAsia="Calibri" w:hAnsi="Calibri"/>
                <w:sz w:val="14"/>
                <w:szCs w:val="14"/>
                <w:b w:val="1"/>
                <w:bCs w:val="1"/>
                <w:color w:val="auto"/>
              </w:rPr>
              <w:t>Non-Equity Incentve</w:t>
            </w:r>
          </w:p>
        </w:tc>
        <w:tc>
          <w:tcPr>
            <w:tcW w:w="1360" w:type="dxa"/>
            <w:vAlign w:val="bottom"/>
          </w:tcPr>
          <w:p>
            <w:pPr>
              <w:jc w:val="right"/>
              <w:ind w:right="461"/>
              <w:spacing w:after="0"/>
              <w:rPr>
                <w:sz w:val="20"/>
                <w:szCs w:val="20"/>
                <w:color w:val="auto"/>
              </w:rPr>
            </w:pPr>
            <w:r>
              <w:rPr>
                <w:rFonts w:ascii="Calibri" w:cs="Calibri" w:eastAsia="Calibri" w:hAnsi="Calibri"/>
                <w:sz w:val="14"/>
                <w:szCs w:val="14"/>
                <w:b w:val="1"/>
                <w:bCs w:val="1"/>
                <w:color w:val="auto"/>
              </w:rPr>
              <w:t>All Other</w:t>
            </w:r>
          </w:p>
        </w:tc>
        <w:tc>
          <w:tcPr>
            <w:tcW w:w="1360" w:type="dxa"/>
            <w:vAlign w:val="bottom"/>
          </w:tcPr>
          <w:p>
            <w:pPr>
              <w:jc w:val="center"/>
              <w:ind w:left="201"/>
              <w:spacing w:after="0"/>
              <w:rPr>
                <w:sz w:val="20"/>
                <w:szCs w:val="20"/>
                <w:color w:val="auto"/>
              </w:rPr>
            </w:pPr>
            <w:r>
              <w:rPr>
                <w:rFonts w:ascii="Calibri" w:cs="Calibri" w:eastAsia="Calibri" w:hAnsi="Calibri"/>
                <w:sz w:val="14"/>
                <w:szCs w:val="14"/>
                <w:b w:val="1"/>
                <w:bCs w:val="1"/>
                <w:color w:val="auto"/>
                <w:w w:val="94"/>
              </w:rPr>
              <w:t>Total</w:t>
            </w:r>
          </w:p>
        </w:tc>
      </w:tr>
      <w:tr>
        <w:trPr>
          <w:trHeight w:val="183"/>
        </w:trPr>
        <w:tc>
          <w:tcPr>
            <w:tcW w:w="2140" w:type="dxa"/>
            <w:vAlign w:val="bottom"/>
          </w:tcPr>
          <w:p>
            <w:pPr>
              <w:spacing w:after="0"/>
              <w:rPr>
                <w:sz w:val="15"/>
                <w:szCs w:val="15"/>
                <w:color w:val="auto"/>
              </w:rPr>
            </w:pPr>
          </w:p>
        </w:tc>
        <w:tc>
          <w:tcPr>
            <w:tcW w:w="1520" w:type="dxa"/>
            <w:vAlign w:val="bottom"/>
          </w:tcPr>
          <w:p>
            <w:pPr>
              <w:jc w:val="center"/>
              <w:ind w:left="442"/>
              <w:spacing w:after="0"/>
              <w:rPr>
                <w:sz w:val="20"/>
                <w:szCs w:val="20"/>
                <w:color w:val="auto"/>
              </w:rPr>
            </w:pPr>
            <w:r>
              <w:rPr>
                <w:rFonts w:ascii="Calibri" w:cs="Calibri" w:eastAsia="Calibri" w:hAnsi="Calibri"/>
                <w:sz w:val="14"/>
                <w:szCs w:val="14"/>
                <w:b w:val="1"/>
                <w:bCs w:val="1"/>
                <w:color w:val="auto"/>
              </w:rPr>
              <w:t>Cash</w:t>
            </w:r>
          </w:p>
        </w:tc>
        <w:tc>
          <w:tcPr>
            <w:tcW w:w="780" w:type="dxa"/>
            <w:vAlign w:val="bottom"/>
          </w:tcPr>
          <w:p>
            <w:pPr>
              <w:jc w:val="center"/>
              <w:spacing w:after="0"/>
              <w:rPr>
                <w:sz w:val="20"/>
                <w:szCs w:val="20"/>
                <w:color w:val="auto"/>
              </w:rPr>
            </w:pPr>
            <w:r>
              <w:rPr>
                <w:rFonts w:ascii="Calibri" w:cs="Calibri" w:eastAsia="Calibri" w:hAnsi="Calibri"/>
                <w:sz w:val="14"/>
                <w:szCs w:val="14"/>
                <w:b w:val="1"/>
                <w:bCs w:val="1"/>
                <w:color w:val="auto"/>
              </w:rPr>
              <w:t>Awards</w:t>
            </w:r>
          </w:p>
        </w:tc>
        <w:tc>
          <w:tcPr>
            <w:tcW w:w="1420" w:type="dxa"/>
            <w:vAlign w:val="bottom"/>
          </w:tcPr>
          <w:p>
            <w:pPr>
              <w:jc w:val="right"/>
              <w:ind w:right="81"/>
              <w:spacing w:after="0"/>
              <w:rPr>
                <w:sz w:val="20"/>
                <w:szCs w:val="20"/>
                <w:color w:val="auto"/>
              </w:rPr>
            </w:pPr>
            <w:r>
              <w:rPr>
                <w:rFonts w:ascii="Calibri" w:cs="Calibri" w:eastAsia="Calibri" w:hAnsi="Calibri"/>
                <w:sz w:val="14"/>
                <w:szCs w:val="14"/>
                <w:b w:val="1"/>
                <w:bCs w:val="1"/>
                <w:color w:val="auto"/>
              </w:rPr>
              <w:t>Plan Compensaton</w:t>
            </w:r>
          </w:p>
        </w:tc>
        <w:tc>
          <w:tcPr>
            <w:tcW w:w="1360" w:type="dxa"/>
            <w:vAlign w:val="bottom"/>
          </w:tcPr>
          <w:p>
            <w:pPr>
              <w:jc w:val="right"/>
              <w:ind w:right="301"/>
              <w:spacing w:after="0"/>
              <w:rPr>
                <w:sz w:val="20"/>
                <w:szCs w:val="20"/>
                <w:color w:val="auto"/>
              </w:rPr>
            </w:pPr>
            <w:r>
              <w:rPr>
                <w:rFonts w:ascii="Calibri" w:cs="Calibri" w:eastAsia="Calibri" w:hAnsi="Calibri"/>
                <w:sz w:val="14"/>
                <w:szCs w:val="14"/>
                <w:b w:val="1"/>
                <w:bCs w:val="1"/>
                <w:color w:val="auto"/>
              </w:rPr>
              <w:t>Compensaton</w:t>
            </w:r>
          </w:p>
        </w:tc>
        <w:tc>
          <w:tcPr>
            <w:tcW w:w="1360" w:type="dxa"/>
            <w:vAlign w:val="bottom"/>
          </w:tcPr>
          <w:p>
            <w:pPr>
              <w:jc w:val="center"/>
              <w:ind w:left="201"/>
              <w:spacing w:after="0"/>
              <w:rPr>
                <w:sz w:val="20"/>
                <w:szCs w:val="20"/>
                <w:color w:val="auto"/>
              </w:rPr>
            </w:pPr>
            <w:r>
              <w:rPr>
                <w:rFonts w:ascii="Calibri" w:cs="Calibri" w:eastAsia="Calibri" w:hAnsi="Calibri"/>
                <w:sz w:val="14"/>
                <w:szCs w:val="14"/>
                <w:b w:val="1"/>
                <w:bCs w:val="1"/>
                <w:color w:val="auto"/>
              </w:rPr>
              <w:t>Compensaton</w:t>
            </w:r>
          </w:p>
        </w:tc>
      </w:tr>
      <w:tr>
        <w:trPr>
          <w:trHeight w:val="230"/>
        </w:trPr>
        <w:tc>
          <w:tcPr>
            <w:tcW w:w="2140" w:type="dxa"/>
            <w:vAlign w:val="bottom"/>
            <w:tcBorders>
              <w:bottom w:val="single" w:sz="8" w:color="AF0000"/>
            </w:tcBorders>
          </w:tcPr>
          <w:p>
            <w:pPr>
              <w:ind w:left="20"/>
              <w:spacing w:after="0" w:line="223" w:lineRule="exact"/>
              <w:rPr>
                <w:sz w:val="20"/>
                <w:szCs w:val="20"/>
                <w:color w:val="auto"/>
              </w:rPr>
            </w:pPr>
            <w:r>
              <w:rPr>
                <w:rFonts w:ascii="Calibri" w:cs="Calibri" w:eastAsia="Calibri" w:hAnsi="Calibri"/>
                <w:sz w:val="14"/>
                <w:szCs w:val="14"/>
                <w:b w:val="1"/>
                <w:bCs w:val="1"/>
                <w:color w:val="auto"/>
              </w:rPr>
              <w:t xml:space="preserve">Name </w:t>
            </w:r>
            <w:r>
              <w:rPr>
                <w:rFonts w:ascii="Calibri" w:cs="Calibri" w:eastAsia="Calibri" w:hAnsi="Calibri"/>
                <w:sz w:val="24"/>
                <w:szCs w:val="24"/>
                <w:b w:val="1"/>
                <w:bCs w:val="1"/>
                <w:color w:val="AF0000"/>
                <w:vertAlign w:val="superscript"/>
              </w:rPr>
              <w:t>(1)</w:t>
            </w:r>
          </w:p>
        </w:tc>
        <w:tc>
          <w:tcPr>
            <w:tcW w:w="1520" w:type="dxa"/>
            <w:vAlign w:val="bottom"/>
            <w:tcBorders>
              <w:bottom w:val="single" w:sz="8" w:color="AF0000"/>
            </w:tcBorders>
          </w:tcPr>
          <w:p>
            <w:pPr>
              <w:jc w:val="center"/>
              <w:ind w:left="482"/>
              <w:spacing w:after="0"/>
              <w:rPr>
                <w:sz w:val="20"/>
                <w:szCs w:val="20"/>
                <w:color w:val="auto"/>
              </w:rPr>
            </w:pPr>
            <w:r>
              <w:rPr>
                <w:rFonts w:ascii="Calibri" w:cs="Calibri" w:eastAsia="Calibri" w:hAnsi="Calibri"/>
                <w:sz w:val="14"/>
                <w:szCs w:val="14"/>
                <w:b w:val="1"/>
                <w:bCs w:val="1"/>
                <w:color w:val="auto"/>
              </w:rPr>
              <w:t>($)</w:t>
            </w:r>
          </w:p>
        </w:tc>
        <w:tc>
          <w:tcPr>
            <w:tcW w:w="780" w:type="dxa"/>
            <w:vAlign w:val="bottom"/>
            <w:tcBorders>
              <w:bottom w:val="single" w:sz="8" w:color="AF0000"/>
            </w:tcBorders>
          </w:tcPr>
          <w:p>
            <w:pPr>
              <w:jc w:val="center"/>
              <w:spacing w:after="0" w:line="223" w:lineRule="exact"/>
              <w:rPr>
                <w:sz w:val="20"/>
                <w:szCs w:val="20"/>
                <w:color w:val="auto"/>
              </w:rPr>
            </w:pPr>
            <w:r>
              <w:rPr>
                <w:rFonts w:ascii="Calibri" w:cs="Calibri" w:eastAsia="Calibri" w:hAnsi="Calibri"/>
                <w:sz w:val="14"/>
                <w:szCs w:val="14"/>
                <w:b w:val="1"/>
                <w:bCs w:val="1"/>
                <w:color w:val="auto"/>
                <w:w w:val="91"/>
              </w:rPr>
              <w:t xml:space="preserve">($) </w:t>
            </w:r>
            <w:r>
              <w:rPr>
                <w:rFonts w:ascii="Calibri" w:cs="Calibri" w:eastAsia="Calibri" w:hAnsi="Calibri"/>
                <w:sz w:val="24"/>
                <w:szCs w:val="24"/>
                <w:b w:val="1"/>
                <w:bCs w:val="1"/>
                <w:color w:val="AF0000"/>
                <w:w w:val="91"/>
                <w:vertAlign w:val="superscript"/>
              </w:rPr>
              <w:t>(2)</w:t>
            </w:r>
          </w:p>
        </w:tc>
        <w:tc>
          <w:tcPr>
            <w:tcW w:w="1420" w:type="dxa"/>
            <w:vAlign w:val="bottom"/>
            <w:tcBorders>
              <w:bottom w:val="single" w:sz="8" w:color="AF0000"/>
            </w:tcBorders>
          </w:tcPr>
          <w:p>
            <w:pPr>
              <w:jc w:val="right"/>
              <w:ind w:right="561"/>
              <w:spacing w:after="0"/>
              <w:rPr>
                <w:sz w:val="20"/>
                <w:szCs w:val="20"/>
                <w:color w:val="auto"/>
              </w:rPr>
            </w:pPr>
            <w:r>
              <w:rPr>
                <w:rFonts w:ascii="Calibri" w:cs="Calibri" w:eastAsia="Calibri" w:hAnsi="Calibri"/>
                <w:sz w:val="14"/>
                <w:szCs w:val="14"/>
                <w:b w:val="1"/>
                <w:bCs w:val="1"/>
                <w:color w:val="auto"/>
              </w:rPr>
              <w:t>($)</w:t>
            </w:r>
          </w:p>
        </w:tc>
        <w:tc>
          <w:tcPr>
            <w:tcW w:w="1360" w:type="dxa"/>
            <w:vAlign w:val="bottom"/>
            <w:tcBorders>
              <w:bottom w:val="single" w:sz="8" w:color="AF0000"/>
            </w:tcBorders>
          </w:tcPr>
          <w:p>
            <w:pPr>
              <w:jc w:val="right"/>
              <w:ind w:right="661"/>
              <w:spacing w:after="0"/>
              <w:rPr>
                <w:sz w:val="20"/>
                <w:szCs w:val="20"/>
                <w:color w:val="auto"/>
              </w:rPr>
            </w:pPr>
            <w:r>
              <w:rPr>
                <w:rFonts w:ascii="Calibri" w:cs="Calibri" w:eastAsia="Calibri" w:hAnsi="Calibri"/>
                <w:sz w:val="14"/>
                <w:szCs w:val="14"/>
                <w:b w:val="1"/>
                <w:bCs w:val="1"/>
                <w:color w:val="auto"/>
              </w:rPr>
              <w:t>($)</w:t>
            </w:r>
          </w:p>
        </w:tc>
        <w:tc>
          <w:tcPr>
            <w:tcW w:w="1360" w:type="dxa"/>
            <w:vAlign w:val="bottom"/>
            <w:tcBorders>
              <w:bottom w:val="single" w:sz="8" w:color="AF0000"/>
            </w:tcBorders>
          </w:tcPr>
          <w:p>
            <w:pPr>
              <w:jc w:val="center"/>
              <w:ind w:left="201"/>
              <w:spacing w:after="0"/>
              <w:rPr>
                <w:sz w:val="20"/>
                <w:szCs w:val="20"/>
                <w:color w:val="auto"/>
              </w:rPr>
            </w:pPr>
            <w:r>
              <w:rPr>
                <w:rFonts w:ascii="Calibri" w:cs="Calibri" w:eastAsia="Calibri" w:hAnsi="Calibri"/>
                <w:sz w:val="14"/>
                <w:szCs w:val="14"/>
                <w:b w:val="1"/>
                <w:bCs w:val="1"/>
                <w:color w:val="auto"/>
              </w:rPr>
              <w:t>($)</w:t>
            </w:r>
          </w:p>
        </w:tc>
      </w:tr>
      <w:tr>
        <w:trPr>
          <w:trHeight w:val="256"/>
        </w:trPr>
        <w:tc>
          <w:tcPr>
            <w:tcW w:w="2140" w:type="dxa"/>
            <w:vAlign w:val="bottom"/>
          </w:tcPr>
          <w:p>
            <w:pPr>
              <w:ind w:left="20"/>
              <w:spacing w:after="0"/>
              <w:rPr>
                <w:sz w:val="20"/>
                <w:szCs w:val="20"/>
                <w:color w:val="auto"/>
              </w:rPr>
            </w:pPr>
            <w:r>
              <w:rPr>
                <w:rFonts w:ascii="Calibri" w:cs="Calibri" w:eastAsia="Calibri" w:hAnsi="Calibri"/>
                <w:sz w:val="16"/>
                <w:szCs w:val="16"/>
                <w:color w:val="auto"/>
              </w:rPr>
              <w:t>A. Scot Anderson</w:t>
            </w:r>
          </w:p>
        </w:tc>
        <w:tc>
          <w:tcPr>
            <w:tcW w:w="1520" w:type="dxa"/>
            <w:vAlign w:val="bottom"/>
          </w:tcPr>
          <w:p>
            <w:pPr>
              <w:jc w:val="center"/>
              <w:ind w:left="502"/>
              <w:spacing w:after="0"/>
              <w:rPr>
                <w:sz w:val="20"/>
                <w:szCs w:val="20"/>
                <w:color w:val="auto"/>
              </w:rPr>
            </w:pPr>
            <w:r>
              <w:rPr>
                <w:rFonts w:ascii="Calibri" w:cs="Calibri" w:eastAsia="Calibri" w:hAnsi="Calibri"/>
                <w:sz w:val="16"/>
                <w:szCs w:val="16"/>
                <w:color w:val="auto"/>
              </w:rPr>
              <w:t>101,000</w:t>
            </w:r>
          </w:p>
        </w:tc>
        <w:tc>
          <w:tcPr>
            <w:tcW w:w="780" w:type="dxa"/>
            <w:vAlign w:val="bottom"/>
          </w:tcPr>
          <w:p>
            <w:pPr>
              <w:jc w:val="center"/>
              <w:spacing w:after="0"/>
              <w:rPr>
                <w:sz w:val="20"/>
                <w:szCs w:val="20"/>
                <w:color w:val="auto"/>
              </w:rPr>
            </w:pPr>
            <w:r>
              <w:rPr>
                <w:rFonts w:ascii="Calibri" w:cs="Calibri" w:eastAsia="Calibri" w:hAnsi="Calibri"/>
                <w:sz w:val="16"/>
                <w:szCs w:val="16"/>
                <w:color w:val="auto"/>
              </w:rPr>
              <w:t>189,985</w:t>
            </w:r>
          </w:p>
        </w:tc>
        <w:tc>
          <w:tcPr>
            <w:tcW w:w="1420" w:type="dxa"/>
            <w:vAlign w:val="bottom"/>
          </w:tcPr>
          <w:p>
            <w:pPr>
              <w:jc w:val="right"/>
              <w:ind w:right="561"/>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641"/>
              <w:spacing w:after="0"/>
              <w:rPr>
                <w:sz w:val="20"/>
                <w:szCs w:val="20"/>
                <w:color w:val="auto"/>
              </w:rPr>
            </w:pPr>
            <w:r>
              <w:rPr>
                <w:rFonts w:ascii="Calibri" w:cs="Calibri" w:eastAsia="Calibri" w:hAnsi="Calibri"/>
                <w:sz w:val="16"/>
                <w:szCs w:val="16"/>
                <w:color w:val="auto"/>
              </w:rPr>
              <w:t>—</w:t>
            </w:r>
          </w:p>
        </w:tc>
        <w:tc>
          <w:tcPr>
            <w:tcW w:w="1360" w:type="dxa"/>
            <w:vAlign w:val="bottom"/>
          </w:tcPr>
          <w:p>
            <w:pPr>
              <w:jc w:val="center"/>
              <w:ind w:left="221"/>
              <w:spacing w:after="0"/>
              <w:rPr>
                <w:sz w:val="20"/>
                <w:szCs w:val="20"/>
                <w:color w:val="auto"/>
              </w:rPr>
            </w:pPr>
            <w:r>
              <w:rPr>
                <w:rFonts w:ascii="Calibri" w:cs="Calibri" w:eastAsia="Calibri" w:hAnsi="Calibri"/>
                <w:sz w:val="16"/>
                <w:szCs w:val="16"/>
                <w:color w:val="auto"/>
              </w:rPr>
              <w:t>290,985</w:t>
            </w:r>
          </w:p>
        </w:tc>
      </w:tr>
      <w:tr>
        <w:trPr>
          <w:trHeight w:val="55"/>
        </w:trPr>
        <w:tc>
          <w:tcPr>
            <w:tcW w:w="214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142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r>
      <w:tr>
        <w:trPr>
          <w:trHeight w:val="249"/>
        </w:trPr>
        <w:tc>
          <w:tcPr>
            <w:tcW w:w="2140" w:type="dxa"/>
            <w:vAlign w:val="bottom"/>
          </w:tcPr>
          <w:p>
            <w:pPr>
              <w:ind w:left="20"/>
              <w:spacing w:after="0"/>
              <w:rPr>
                <w:sz w:val="20"/>
                <w:szCs w:val="20"/>
                <w:color w:val="auto"/>
              </w:rPr>
            </w:pPr>
            <w:r>
              <w:rPr>
                <w:rFonts w:ascii="Calibri" w:cs="Calibri" w:eastAsia="Calibri" w:hAnsi="Calibri"/>
                <w:sz w:val="16"/>
                <w:szCs w:val="16"/>
                <w:color w:val="auto"/>
              </w:rPr>
              <w:t>Lonny J. Carpenter</w:t>
            </w:r>
          </w:p>
        </w:tc>
        <w:tc>
          <w:tcPr>
            <w:tcW w:w="1520" w:type="dxa"/>
            <w:vAlign w:val="bottom"/>
          </w:tcPr>
          <w:p>
            <w:pPr>
              <w:jc w:val="center"/>
              <w:ind w:left="502"/>
              <w:spacing w:after="0"/>
              <w:rPr>
                <w:sz w:val="20"/>
                <w:szCs w:val="20"/>
                <w:color w:val="auto"/>
              </w:rPr>
            </w:pPr>
            <w:r>
              <w:rPr>
                <w:rFonts w:ascii="Calibri" w:cs="Calibri" w:eastAsia="Calibri" w:hAnsi="Calibri"/>
                <w:sz w:val="16"/>
                <w:szCs w:val="16"/>
                <w:color w:val="auto"/>
              </w:rPr>
              <w:t>101,000</w:t>
            </w:r>
          </w:p>
        </w:tc>
        <w:tc>
          <w:tcPr>
            <w:tcW w:w="780" w:type="dxa"/>
            <w:vAlign w:val="bottom"/>
          </w:tcPr>
          <w:p>
            <w:pPr>
              <w:jc w:val="center"/>
              <w:spacing w:after="0"/>
              <w:rPr>
                <w:sz w:val="20"/>
                <w:szCs w:val="20"/>
                <w:color w:val="auto"/>
              </w:rPr>
            </w:pPr>
            <w:r>
              <w:rPr>
                <w:rFonts w:ascii="Calibri" w:cs="Calibri" w:eastAsia="Calibri" w:hAnsi="Calibri"/>
                <w:sz w:val="16"/>
                <w:szCs w:val="16"/>
                <w:color w:val="auto"/>
              </w:rPr>
              <w:t>189,985</w:t>
            </w:r>
          </w:p>
        </w:tc>
        <w:tc>
          <w:tcPr>
            <w:tcW w:w="1420" w:type="dxa"/>
            <w:vAlign w:val="bottom"/>
          </w:tcPr>
          <w:p>
            <w:pPr>
              <w:jc w:val="right"/>
              <w:ind w:right="561"/>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641"/>
              <w:spacing w:after="0"/>
              <w:rPr>
                <w:sz w:val="20"/>
                <w:szCs w:val="20"/>
                <w:color w:val="auto"/>
              </w:rPr>
            </w:pPr>
            <w:r>
              <w:rPr>
                <w:rFonts w:ascii="Calibri" w:cs="Calibri" w:eastAsia="Calibri" w:hAnsi="Calibri"/>
                <w:sz w:val="16"/>
                <w:szCs w:val="16"/>
                <w:color w:val="auto"/>
              </w:rPr>
              <w:t>—</w:t>
            </w:r>
          </w:p>
        </w:tc>
        <w:tc>
          <w:tcPr>
            <w:tcW w:w="1360" w:type="dxa"/>
            <w:vAlign w:val="bottom"/>
          </w:tcPr>
          <w:p>
            <w:pPr>
              <w:jc w:val="center"/>
              <w:ind w:left="221"/>
              <w:spacing w:after="0"/>
              <w:rPr>
                <w:sz w:val="20"/>
                <w:szCs w:val="20"/>
                <w:color w:val="auto"/>
              </w:rPr>
            </w:pPr>
            <w:r>
              <w:rPr>
                <w:rFonts w:ascii="Calibri" w:cs="Calibri" w:eastAsia="Calibri" w:hAnsi="Calibri"/>
                <w:sz w:val="16"/>
                <w:szCs w:val="16"/>
                <w:color w:val="auto"/>
              </w:rPr>
              <w:t>290,985</w:t>
            </w:r>
          </w:p>
        </w:tc>
      </w:tr>
      <w:tr>
        <w:trPr>
          <w:trHeight w:val="54"/>
        </w:trPr>
        <w:tc>
          <w:tcPr>
            <w:tcW w:w="214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142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r>
      <w:tr>
        <w:trPr>
          <w:trHeight w:val="250"/>
        </w:trPr>
        <w:tc>
          <w:tcPr>
            <w:tcW w:w="2140" w:type="dxa"/>
            <w:vAlign w:val="bottom"/>
          </w:tcPr>
          <w:p>
            <w:pPr>
              <w:ind w:left="20"/>
              <w:spacing w:after="0"/>
              <w:rPr>
                <w:sz w:val="20"/>
                <w:szCs w:val="20"/>
                <w:color w:val="auto"/>
              </w:rPr>
            </w:pPr>
            <w:r>
              <w:rPr>
                <w:rFonts w:ascii="Calibri" w:cs="Calibri" w:eastAsia="Calibri" w:hAnsi="Calibri"/>
                <w:sz w:val="16"/>
                <w:szCs w:val="16"/>
                <w:color w:val="auto"/>
              </w:rPr>
              <w:t>Stephen C. Evans</w:t>
            </w:r>
          </w:p>
        </w:tc>
        <w:tc>
          <w:tcPr>
            <w:tcW w:w="1520" w:type="dxa"/>
            <w:vAlign w:val="bottom"/>
          </w:tcPr>
          <w:p>
            <w:pPr>
              <w:jc w:val="center"/>
              <w:ind w:left="502"/>
              <w:spacing w:after="0"/>
              <w:rPr>
                <w:sz w:val="20"/>
                <w:szCs w:val="20"/>
                <w:color w:val="auto"/>
              </w:rPr>
            </w:pPr>
            <w:r>
              <w:rPr>
                <w:rFonts w:ascii="Calibri" w:cs="Calibri" w:eastAsia="Calibri" w:hAnsi="Calibri"/>
                <w:sz w:val="16"/>
                <w:szCs w:val="16"/>
                <w:color w:val="auto"/>
              </w:rPr>
              <w:t>86,000</w:t>
            </w:r>
          </w:p>
        </w:tc>
        <w:tc>
          <w:tcPr>
            <w:tcW w:w="780" w:type="dxa"/>
            <w:vAlign w:val="bottom"/>
          </w:tcPr>
          <w:p>
            <w:pPr>
              <w:jc w:val="center"/>
              <w:ind w:left="1"/>
              <w:spacing w:after="0"/>
              <w:rPr>
                <w:sz w:val="20"/>
                <w:szCs w:val="20"/>
                <w:color w:val="auto"/>
              </w:rPr>
            </w:pPr>
            <w:r>
              <w:rPr>
                <w:rFonts w:ascii="Calibri" w:cs="Calibri" w:eastAsia="Calibri" w:hAnsi="Calibri"/>
                <w:sz w:val="16"/>
                <w:szCs w:val="16"/>
                <w:color w:val="auto"/>
              </w:rPr>
              <w:t>189,985</w:t>
            </w:r>
          </w:p>
        </w:tc>
        <w:tc>
          <w:tcPr>
            <w:tcW w:w="1420" w:type="dxa"/>
            <w:vAlign w:val="bottom"/>
          </w:tcPr>
          <w:p>
            <w:pPr>
              <w:jc w:val="right"/>
              <w:ind w:right="561"/>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641"/>
              <w:spacing w:after="0"/>
              <w:rPr>
                <w:sz w:val="20"/>
                <w:szCs w:val="20"/>
                <w:color w:val="auto"/>
              </w:rPr>
            </w:pPr>
            <w:r>
              <w:rPr>
                <w:rFonts w:ascii="Calibri" w:cs="Calibri" w:eastAsia="Calibri" w:hAnsi="Calibri"/>
                <w:sz w:val="16"/>
                <w:szCs w:val="16"/>
                <w:color w:val="auto"/>
              </w:rPr>
              <w:t>—</w:t>
            </w:r>
          </w:p>
        </w:tc>
        <w:tc>
          <w:tcPr>
            <w:tcW w:w="1360" w:type="dxa"/>
            <w:vAlign w:val="bottom"/>
          </w:tcPr>
          <w:p>
            <w:pPr>
              <w:jc w:val="center"/>
              <w:ind w:left="221"/>
              <w:spacing w:after="0"/>
              <w:rPr>
                <w:sz w:val="20"/>
                <w:szCs w:val="20"/>
                <w:color w:val="auto"/>
              </w:rPr>
            </w:pPr>
            <w:r>
              <w:rPr>
                <w:rFonts w:ascii="Calibri" w:cs="Calibri" w:eastAsia="Calibri" w:hAnsi="Calibri"/>
                <w:sz w:val="16"/>
                <w:szCs w:val="16"/>
                <w:color w:val="auto"/>
              </w:rPr>
              <w:t>275,985</w:t>
            </w:r>
          </w:p>
        </w:tc>
      </w:tr>
      <w:tr>
        <w:trPr>
          <w:trHeight w:val="54"/>
        </w:trPr>
        <w:tc>
          <w:tcPr>
            <w:tcW w:w="214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142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r>
      <w:tr>
        <w:trPr>
          <w:trHeight w:val="250"/>
        </w:trPr>
        <w:tc>
          <w:tcPr>
            <w:tcW w:w="2140" w:type="dxa"/>
            <w:vAlign w:val="bottom"/>
          </w:tcPr>
          <w:p>
            <w:pPr>
              <w:ind w:left="20"/>
              <w:spacing w:after="0"/>
              <w:rPr>
                <w:sz w:val="20"/>
                <w:szCs w:val="20"/>
                <w:color w:val="auto"/>
              </w:rPr>
            </w:pPr>
            <w:r>
              <w:rPr>
                <w:rFonts w:ascii="Calibri" w:cs="Calibri" w:eastAsia="Calibri" w:hAnsi="Calibri"/>
                <w:sz w:val="16"/>
                <w:szCs w:val="16"/>
                <w:color w:val="auto"/>
              </w:rPr>
              <w:t>David K. Floyd</w:t>
            </w:r>
          </w:p>
        </w:tc>
        <w:tc>
          <w:tcPr>
            <w:tcW w:w="1520" w:type="dxa"/>
            <w:vAlign w:val="bottom"/>
          </w:tcPr>
          <w:p>
            <w:pPr>
              <w:jc w:val="center"/>
              <w:ind w:left="502"/>
              <w:spacing w:after="0"/>
              <w:rPr>
                <w:sz w:val="20"/>
                <w:szCs w:val="20"/>
                <w:color w:val="auto"/>
              </w:rPr>
            </w:pPr>
            <w:r>
              <w:rPr>
                <w:rFonts w:ascii="Calibri" w:cs="Calibri" w:eastAsia="Calibri" w:hAnsi="Calibri"/>
                <w:sz w:val="16"/>
                <w:szCs w:val="16"/>
                <w:color w:val="auto"/>
              </w:rPr>
              <w:t>86,000</w:t>
            </w:r>
          </w:p>
        </w:tc>
        <w:tc>
          <w:tcPr>
            <w:tcW w:w="780" w:type="dxa"/>
            <w:vAlign w:val="bottom"/>
          </w:tcPr>
          <w:p>
            <w:pPr>
              <w:jc w:val="center"/>
              <w:ind w:left="1"/>
              <w:spacing w:after="0"/>
              <w:rPr>
                <w:sz w:val="20"/>
                <w:szCs w:val="20"/>
                <w:color w:val="auto"/>
              </w:rPr>
            </w:pPr>
            <w:r>
              <w:rPr>
                <w:rFonts w:ascii="Calibri" w:cs="Calibri" w:eastAsia="Calibri" w:hAnsi="Calibri"/>
                <w:sz w:val="16"/>
                <w:szCs w:val="16"/>
                <w:color w:val="auto"/>
              </w:rPr>
              <w:t>189,985</w:t>
            </w:r>
          </w:p>
        </w:tc>
        <w:tc>
          <w:tcPr>
            <w:tcW w:w="1420" w:type="dxa"/>
            <w:vAlign w:val="bottom"/>
          </w:tcPr>
          <w:p>
            <w:pPr>
              <w:jc w:val="right"/>
              <w:ind w:right="561"/>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641"/>
              <w:spacing w:after="0"/>
              <w:rPr>
                <w:sz w:val="20"/>
                <w:szCs w:val="20"/>
                <w:color w:val="auto"/>
              </w:rPr>
            </w:pPr>
            <w:r>
              <w:rPr>
                <w:rFonts w:ascii="Calibri" w:cs="Calibri" w:eastAsia="Calibri" w:hAnsi="Calibri"/>
                <w:sz w:val="16"/>
                <w:szCs w:val="16"/>
                <w:color w:val="auto"/>
              </w:rPr>
              <w:t>—</w:t>
            </w:r>
          </w:p>
        </w:tc>
        <w:tc>
          <w:tcPr>
            <w:tcW w:w="1360" w:type="dxa"/>
            <w:vAlign w:val="bottom"/>
          </w:tcPr>
          <w:p>
            <w:pPr>
              <w:jc w:val="center"/>
              <w:ind w:left="221"/>
              <w:spacing w:after="0"/>
              <w:rPr>
                <w:sz w:val="20"/>
                <w:szCs w:val="20"/>
                <w:color w:val="auto"/>
              </w:rPr>
            </w:pPr>
            <w:r>
              <w:rPr>
                <w:rFonts w:ascii="Calibri" w:cs="Calibri" w:eastAsia="Calibri" w:hAnsi="Calibri"/>
                <w:sz w:val="16"/>
                <w:szCs w:val="16"/>
                <w:color w:val="auto"/>
              </w:rPr>
              <w:t>275,985</w:t>
            </w:r>
          </w:p>
        </w:tc>
      </w:tr>
      <w:tr>
        <w:trPr>
          <w:trHeight w:val="54"/>
        </w:trPr>
        <w:tc>
          <w:tcPr>
            <w:tcW w:w="214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142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r>
      <w:tr>
        <w:trPr>
          <w:trHeight w:val="249"/>
        </w:trPr>
        <w:tc>
          <w:tcPr>
            <w:tcW w:w="2140" w:type="dxa"/>
            <w:vAlign w:val="bottom"/>
          </w:tcPr>
          <w:p>
            <w:pPr>
              <w:ind w:left="20"/>
              <w:spacing w:after="0"/>
              <w:rPr>
                <w:sz w:val="20"/>
                <w:szCs w:val="20"/>
                <w:color w:val="auto"/>
              </w:rPr>
            </w:pPr>
            <w:r>
              <w:rPr>
                <w:rFonts w:ascii="Calibri" w:cs="Calibri" w:eastAsia="Calibri" w:hAnsi="Calibri"/>
                <w:sz w:val="16"/>
                <w:szCs w:val="16"/>
                <w:color w:val="auto"/>
              </w:rPr>
              <w:t>Thomas J. Gunderson</w:t>
            </w:r>
          </w:p>
        </w:tc>
        <w:tc>
          <w:tcPr>
            <w:tcW w:w="1520" w:type="dxa"/>
            <w:vAlign w:val="bottom"/>
          </w:tcPr>
          <w:p>
            <w:pPr>
              <w:jc w:val="center"/>
              <w:ind w:left="502"/>
              <w:spacing w:after="0"/>
              <w:rPr>
                <w:sz w:val="20"/>
                <w:szCs w:val="20"/>
                <w:color w:val="auto"/>
              </w:rPr>
            </w:pPr>
            <w:r>
              <w:rPr>
                <w:rFonts w:ascii="Calibri" w:cs="Calibri" w:eastAsia="Calibri" w:hAnsi="Calibri"/>
                <w:sz w:val="16"/>
                <w:szCs w:val="16"/>
                <w:color w:val="auto"/>
              </w:rPr>
              <w:t>101,000</w:t>
            </w:r>
          </w:p>
        </w:tc>
        <w:tc>
          <w:tcPr>
            <w:tcW w:w="780" w:type="dxa"/>
            <w:vAlign w:val="bottom"/>
          </w:tcPr>
          <w:p>
            <w:pPr>
              <w:jc w:val="center"/>
              <w:ind w:left="1"/>
              <w:spacing w:after="0"/>
              <w:rPr>
                <w:sz w:val="20"/>
                <w:szCs w:val="20"/>
                <w:color w:val="auto"/>
              </w:rPr>
            </w:pPr>
            <w:r>
              <w:rPr>
                <w:rFonts w:ascii="Calibri" w:cs="Calibri" w:eastAsia="Calibri" w:hAnsi="Calibri"/>
                <w:sz w:val="16"/>
                <w:szCs w:val="16"/>
                <w:color w:val="auto"/>
              </w:rPr>
              <w:t>189,985</w:t>
            </w:r>
          </w:p>
        </w:tc>
        <w:tc>
          <w:tcPr>
            <w:tcW w:w="1420" w:type="dxa"/>
            <w:vAlign w:val="bottom"/>
          </w:tcPr>
          <w:p>
            <w:pPr>
              <w:jc w:val="right"/>
              <w:ind w:right="561"/>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641"/>
              <w:spacing w:after="0"/>
              <w:rPr>
                <w:sz w:val="20"/>
                <w:szCs w:val="20"/>
                <w:color w:val="auto"/>
              </w:rPr>
            </w:pPr>
            <w:r>
              <w:rPr>
                <w:rFonts w:ascii="Calibri" w:cs="Calibri" w:eastAsia="Calibri" w:hAnsi="Calibri"/>
                <w:sz w:val="16"/>
                <w:szCs w:val="16"/>
                <w:color w:val="auto"/>
              </w:rPr>
              <w:t>—</w:t>
            </w:r>
          </w:p>
        </w:tc>
        <w:tc>
          <w:tcPr>
            <w:tcW w:w="1360" w:type="dxa"/>
            <w:vAlign w:val="bottom"/>
          </w:tcPr>
          <w:p>
            <w:pPr>
              <w:jc w:val="center"/>
              <w:ind w:left="221"/>
              <w:spacing w:after="0"/>
              <w:rPr>
                <w:sz w:val="20"/>
                <w:szCs w:val="20"/>
                <w:color w:val="auto"/>
              </w:rPr>
            </w:pPr>
            <w:r>
              <w:rPr>
                <w:rFonts w:ascii="Calibri" w:cs="Calibri" w:eastAsia="Calibri" w:hAnsi="Calibri"/>
                <w:sz w:val="16"/>
                <w:szCs w:val="16"/>
                <w:color w:val="auto"/>
              </w:rPr>
              <w:t>290,985</w:t>
            </w:r>
          </w:p>
        </w:tc>
      </w:tr>
      <w:tr>
        <w:trPr>
          <w:trHeight w:val="55"/>
        </w:trPr>
        <w:tc>
          <w:tcPr>
            <w:tcW w:w="214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142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r>
      <w:tr>
        <w:trPr>
          <w:trHeight w:val="304"/>
        </w:trPr>
        <w:tc>
          <w:tcPr>
            <w:tcW w:w="2140" w:type="dxa"/>
            <w:vAlign w:val="bottom"/>
            <w:tcBorders>
              <w:bottom w:val="single" w:sz="8" w:color="A6A6A6"/>
            </w:tcBorders>
          </w:tcPr>
          <w:p>
            <w:pPr>
              <w:ind w:left="20"/>
              <w:spacing w:after="0"/>
              <w:rPr>
                <w:sz w:val="20"/>
                <w:szCs w:val="20"/>
                <w:color w:val="auto"/>
              </w:rPr>
            </w:pPr>
            <w:r>
              <w:rPr>
                <w:rFonts w:ascii="Calibri" w:cs="Calibri" w:eastAsia="Calibri" w:hAnsi="Calibri"/>
                <w:sz w:val="16"/>
                <w:szCs w:val="16"/>
                <w:color w:val="auto"/>
              </w:rPr>
              <w:t>James T. Hogan</w:t>
            </w:r>
            <w:r>
              <w:rPr>
                <w:rFonts w:ascii="Calibri" w:cs="Calibri" w:eastAsia="Calibri" w:hAnsi="Calibri"/>
                <w:sz w:val="24"/>
                <w:szCs w:val="24"/>
                <w:b w:val="1"/>
                <w:bCs w:val="1"/>
                <w:color w:val="AF0000"/>
                <w:vertAlign w:val="superscript"/>
              </w:rPr>
              <w:t>(3)</w:t>
            </w:r>
          </w:p>
        </w:tc>
        <w:tc>
          <w:tcPr>
            <w:tcW w:w="1520" w:type="dxa"/>
            <w:vAlign w:val="bottom"/>
            <w:tcBorders>
              <w:bottom w:val="single" w:sz="8" w:color="A6A6A6"/>
            </w:tcBorders>
          </w:tcPr>
          <w:p>
            <w:pPr>
              <w:jc w:val="center"/>
              <w:ind w:left="502"/>
              <w:spacing w:after="0"/>
              <w:rPr>
                <w:sz w:val="20"/>
                <w:szCs w:val="20"/>
                <w:color w:val="auto"/>
              </w:rPr>
            </w:pPr>
            <w:r>
              <w:rPr>
                <w:rFonts w:ascii="Calibri" w:cs="Calibri" w:eastAsia="Calibri" w:hAnsi="Calibri"/>
                <w:sz w:val="16"/>
                <w:szCs w:val="16"/>
                <w:color w:val="auto"/>
              </w:rPr>
              <w:t>43,000</w:t>
            </w:r>
          </w:p>
        </w:tc>
        <w:tc>
          <w:tcPr>
            <w:tcW w:w="780" w:type="dxa"/>
            <w:vAlign w:val="bottom"/>
            <w:tcBorders>
              <w:bottom w:val="single" w:sz="8" w:color="A6A6A6"/>
            </w:tcBorders>
          </w:tcPr>
          <w:p>
            <w:pPr>
              <w:jc w:val="center"/>
              <w:ind w:left="1"/>
              <w:spacing w:after="0"/>
              <w:rPr>
                <w:sz w:val="20"/>
                <w:szCs w:val="20"/>
                <w:color w:val="auto"/>
              </w:rPr>
            </w:pPr>
            <w:r>
              <w:rPr>
                <w:rFonts w:ascii="Calibri" w:cs="Calibri" w:eastAsia="Calibri" w:hAnsi="Calibri"/>
                <w:sz w:val="16"/>
                <w:szCs w:val="16"/>
                <w:color w:val="auto"/>
                <w:w w:val="96"/>
              </w:rPr>
              <w:t>—</w:t>
            </w:r>
          </w:p>
        </w:tc>
        <w:tc>
          <w:tcPr>
            <w:tcW w:w="1420" w:type="dxa"/>
            <w:vAlign w:val="bottom"/>
            <w:tcBorders>
              <w:bottom w:val="single" w:sz="8" w:color="A6A6A6"/>
            </w:tcBorders>
          </w:tcPr>
          <w:p>
            <w:pPr>
              <w:jc w:val="right"/>
              <w:ind w:right="561"/>
              <w:spacing w:after="0"/>
              <w:rPr>
                <w:sz w:val="20"/>
                <w:szCs w:val="20"/>
                <w:color w:val="auto"/>
              </w:rPr>
            </w:pPr>
            <w:r>
              <w:rPr>
                <w:rFonts w:ascii="Calibri" w:cs="Calibri" w:eastAsia="Calibri" w:hAnsi="Calibri"/>
                <w:sz w:val="16"/>
                <w:szCs w:val="16"/>
                <w:color w:val="auto"/>
              </w:rPr>
              <w:t>—</w:t>
            </w:r>
          </w:p>
        </w:tc>
        <w:tc>
          <w:tcPr>
            <w:tcW w:w="1360" w:type="dxa"/>
            <w:vAlign w:val="bottom"/>
            <w:tcBorders>
              <w:bottom w:val="single" w:sz="8" w:color="A6A6A6"/>
            </w:tcBorders>
          </w:tcPr>
          <w:p>
            <w:pPr>
              <w:jc w:val="right"/>
              <w:ind w:right="641"/>
              <w:spacing w:after="0"/>
              <w:rPr>
                <w:sz w:val="20"/>
                <w:szCs w:val="20"/>
                <w:color w:val="auto"/>
              </w:rPr>
            </w:pPr>
            <w:r>
              <w:rPr>
                <w:rFonts w:ascii="Calibri" w:cs="Calibri" w:eastAsia="Calibri" w:hAnsi="Calibri"/>
                <w:sz w:val="16"/>
                <w:szCs w:val="16"/>
                <w:color w:val="auto"/>
              </w:rPr>
              <w:t>—</w:t>
            </w:r>
          </w:p>
        </w:tc>
        <w:tc>
          <w:tcPr>
            <w:tcW w:w="1360" w:type="dxa"/>
            <w:vAlign w:val="bottom"/>
            <w:tcBorders>
              <w:bottom w:val="single" w:sz="8" w:color="A6A6A6"/>
            </w:tcBorders>
          </w:tcPr>
          <w:p>
            <w:pPr>
              <w:jc w:val="center"/>
              <w:ind w:left="221"/>
              <w:spacing w:after="0"/>
              <w:rPr>
                <w:sz w:val="20"/>
                <w:szCs w:val="20"/>
                <w:color w:val="auto"/>
              </w:rPr>
            </w:pPr>
            <w:r>
              <w:rPr>
                <w:rFonts w:ascii="Calibri" w:cs="Calibri" w:eastAsia="Calibri" w:hAnsi="Calibri"/>
                <w:sz w:val="16"/>
                <w:szCs w:val="16"/>
                <w:color w:val="auto"/>
              </w:rPr>
              <w:t>43,000</w:t>
            </w:r>
          </w:p>
        </w:tc>
      </w:tr>
      <w:tr>
        <w:trPr>
          <w:trHeight w:val="250"/>
        </w:trPr>
        <w:tc>
          <w:tcPr>
            <w:tcW w:w="2140" w:type="dxa"/>
            <w:vAlign w:val="bottom"/>
          </w:tcPr>
          <w:p>
            <w:pPr>
              <w:ind w:left="20"/>
              <w:spacing w:after="0"/>
              <w:rPr>
                <w:sz w:val="20"/>
                <w:szCs w:val="20"/>
                <w:color w:val="auto"/>
              </w:rPr>
            </w:pPr>
            <w:r>
              <w:rPr>
                <w:rFonts w:ascii="Calibri" w:cs="Calibri" w:eastAsia="Calibri" w:hAnsi="Calibri"/>
                <w:sz w:val="16"/>
                <w:szCs w:val="16"/>
                <w:color w:val="auto"/>
              </w:rPr>
              <w:t>Laura S. Kaiser</w:t>
            </w:r>
          </w:p>
        </w:tc>
        <w:tc>
          <w:tcPr>
            <w:tcW w:w="1520" w:type="dxa"/>
            <w:vAlign w:val="bottom"/>
          </w:tcPr>
          <w:p>
            <w:pPr>
              <w:jc w:val="center"/>
              <w:ind w:left="502"/>
              <w:spacing w:after="0"/>
              <w:rPr>
                <w:sz w:val="20"/>
                <w:szCs w:val="20"/>
                <w:color w:val="auto"/>
              </w:rPr>
            </w:pPr>
            <w:r>
              <w:rPr>
                <w:rFonts w:ascii="Calibri" w:cs="Calibri" w:eastAsia="Calibri" w:hAnsi="Calibri"/>
                <w:sz w:val="16"/>
                <w:szCs w:val="16"/>
                <w:color w:val="auto"/>
              </w:rPr>
              <w:t>86,000</w:t>
            </w:r>
          </w:p>
        </w:tc>
        <w:tc>
          <w:tcPr>
            <w:tcW w:w="780" w:type="dxa"/>
            <w:vAlign w:val="bottom"/>
          </w:tcPr>
          <w:p>
            <w:pPr>
              <w:jc w:val="center"/>
              <w:ind w:left="1"/>
              <w:spacing w:after="0"/>
              <w:rPr>
                <w:sz w:val="20"/>
                <w:szCs w:val="20"/>
                <w:color w:val="auto"/>
              </w:rPr>
            </w:pPr>
            <w:r>
              <w:rPr>
                <w:rFonts w:ascii="Calibri" w:cs="Calibri" w:eastAsia="Calibri" w:hAnsi="Calibri"/>
                <w:sz w:val="16"/>
                <w:szCs w:val="16"/>
                <w:color w:val="auto"/>
              </w:rPr>
              <w:t>189,985</w:t>
            </w:r>
          </w:p>
        </w:tc>
        <w:tc>
          <w:tcPr>
            <w:tcW w:w="1420" w:type="dxa"/>
            <w:vAlign w:val="bottom"/>
          </w:tcPr>
          <w:p>
            <w:pPr>
              <w:jc w:val="right"/>
              <w:ind w:right="561"/>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641"/>
              <w:spacing w:after="0"/>
              <w:rPr>
                <w:sz w:val="20"/>
                <w:szCs w:val="20"/>
                <w:color w:val="auto"/>
              </w:rPr>
            </w:pPr>
            <w:r>
              <w:rPr>
                <w:rFonts w:ascii="Calibri" w:cs="Calibri" w:eastAsia="Calibri" w:hAnsi="Calibri"/>
                <w:sz w:val="16"/>
                <w:szCs w:val="16"/>
                <w:color w:val="auto"/>
              </w:rPr>
              <w:t>—</w:t>
            </w:r>
          </w:p>
        </w:tc>
        <w:tc>
          <w:tcPr>
            <w:tcW w:w="1360" w:type="dxa"/>
            <w:vAlign w:val="bottom"/>
          </w:tcPr>
          <w:p>
            <w:pPr>
              <w:jc w:val="center"/>
              <w:ind w:left="221"/>
              <w:spacing w:after="0"/>
              <w:rPr>
                <w:sz w:val="20"/>
                <w:szCs w:val="20"/>
                <w:color w:val="auto"/>
              </w:rPr>
            </w:pPr>
            <w:r>
              <w:rPr>
                <w:rFonts w:ascii="Calibri" w:cs="Calibri" w:eastAsia="Calibri" w:hAnsi="Calibri"/>
                <w:sz w:val="16"/>
                <w:szCs w:val="16"/>
                <w:color w:val="auto"/>
              </w:rPr>
              <w:t>275,985</w:t>
            </w:r>
          </w:p>
        </w:tc>
      </w:tr>
      <w:tr>
        <w:trPr>
          <w:trHeight w:val="55"/>
        </w:trPr>
        <w:tc>
          <w:tcPr>
            <w:tcW w:w="214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142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r>
      <w:tr>
        <w:trPr>
          <w:trHeight w:val="249"/>
        </w:trPr>
        <w:tc>
          <w:tcPr>
            <w:tcW w:w="2140" w:type="dxa"/>
            <w:vAlign w:val="bottom"/>
          </w:tcPr>
          <w:p>
            <w:pPr>
              <w:ind w:left="20"/>
              <w:spacing w:after="0"/>
              <w:rPr>
                <w:sz w:val="20"/>
                <w:szCs w:val="20"/>
                <w:color w:val="auto"/>
              </w:rPr>
            </w:pPr>
            <w:r>
              <w:rPr>
                <w:rFonts w:ascii="Calibri" w:cs="Calibri" w:eastAsia="Calibri" w:hAnsi="Calibri"/>
                <w:sz w:val="16"/>
                <w:szCs w:val="16"/>
                <w:color w:val="auto"/>
              </w:rPr>
              <w:t>Michael R. McDonnell</w:t>
            </w:r>
          </w:p>
        </w:tc>
        <w:tc>
          <w:tcPr>
            <w:tcW w:w="1520" w:type="dxa"/>
            <w:vAlign w:val="bottom"/>
          </w:tcPr>
          <w:p>
            <w:pPr>
              <w:jc w:val="center"/>
              <w:ind w:left="502"/>
              <w:spacing w:after="0"/>
              <w:rPr>
                <w:sz w:val="20"/>
                <w:szCs w:val="20"/>
                <w:color w:val="auto"/>
              </w:rPr>
            </w:pPr>
            <w:r>
              <w:rPr>
                <w:rFonts w:ascii="Calibri" w:cs="Calibri" w:eastAsia="Calibri" w:hAnsi="Calibri"/>
                <w:sz w:val="16"/>
                <w:szCs w:val="16"/>
                <w:color w:val="auto"/>
              </w:rPr>
              <w:t>86,000</w:t>
            </w:r>
          </w:p>
        </w:tc>
        <w:tc>
          <w:tcPr>
            <w:tcW w:w="780" w:type="dxa"/>
            <w:vAlign w:val="bottom"/>
          </w:tcPr>
          <w:p>
            <w:pPr>
              <w:jc w:val="center"/>
              <w:ind w:left="1"/>
              <w:spacing w:after="0"/>
              <w:rPr>
                <w:sz w:val="20"/>
                <w:szCs w:val="20"/>
                <w:color w:val="auto"/>
              </w:rPr>
            </w:pPr>
            <w:r>
              <w:rPr>
                <w:rFonts w:ascii="Calibri" w:cs="Calibri" w:eastAsia="Calibri" w:hAnsi="Calibri"/>
                <w:sz w:val="16"/>
                <w:szCs w:val="16"/>
                <w:color w:val="auto"/>
              </w:rPr>
              <w:t>189,985</w:t>
            </w:r>
          </w:p>
        </w:tc>
        <w:tc>
          <w:tcPr>
            <w:tcW w:w="1420" w:type="dxa"/>
            <w:vAlign w:val="bottom"/>
          </w:tcPr>
          <w:p>
            <w:pPr>
              <w:jc w:val="right"/>
              <w:ind w:right="561"/>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641"/>
              <w:spacing w:after="0"/>
              <w:rPr>
                <w:sz w:val="20"/>
                <w:szCs w:val="20"/>
                <w:color w:val="auto"/>
              </w:rPr>
            </w:pPr>
            <w:r>
              <w:rPr>
                <w:rFonts w:ascii="Calibri" w:cs="Calibri" w:eastAsia="Calibri" w:hAnsi="Calibri"/>
                <w:sz w:val="16"/>
                <w:szCs w:val="16"/>
                <w:color w:val="auto"/>
              </w:rPr>
              <w:t>—</w:t>
            </w:r>
          </w:p>
        </w:tc>
        <w:tc>
          <w:tcPr>
            <w:tcW w:w="1360" w:type="dxa"/>
            <w:vAlign w:val="bottom"/>
          </w:tcPr>
          <w:p>
            <w:pPr>
              <w:jc w:val="center"/>
              <w:ind w:left="221"/>
              <w:spacing w:after="0"/>
              <w:rPr>
                <w:sz w:val="20"/>
                <w:szCs w:val="20"/>
                <w:color w:val="auto"/>
              </w:rPr>
            </w:pPr>
            <w:r>
              <w:rPr>
                <w:rFonts w:ascii="Calibri" w:cs="Calibri" w:eastAsia="Calibri" w:hAnsi="Calibri"/>
                <w:sz w:val="16"/>
                <w:szCs w:val="16"/>
                <w:color w:val="auto"/>
              </w:rPr>
              <w:t>275,985</w:t>
            </w:r>
          </w:p>
        </w:tc>
      </w:tr>
      <w:tr>
        <w:trPr>
          <w:trHeight w:val="55"/>
        </w:trPr>
        <w:tc>
          <w:tcPr>
            <w:tcW w:w="214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142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r>
      <w:tr>
        <w:trPr>
          <w:trHeight w:val="250"/>
        </w:trPr>
        <w:tc>
          <w:tcPr>
            <w:tcW w:w="2140" w:type="dxa"/>
            <w:vAlign w:val="bottom"/>
          </w:tcPr>
          <w:p>
            <w:pPr>
              <w:ind w:left="20"/>
              <w:spacing w:after="0"/>
              <w:rPr>
                <w:sz w:val="20"/>
                <w:szCs w:val="20"/>
                <w:color w:val="auto"/>
              </w:rPr>
            </w:pPr>
            <w:r>
              <w:rPr>
                <w:rFonts w:ascii="Calibri" w:cs="Calibri" w:eastAsia="Calibri" w:hAnsi="Calibri"/>
                <w:sz w:val="16"/>
                <w:szCs w:val="16"/>
                <w:color w:val="auto"/>
              </w:rPr>
              <w:t>F. Ann Millner, Ed.D.</w:t>
            </w:r>
          </w:p>
        </w:tc>
        <w:tc>
          <w:tcPr>
            <w:tcW w:w="1520" w:type="dxa"/>
            <w:vAlign w:val="bottom"/>
          </w:tcPr>
          <w:p>
            <w:pPr>
              <w:jc w:val="center"/>
              <w:ind w:left="502"/>
              <w:spacing w:after="0"/>
              <w:rPr>
                <w:sz w:val="20"/>
                <w:szCs w:val="20"/>
                <w:color w:val="auto"/>
              </w:rPr>
            </w:pPr>
            <w:r>
              <w:rPr>
                <w:rFonts w:ascii="Calibri" w:cs="Calibri" w:eastAsia="Calibri" w:hAnsi="Calibri"/>
                <w:sz w:val="16"/>
                <w:szCs w:val="16"/>
                <w:color w:val="auto"/>
              </w:rPr>
              <w:t>131,000</w:t>
            </w:r>
          </w:p>
        </w:tc>
        <w:tc>
          <w:tcPr>
            <w:tcW w:w="780" w:type="dxa"/>
            <w:vAlign w:val="bottom"/>
          </w:tcPr>
          <w:p>
            <w:pPr>
              <w:jc w:val="center"/>
              <w:ind w:left="1"/>
              <w:spacing w:after="0"/>
              <w:rPr>
                <w:sz w:val="20"/>
                <w:szCs w:val="20"/>
                <w:color w:val="auto"/>
              </w:rPr>
            </w:pPr>
            <w:r>
              <w:rPr>
                <w:rFonts w:ascii="Calibri" w:cs="Calibri" w:eastAsia="Calibri" w:hAnsi="Calibri"/>
                <w:sz w:val="16"/>
                <w:szCs w:val="16"/>
                <w:color w:val="auto"/>
              </w:rPr>
              <w:t>189,985</w:t>
            </w:r>
          </w:p>
        </w:tc>
        <w:tc>
          <w:tcPr>
            <w:tcW w:w="1420" w:type="dxa"/>
            <w:vAlign w:val="bottom"/>
          </w:tcPr>
          <w:p>
            <w:pPr>
              <w:jc w:val="right"/>
              <w:ind w:right="561"/>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641"/>
              <w:spacing w:after="0"/>
              <w:rPr>
                <w:sz w:val="20"/>
                <w:szCs w:val="20"/>
                <w:color w:val="auto"/>
              </w:rPr>
            </w:pPr>
            <w:r>
              <w:rPr>
                <w:rFonts w:ascii="Calibri" w:cs="Calibri" w:eastAsia="Calibri" w:hAnsi="Calibri"/>
                <w:sz w:val="16"/>
                <w:szCs w:val="16"/>
                <w:color w:val="auto"/>
              </w:rPr>
              <w:t>—</w:t>
            </w:r>
          </w:p>
        </w:tc>
        <w:tc>
          <w:tcPr>
            <w:tcW w:w="1360" w:type="dxa"/>
            <w:vAlign w:val="bottom"/>
          </w:tcPr>
          <w:p>
            <w:pPr>
              <w:jc w:val="center"/>
              <w:ind w:left="221"/>
              <w:spacing w:after="0"/>
              <w:rPr>
                <w:sz w:val="20"/>
                <w:szCs w:val="20"/>
                <w:color w:val="auto"/>
              </w:rPr>
            </w:pPr>
            <w:r>
              <w:rPr>
                <w:rFonts w:ascii="Calibri" w:cs="Calibri" w:eastAsia="Calibri" w:hAnsi="Calibri"/>
                <w:sz w:val="16"/>
                <w:szCs w:val="16"/>
                <w:color w:val="auto"/>
              </w:rPr>
              <w:t>320,985</w:t>
            </w:r>
          </w:p>
        </w:tc>
      </w:tr>
      <w:tr>
        <w:trPr>
          <w:trHeight w:val="55"/>
        </w:trPr>
        <w:tc>
          <w:tcPr>
            <w:tcW w:w="214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142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r>
      <w:tr>
        <w:trPr>
          <w:trHeight w:val="249"/>
        </w:trPr>
        <w:tc>
          <w:tcPr>
            <w:tcW w:w="2140" w:type="dxa"/>
            <w:vAlign w:val="bottom"/>
          </w:tcPr>
          <w:p>
            <w:pPr>
              <w:ind w:left="20"/>
              <w:spacing w:after="0"/>
              <w:rPr>
                <w:sz w:val="20"/>
                <w:szCs w:val="20"/>
                <w:color w:val="auto"/>
              </w:rPr>
            </w:pPr>
            <w:r>
              <w:rPr>
                <w:rFonts w:ascii="Calibri" w:cs="Calibri" w:eastAsia="Calibri" w:hAnsi="Calibri"/>
                <w:sz w:val="16"/>
                <w:szCs w:val="16"/>
                <w:color w:val="auto"/>
              </w:rPr>
              <w:t>Lynne N. Ward</w:t>
            </w:r>
          </w:p>
        </w:tc>
        <w:tc>
          <w:tcPr>
            <w:tcW w:w="1520" w:type="dxa"/>
            <w:vAlign w:val="bottom"/>
          </w:tcPr>
          <w:p>
            <w:pPr>
              <w:jc w:val="center"/>
              <w:ind w:left="502"/>
              <w:spacing w:after="0"/>
              <w:rPr>
                <w:sz w:val="20"/>
                <w:szCs w:val="20"/>
                <w:color w:val="auto"/>
              </w:rPr>
            </w:pPr>
            <w:r>
              <w:rPr>
                <w:rFonts w:ascii="Calibri" w:cs="Calibri" w:eastAsia="Calibri" w:hAnsi="Calibri"/>
                <w:sz w:val="16"/>
                <w:szCs w:val="16"/>
                <w:color w:val="auto"/>
              </w:rPr>
              <w:t>106,000</w:t>
            </w:r>
          </w:p>
        </w:tc>
        <w:tc>
          <w:tcPr>
            <w:tcW w:w="780" w:type="dxa"/>
            <w:vAlign w:val="bottom"/>
          </w:tcPr>
          <w:p>
            <w:pPr>
              <w:jc w:val="center"/>
              <w:ind w:left="1"/>
              <w:spacing w:after="0"/>
              <w:rPr>
                <w:sz w:val="20"/>
                <w:szCs w:val="20"/>
                <w:color w:val="auto"/>
              </w:rPr>
            </w:pPr>
            <w:r>
              <w:rPr>
                <w:rFonts w:ascii="Calibri" w:cs="Calibri" w:eastAsia="Calibri" w:hAnsi="Calibri"/>
                <w:sz w:val="16"/>
                <w:szCs w:val="16"/>
                <w:color w:val="auto"/>
              </w:rPr>
              <w:t>189,985</w:t>
            </w:r>
          </w:p>
        </w:tc>
        <w:tc>
          <w:tcPr>
            <w:tcW w:w="1420" w:type="dxa"/>
            <w:vAlign w:val="bottom"/>
          </w:tcPr>
          <w:p>
            <w:pPr>
              <w:jc w:val="right"/>
              <w:ind w:right="561"/>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641"/>
              <w:spacing w:after="0"/>
              <w:rPr>
                <w:sz w:val="20"/>
                <w:szCs w:val="20"/>
                <w:color w:val="auto"/>
              </w:rPr>
            </w:pPr>
            <w:r>
              <w:rPr>
                <w:rFonts w:ascii="Calibri" w:cs="Calibri" w:eastAsia="Calibri" w:hAnsi="Calibri"/>
                <w:sz w:val="16"/>
                <w:szCs w:val="16"/>
                <w:color w:val="auto"/>
              </w:rPr>
              <w:t>—</w:t>
            </w:r>
          </w:p>
        </w:tc>
        <w:tc>
          <w:tcPr>
            <w:tcW w:w="1360" w:type="dxa"/>
            <w:vAlign w:val="bottom"/>
          </w:tcPr>
          <w:p>
            <w:pPr>
              <w:jc w:val="center"/>
              <w:ind w:left="221"/>
              <w:spacing w:after="0"/>
              <w:rPr>
                <w:sz w:val="20"/>
                <w:szCs w:val="20"/>
                <w:color w:val="auto"/>
              </w:rPr>
            </w:pPr>
            <w:r>
              <w:rPr>
                <w:rFonts w:ascii="Calibri" w:cs="Calibri" w:eastAsia="Calibri" w:hAnsi="Calibri"/>
                <w:sz w:val="16"/>
                <w:szCs w:val="16"/>
                <w:color w:val="auto"/>
              </w:rPr>
              <w:t>295,985</w:t>
            </w:r>
          </w:p>
        </w:tc>
      </w:tr>
      <w:tr>
        <w:trPr>
          <w:trHeight w:val="62"/>
        </w:trPr>
        <w:tc>
          <w:tcPr>
            <w:tcW w:w="2140" w:type="dxa"/>
            <w:vAlign w:val="bottom"/>
            <w:tcBorders>
              <w:bottom w:val="single" w:sz="8" w:color="AF0000"/>
            </w:tcBorders>
          </w:tcPr>
          <w:p>
            <w:pPr>
              <w:spacing w:after="0"/>
              <w:rPr>
                <w:sz w:val="5"/>
                <w:szCs w:val="5"/>
                <w:color w:val="auto"/>
              </w:rPr>
            </w:pPr>
          </w:p>
        </w:tc>
        <w:tc>
          <w:tcPr>
            <w:tcW w:w="1520" w:type="dxa"/>
            <w:vAlign w:val="bottom"/>
            <w:tcBorders>
              <w:bottom w:val="single" w:sz="8" w:color="AF0000"/>
            </w:tcBorders>
          </w:tcPr>
          <w:p>
            <w:pPr>
              <w:spacing w:after="0"/>
              <w:rPr>
                <w:sz w:val="5"/>
                <w:szCs w:val="5"/>
                <w:color w:val="auto"/>
              </w:rPr>
            </w:pPr>
          </w:p>
        </w:tc>
        <w:tc>
          <w:tcPr>
            <w:tcW w:w="780" w:type="dxa"/>
            <w:vAlign w:val="bottom"/>
            <w:tcBorders>
              <w:bottom w:val="single" w:sz="8" w:color="AF0000"/>
            </w:tcBorders>
          </w:tcPr>
          <w:p>
            <w:pPr>
              <w:spacing w:after="0"/>
              <w:rPr>
                <w:sz w:val="5"/>
                <w:szCs w:val="5"/>
                <w:color w:val="auto"/>
              </w:rPr>
            </w:pPr>
          </w:p>
        </w:tc>
        <w:tc>
          <w:tcPr>
            <w:tcW w:w="1420" w:type="dxa"/>
            <w:vAlign w:val="bottom"/>
            <w:tcBorders>
              <w:bottom w:val="single" w:sz="8" w:color="AF0000"/>
            </w:tcBorders>
          </w:tcPr>
          <w:p>
            <w:pPr>
              <w:spacing w:after="0"/>
              <w:rPr>
                <w:sz w:val="5"/>
                <w:szCs w:val="5"/>
                <w:color w:val="auto"/>
              </w:rPr>
            </w:pPr>
          </w:p>
        </w:tc>
        <w:tc>
          <w:tcPr>
            <w:tcW w:w="1360" w:type="dxa"/>
            <w:vAlign w:val="bottom"/>
            <w:tcBorders>
              <w:bottom w:val="single" w:sz="8" w:color="AF0000"/>
            </w:tcBorders>
          </w:tcPr>
          <w:p>
            <w:pPr>
              <w:spacing w:after="0"/>
              <w:rPr>
                <w:sz w:val="5"/>
                <w:szCs w:val="5"/>
                <w:color w:val="auto"/>
              </w:rPr>
            </w:pPr>
          </w:p>
        </w:tc>
        <w:tc>
          <w:tcPr>
            <w:tcW w:w="1360" w:type="dxa"/>
            <w:vAlign w:val="bottom"/>
            <w:tcBorders>
              <w:bottom w:val="single" w:sz="8" w:color="AF0000"/>
            </w:tcBorders>
          </w:tcPr>
          <w:p>
            <w:pPr>
              <w:spacing w:after="0"/>
              <w:rPr>
                <w:sz w:val="5"/>
                <w:szCs w:val="5"/>
                <w:color w:val="auto"/>
              </w:rPr>
            </w:pPr>
          </w:p>
        </w:tc>
      </w:tr>
    </w:tbl>
    <w:p>
      <w:pPr>
        <w:spacing w:after="0" w:line="90" w:lineRule="exact"/>
        <w:rPr>
          <w:sz w:val="20"/>
          <w:szCs w:val="20"/>
          <w:color w:val="auto"/>
        </w:rPr>
      </w:pPr>
    </w:p>
    <w:p>
      <w:pPr>
        <w:ind w:left="540" w:right="219" w:hanging="331"/>
        <w:spacing w:after="0" w:line="239" w:lineRule="auto"/>
        <w:tabs>
          <w:tab w:leader="none" w:pos="540" w:val="left"/>
        </w:tabs>
        <w:numPr>
          <w:ilvl w:val="0"/>
          <w:numId w:val="50"/>
        </w:numPr>
        <w:rPr>
          <w:rFonts w:ascii="Calibri" w:cs="Calibri" w:eastAsia="Calibri" w:hAnsi="Calibri"/>
          <w:sz w:val="16"/>
          <w:szCs w:val="16"/>
          <w:color w:val="AF0000"/>
        </w:rPr>
      </w:pPr>
      <w:r>
        <w:rPr>
          <w:rFonts w:ascii="Calibri" w:cs="Calibri" w:eastAsia="Calibri" w:hAnsi="Calibri"/>
          <w:sz w:val="16"/>
          <w:szCs w:val="16"/>
          <w:color w:val="auto"/>
        </w:rPr>
        <w:t>Fred P. Lampropoulos served as a director of the Company during 2023 but is not identfed in the foregoing director summary compensaton table because of his dual status as an NEO and director. Informaton regarding Mr. Lampropoulos’ 2023 compensaton can be found under “Executve Compensaton” below.</w:t>
      </w:r>
    </w:p>
    <w:p>
      <w:pPr>
        <w:spacing w:after="0" w:line="1" w:lineRule="exact"/>
        <w:rPr>
          <w:rFonts w:ascii="Calibri" w:cs="Calibri" w:eastAsia="Calibri" w:hAnsi="Calibri"/>
          <w:sz w:val="16"/>
          <w:szCs w:val="16"/>
          <w:color w:val="AF0000"/>
        </w:rPr>
      </w:pPr>
    </w:p>
    <w:p>
      <w:pPr>
        <w:jc w:val="both"/>
        <w:ind w:left="540" w:right="399" w:hanging="331"/>
        <w:spacing w:after="0" w:line="237" w:lineRule="auto"/>
        <w:tabs>
          <w:tab w:leader="none" w:pos="540" w:val="left"/>
        </w:tabs>
        <w:numPr>
          <w:ilvl w:val="0"/>
          <w:numId w:val="50"/>
        </w:numPr>
        <w:rPr>
          <w:rFonts w:ascii="Calibri" w:cs="Calibri" w:eastAsia="Calibri" w:hAnsi="Calibri"/>
          <w:sz w:val="16"/>
          <w:szCs w:val="16"/>
          <w:color w:val="AF0000"/>
        </w:rPr>
      </w:pPr>
      <w:r>
        <w:rPr>
          <w:rFonts w:ascii="Calibri" w:cs="Calibri" w:eastAsia="Calibri" w:hAnsi="Calibri"/>
          <w:sz w:val="16"/>
          <w:szCs w:val="16"/>
          <w:color w:val="auto"/>
        </w:rPr>
        <w:t>The amounts shown for stock awards refect the aggregate grant date fair value of restricted stock units granted to the non-employee directors in 2023. We calculated these amounts in accordance with fnancial statement reportng rules, using the same assumptons we used for fnancial statement reportng purposes pursuant to our long-term incentve plans.</w:t>
      </w:r>
    </w:p>
    <w:p>
      <w:pPr>
        <w:spacing w:after="0" w:line="1" w:lineRule="exact"/>
        <w:rPr>
          <w:rFonts w:ascii="Calibri" w:cs="Calibri" w:eastAsia="Calibri" w:hAnsi="Calibri"/>
          <w:sz w:val="16"/>
          <w:szCs w:val="16"/>
          <w:color w:val="AF0000"/>
        </w:rPr>
      </w:pPr>
    </w:p>
    <w:p>
      <w:pPr>
        <w:ind w:left="540" w:right="279"/>
        <w:spacing w:after="0" w:line="236" w:lineRule="auto"/>
        <w:rPr>
          <w:rFonts w:ascii="Calibri" w:cs="Calibri" w:eastAsia="Calibri" w:hAnsi="Calibri"/>
          <w:sz w:val="16"/>
          <w:szCs w:val="16"/>
          <w:color w:val="AF0000"/>
        </w:rPr>
      </w:pPr>
      <w:r>
        <w:rPr>
          <w:rFonts w:ascii="Calibri" w:cs="Calibri" w:eastAsia="Calibri" w:hAnsi="Calibri"/>
          <w:sz w:val="16"/>
          <w:szCs w:val="16"/>
          <w:color w:val="auto"/>
        </w:rPr>
        <w:t>Assumptons used in the calculaton of these amounts are included in footnotes to our Annual Report. As of December 31, 2023, all current non-employee directors held 2,262 restricted stock units. As of December 31, 2023, non-employee directors held outstanding optons for the following number of shares: Mr. Anderson, 21,250; Mr. Gunderson, 71,250; Dr. Millner, 66,250; and Ms. Ward, 5,433.</w:t>
      </w:r>
    </w:p>
    <w:p>
      <w:pPr>
        <w:spacing w:after="0" w:line="1" w:lineRule="exact"/>
        <w:rPr>
          <w:rFonts w:ascii="Calibri" w:cs="Calibri" w:eastAsia="Calibri" w:hAnsi="Calibri"/>
          <w:sz w:val="16"/>
          <w:szCs w:val="16"/>
          <w:color w:val="AF0000"/>
        </w:rPr>
      </w:pPr>
    </w:p>
    <w:p>
      <w:pPr>
        <w:ind w:left="540" w:hanging="331"/>
        <w:spacing w:after="0" w:line="232" w:lineRule="auto"/>
        <w:tabs>
          <w:tab w:leader="none" w:pos="540" w:val="left"/>
        </w:tabs>
        <w:numPr>
          <w:ilvl w:val="0"/>
          <w:numId w:val="50"/>
        </w:numPr>
        <w:rPr>
          <w:rFonts w:ascii="Calibri" w:cs="Calibri" w:eastAsia="Calibri" w:hAnsi="Calibri"/>
          <w:sz w:val="16"/>
          <w:szCs w:val="16"/>
          <w:color w:val="AF0000"/>
        </w:rPr>
      </w:pPr>
      <w:r>
        <w:rPr>
          <w:rFonts w:ascii="Calibri" w:cs="Calibri" w:eastAsia="Calibri" w:hAnsi="Calibri"/>
          <w:sz w:val="16"/>
          <w:szCs w:val="16"/>
          <w:color w:val="auto"/>
        </w:rPr>
        <w:t>James T. Hogan served as a director of the Company untl the expiraton of his term on May 18, 2023.</w:t>
      </w:r>
    </w:p>
    <w:p>
      <w:pPr>
        <w:spacing w:after="0" w:line="163"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Related Person Maters</w:t>
      </w:r>
    </w:p>
    <w:p>
      <w:pPr>
        <w:spacing w:after="0" w:line="201"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Policies and Procedures Regarding Transactons with Related Persons</w:t>
      </w:r>
    </w:p>
    <w:p>
      <w:pPr>
        <w:spacing w:after="0" w:line="146" w:lineRule="exact"/>
        <w:rPr>
          <w:sz w:val="20"/>
          <w:szCs w:val="20"/>
          <w:color w:val="auto"/>
        </w:rPr>
      </w:pPr>
    </w:p>
    <w:p>
      <w:pPr>
        <w:ind w:left="200" w:right="359"/>
        <w:spacing w:after="0" w:line="235" w:lineRule="auto"/>
        <w:rPr>
          <w:sz w:val="20"/>
          <w:szCs w:val="20"/>
          <w:color w:val="auto"/>
        </w:rPr>
      </w:pPr>
      <w:r>
        <w:rPr>
          <w:rFonts w:ascii="Calibri" w:cs="Calibri" w:eastAsia="Calibri" w:hAnsi="Calibri"/>
          <w:sz w:val="18"/>
          <w:szCs w:val="18"/>
          <w:color w:val="auto"/>
        </w:rPr>
        <w:t>Our Code of Conduct requires that every employee avoid situatons where loyaltes may be divided between our interests and the employee’s own interests. Employees and directors must avoid conficts of interest that interfere with the performance of their dutes or are not in our best interests.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35" w:name="page36"/>
    <w:bookmarkEnd w:id="35"/>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CORPORATE GOVERNANCE AND RELATED MATTERS</w:t>
      </w:r>
    </w:p>
    <w:p>
      <w:pPr>
        <w:spacing w:after="0" w:line="136"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Pursuant to its writen charter, the Audit Commitee reviews and approves all “related party transactons” (as such term</w:t>
      </w:r>
    </w:p>
    <w:p>
      <w:pPr>
        <w:spacing w:after="0" w:line="4"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is used by ASC Topic 850 Related Party Disclosures) involving executve ofcers and directors, or as otherwise may be</w:t>
      </w:r>
    </w:p>
    <w:p>
      <w:pPr>
        <w:ind w:left="200"/>
        <w:spacing w:after="0" w:line="235" w:lineRule="auto"/>
        <w:rPr>
          <w:sz w:val="20"/>
          <w:szCs w:val="20"/>
          <w:color w:val="auto"/>
        </w:rPr>
      </w:pPr>
      <w:r>
        <w:rPr>
          <w:rFonts w:ascii="Calibri" w:cs="Calibri" w:eastAsia="Calibri" w:hAnsi="Calibri"/>
          <w:sz w:val="18"/>
          <w:szCs w:val="18"/>
          <w:color w:val="auto"/>
        </w:rPr>
        <w:t>required to be disclosed in our fnancial statements or periodic flings with the Securites and Exchange Commission</w:t>
      </w:r>
    </w:p>
    <w:p>
      <w:pPr>
        <w:ind w:left="200"/>
        <w:spacing w:after="0" w:line="236"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F0000"/>
        </w:rPr>
        <w:t>SEC</w:t>
      </w:r>
      <w:r>
        <w:rPr>
          <w:rFonts w:ascii="Calibri" w:cs="Calibri" w:eastAsia="Calibri" w:hAnsi="Calibri"/>
          <w:sz w:val="18"/>
          <w:szCs w:val="18"/>
          <w:color w:val="auto"/>
        </w:rPr>
        <w:t>) (including under Item 404 of Regulaton S-K under the Securites Act of 1933, as amended (</w:t>
      </w:r>
      <w:r>
        <w:rPr>
          <w:rFonts w:ascii="Calibri" w:cs="Calibri" w:eastAsia="Calibri" w:hAnsi="Calibri"/>
          <w:sz w:val="18"/>
          <w:szCs w:val="18"/>
          <w:u w:val="single" w:color="auto"/>
          <w:color w:val="AF0000"/>
        </w:rPr>
        <w:t>Securites Act</w:t>
      </w:r>
      <w:r>
        <w:rPr>
          <w:rFonts w:ascii="Calibri" w:cs="Calibri" w:eastAsia="Calibri" w:hAnsi="Calibri"/>
          <w:sz w:val="18"/>
          <w:szCs w:val="18"/>
          <w:color w:val="auto"/>
        </w:rPr>
        <w:t>), other</w:t>
      </w:r>
    </w:p>
    <w:p>
      <w:pPr>
        <w:ind w:left="200"/>
        <w:spacing w:after="0" w:line="236" w:lineRule="auto"/>
        <w:rPr>
          <w:sz w:val="20"/>
          <w:szCs w:val="20"/>
          <w:color w:val="auto"/>
        </w:rPr>
      </w:pPr>
      <w:r>
        <w:rPr>
          <w:rFonts w:ascii="Calibri" w:cs="Calibri" w:eastAsia="Calibri" w:hAnsi="Calibri"/>
          <w:sz w:val="18"/>
          <w:szCs w:val="18"/>
          <w:color w:val="auto"/>
        </w:rPr>
        <w:t>than:</w:t>
      </w:r>
    </w:p>
    <w:p>
      <w:pPr>
        <w:spacing w:after="0" w:line="172" w:lineRule="exact"/>
        <w:rPr>
          <w:sz w:val="20"/>
          <w:szCs w:val="20"/>
          <w:color w:val="auto"/>
        </w:rPr>
      </w:pPr>
    </w:p>
    <w:p>
      <w:pPr>
        <w:ind w:left="540" w:hanging="331"/>
        <w:spacing w:after="0"/>
        <w:tabs>
          <w:tab w:leader="none" w:pos="540" w:val="left"/>
        </w:tabs>
        <w:numPr>
          <w:ilvl w:val="0"/>
          <w:numId w:val="5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grants of stock optons made by the Board or any commitee thereof or pursuant to an automatc grant plan; and</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5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payment of compensaton authorized by the Board or any commitee thereof.</w:t>
      </w:r>
    </w:p>
    <w:p>
      <w:pPr>
        <w:spacing w:after="0" w:line="177" w:lineRule="exact"/>
        <w:rPr>
          <w:sz w:val="20"/>
          <w:szCs w:val="20"/>
          <w:color w:val="auto"/>
        </w:rPr>
      </w:pPr>
    </w:p>
    <w:p>
      <w:pPr>
        <w:ind w:left="200" w:right="499"/>
        <w:spacing w:after="0" w:line="235" w:lineRule="auto"/>
        <w:rPr>
          <w:sz w:val="20"/>
          <w:szCs w:val="20"/>
          <w:color w:val="auto"/>
        </w:rPr>
      </w:pPr>
      <w:r>
        <w:rPr>
          <w:rFonts w:ascii="Calibri" w:cs="Calibri" w:eastAsia="Calibri" w:hAnsi="Calibri"/>
          <w:sz w:val="18"/>
          <w:szCs w:val="18"/>
          <w:color w:val="auto"/>
        </w:rPr>
        <w:t xml:space="preserve">A </w:t>
      </w:r>
      <w:r>
        <w:rPr>
          <w:rFonts w:ascii="Calibri" w:cs="Calibri" w:eastAsia="Calibri" w:hAnsi="Calibri"/>
          <w:sz w:val="18"/>
          <w:szCs w:val="18"/>
          <w:u w:val="single" w:color="auto"/>
          <w:color w:val="AF0000"/>
        </w:rPr>
        <w:t>Related Person Transacton</w:t>
      </w:r>
      <w:r>
        <w:rPr>
          <w:rFonts w:ascii="Calibri" w:cs="Calibri" w:eastAsia="Calibri" w:hAnsi="Calibri"/>
          <w:sz w:val="18"/>
          <w:szCs w:val="18"/>
          <w:color w:val="auto"/>
        </w:rPr>
        <w:t xml:space="preserve"> is a transacton, arrangement or relatonship (or any series of similar transactons, arrangements or relatonships) in which the Company (including any of its subsidiaries) was, is or will be a partcipant and, as relates to directors or shareholders who have an ownership interest in the Company of more than 5%, the amount involved exceeds $120,000, and in which any Related Person (defned below) had, has or will have a direct or indirect material interest.</w:t>
      </w:r>
    </w:p>
    <w:p>
      <w:pPr>
        <w:spacing w:after="0" w:line="180" w:lineRule="exact"/>
        <w:rPr>
          <w:sz w:val="20"/>
          <w:szCs w:val="20"/>
          <w:color w:val="auto"/>
        </w:rPr>
      </w:pPr>
    </w:p>
    <w:p>
      <w:pPr>
        <w:ind w:left="200" w:right="239"/>
        <w:spacing w:after="0" w:line="235" w:lineRule="auto"/>
        <w:rPr>
          <w:sz w:val="20"/>
          <w:szCs w:val="20"/>
          <w:color w:val="auto"/>
        </w:rPr>
      </w:pPr>
      <w:r>
        <w:rPr>
          <w:rFonts w:ascii="Calibri" w:cs="Calibri" w:eastAsia="Calibri" w:hAnsi="Calibri"/>
          <w:sz w:val="18"/>
          <w:szCs w:val="18"/>
          <w:color w:val="auto"/>
        </w:rPr>
        <w:t xml:space="preserve">A </w:t>
      </w:r>
      <w:r>
        <w:rPr>
          <w:rFonts w:ascii="Calibri" w:cs="Calibri" w:eastAsia="Calibri" w:hAnsi="Calibri"/>
          <w:sz w:val="18"/>
          <w:szCs w:val="18"/>
          <w:u w:val="single" w:color="auto"/>
          <w:color w:val="AF0000"/>
        </w:rPr>
        <w:t>Related Person</w:t>
      </w:r>
      <w:r>
        <w:rPr>
          <w:rFonts w:ascii="Calibri" w:cs="Calibri" w:eastAsia="Calibri" w:hAnsi="Calibri"/>
          <w:sz w:val="18"/>
          <w:szCs w:val="18"/>
          <w:color w:val="auto"/>
        </w:rPr>
        <w:t xml:space="preserve"> includes ofcers, directors, nominees, fve percent benefcial owners and their respectve immediate family members (which in turn includes person’s spouse, parents, siblings, children, in-laws, step relatves, and any other person sharing the household (other than a tenant or household employee)).</w:t>
      </w:r>
    </w:p>
    <w:p>
      <w:pPr>
        <w:spacing w:after="0" w:line="178" w:lineRule="exact"/>
        <w:rPr>
          <w:sz w:val="20"/>
          <w:szCs w:val="20"/>
          <w:color w:val="auto"/>
        </w:rPr>
      </w:pPr>
    </w:p>
    <w:p>
      <w:pPr>
        <w:ind w:left="200" w:right="219"/>
        <w:spacing w:after="0" w:line="232" w:lineRule="auto"/>
        <w:rPr>
          <w:sz w:val="20"/>
          <w:szCs w:val="20"/>
          <w:color w:val="auto"/>
        </w:rPr>
      </w:pPr>
      <w:r>
        <w:rPr>
          <w:rFonts w:ascii="Calibri" w:cs="Calibri" w:eastAsia="Calibri" w:hAnsi="Calibri"/>
          <w:sz w:val="18"/>
          <w:szCs w:val="18"/>
          <w:color w:val="auto"/>
        </w:rPr>
        <w:t>Related Person Transactons include transactons between the Company and its executve ofcers and directors. We have adopted writen policies and procedures regarding the identfcaton of Related Persons and Related Person Transactons and the approval process for such transactons. The Audit Commitee considers each Related Person Transacton in light of the specifc facts and circumstances presented, including but not limited to the risks, costs and benefts to the Company and the availability from other sources of comparable services or products.</w:t>
      </w:r>
    </w:p>
    <w:p>
      <w:pPr>
        <w:spacing w:after="0" w:line="182"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Certain Related Person Transactons</w:t>
      </w:r>
    </w:p>
    <w:p>
      <w:pPr>
        <w:spacing w:after="0" w:line="146" w:lineRule="exact"/>
        <w:rPr>
          <w:sz w:val="20"/>
          <w:szCs w:val="20"/>
          <w:color w:val="auto"/>
        </w:rPr>
      </w:pPr>
    </w:p>
    <w:p>
      <w:pPr>
        <w:ind w:left="200" w:right="379"/>
        <w:spacing w:after="0" w:line="231" w:lineRule="auto"/>
        <w:rPr>
          <w:sz w:val="20"/>
          <w:szCs w:val="20"/>
          <w:color w:val="auto"/>
        </w:rPr>
      </w:pPr>
      <w:r>
        <w:rPr>
          <w:rFonts w:ascii="Calibri" w:cs="Calibri" w:eastAsia="Calibri" w:hAnsi="Calibri"/>
          <w:sz w:val="18"/>
          <w:szCs w:val="18"/>
          <w:color w:val="auto"/>
        </w:rPr>
        <w:t>Joseph C. Wright, Chief Commercial Ofcer of the Company, is the brother-in-law of Fred P. Lampropoulos, Chair of the Board, CEO and President of the Company. In 2023, we provided to Mr. Wright total cash and equity compensaton of $2,814,511. Refer to the Summary Compensaton Table on Page 58 for additonal informaton regarding his compensaton.</w:t>
      </w:r>
    </w:p>
    <w:p>
      <w:pPr>
        <w:spacing w:after="0" w:line="180" w:lineRule="exact"/>
        <w:rPr>
          <w:sz w:val="20"/>
          <w:szCs w:val="20"/>
          <w:color w:val="auto"/>
        </w:rPr>
      </w:pPr>
    </w:p>
    <w:p>
      <w:pPr>
        <w:ind w:left="200" w:right="219"/>
        <w:spacing w:after="0" w:line="235" w:lineRule="auto"/>
        <w:rPr>
          <w:sz w:val="20"/>
          <w:szCs w:val="20"/>
          <w:color w:val="auto"/>
        </w:rPr>
      </w:pPr>
      <w:r>
        <w:rPr>
          <w:rFonts w:ascii="Calibri" w:cs="Calibri" w:eastAsia="Calibri" w:hAnsi="Calibri"/>
          <w:sz w:val="18"/>
          <w:szCs w:val="18"/>
          <w:color w:val="auto"/>
        </w:rPr>
        <w:t>The Board, actng through the Audit Commitee, believes that the Related Person Transacton between the Company and Mr. Wright is reasonable and fair to the Company.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32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36" w:name="page37"/>
    <w:bookmarkEnd w:id="36"/>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EXECUTIVE COMPENSATION AND RELATED MATTERS</w:t>
      </w:r>
    </w:p>
    <w:p>
      <w:pPr>
        <w:spacing w:after="0" w:line="158" w:lineRule="exact"/>
        <w:rPr>
          <w:sz w:val="20"/>
          <w:szCs w:val="20"/>
          <w:color w:val="auto"/>
        </w:rPr>
      </w:pPr>
    </w:p>
    <w:p>
      <w:pPr>
        <w:ind w:left="200"/>
        <w:spacing w:after="0"/>
        <w:rPr>
          <w:sz w:val="20"/>
          <w:szCs w:val="20"/>
          <w:color w:val="auto"/>
        </w:rPr>
      </w:pPr>
      <w:r>
        <w:rPr>
          <w:rFonts w:ascii="Calibri" w:cs="Calibri" w:eastAsia="Calibri" w:hAnsi="Calibri"/>
          <w:sz w:val="32"/>
          <w:szCs w:val="32"/>
          <w:b w:val="1"/>
          <w:bCs w:val="1"/>
          <w:color w:val="FFFFFF"/>
        </w:rPr>
        <w:t>EXECUTIVE COMPENSATION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-221615</wp:posOffset>
            </wp:positionV>
            <wp:extent cx="5452110" cy="24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52110" cy="240030"/>
                    </a:xfrm>
                    <a:prstGeom prst="rect">
                      <a:avLst/>
                    </a:prstGeom>
                    <a:noFill/>
                  </pic:spPr>
                </pic:pic>
              </a:graphicData>
            </a:graphic>
          </wp:anchor>
        </w:drawing>
      </w:r>
    </w:p>
    <w:p>
      <w:pPr>
        <w:spacing w:after="0" w:line="156"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Executve Summary</w:t>
      </w:r>
    </w:p>
    <w:p>
      <w:pPr>
        <w:spacing w:after="0" w:line="186" w:lineRule="exact"/>
        <w:rPr>
          <w:sz w:val="20"/>
          <w:szCs w:val="20"/>
          <w:color w:val="auto"/>
        </w:rPr>
      </w:pPr>
    </w:p>
    <w:p>
      <w:pPr>
        <w:ind w:left="200" w:right="379"/>
        <w:spacing w:after="0" w:line="235" w:lineRule="auto"/>
        <w:rPr>
          <w:sz w:val="20"/>
          <w:szCs w:val="20"/>
          <w:color w:val="auto"/>
        </w:rPr>
      </w:pPr>
      <w:r>
        <w:rPr>
          <w:rFonts w:ascii="Calibri" w:cs="Calibri" w:eastAsia="Calibri" w:hAnsi="Calibri"/>
          <w:sz w:val="18"/>
          <w:szCs w:val="18"/>
          <w:color w:val="auto"/>
        </w:rPr>
        <w:t>In 2023, we observed a generally improving operatng environment, as compared to the years during the Covid-19 pandemic, with fewer restrictons on electve and deferrable procedures. Consequently, we achieved record sales of $1.257 billion, up $106.4 million or 9.2%, compared to 2022 sales of $1.151 billion. Our 2023 revenue results were driven primarily by stronger-than-antcipated demand for our products in the U.S. and more favorable than antcipated internatonal sales trends, partcularly in the EMEA and “Rest of World” regions.</w:t>
      </w:r>
    </w:p>
    <w:p>
      <w:pPr>
        <w:spacing w:after="0" w:line="180" w:lineRule="exact"/>
        <w:rPr>
          <w:sz w:val="20"/>
          <w:szCs w:val="20"/>
          <w:color w:val="auto"/>
        </w:rPr>
      </w:pPr>
    </w:p>
    <w:p>
      <w:pPr>
        <w:ind w:left="200" w:right="379"/>
        <w:spacing w:after="0" w:line="232" w:lineRule="auto"/>
        <w:rPr>
          <w:sz w:val="20"/>
          <w:szCs w:val="20"/>
          <w:color w:val="auto"/>
        </w:rPr>
      </w:pPr>
      <w:r>
        <w:rPr>
          <w:rFonts w:ascii="Calibri" w:cs="Calibri" w:eastAsia="Calibri" w:hAnsi="Calibri"/>
          <w:sz w:val="18"/>
          <w:szCs w:val="18"/>
          <w:color w:val="auto"/>
        </w:rPr>
        <w:t>In 2023, we completed the third and fnal year of the Foundatons for Growth Program, a corporate transformaton initatve with mult-year fnancial targets for growth and improved proftability delivering or exceeding each of the fnancial targets we outlined for the three-year period. On February 28, 2024, we introduced the “Contnued Growth Initatves” Program, which established new mult-year fnancial targets for the three-year period ending December 31, 2026.</w:t>
      </w:r>
    </w:p>
    <w:p>
      <w:pPr>
        <w:spacing w:after="0" w:line="180" w:lineRule="exact"/>
        <w:rPr>
          <w:sz w:val="20"/>
          <w:szCs w:val="20"/>
          <w:color w:val="auto"/>
        </w:rPr>
      </w:pPr>
    </w:p>
    <w:p>
      <w:pPr>
        <w:jc w:val="both"/>
        <w:ind w:left="200" w:right="319"/>
        <w:spacing w:after="0" w:line="235" w:lineRule="auto"/>
        <w:rPr>
          <w:sz w:val="20"/>
          <w:szCs w:val="20"/>
          <w:color w:val="auto"/>
        </w:rPr>
      </w:pPr>
      <w:r>
        <w:rPr>
          <w:rFonts w:ascii="Calibri" w:cs="Calibri" w:eastAsia="Calibri" w:hAnsi="Calibri"/>
          <w:sz w:val="18"/>
          <w:szCs w:val="18"/>
          <w:color w:val="auto"/>
        </w:rPr>
        <w:t>In February 2023, we received FDA “Breakthrough Device Designaton” for the SCOUT® MD™ Surgical Guidance System. The SCOUT MD expanded our portolio of oncology products for breast and other sof tssue cancers. The SCOUT MD is the latest step in our ongoing commitment and leadership in advancing oncology care.</w:t>
      </w:r>
    </w:p>
    <w:p>
      <w:pPr>
        <w:spacing w:after="0" w:line="178" w:lineRule="exact"/>
        <w:rPr>
          <w:sz w:val="20"/>
          <w:szCs w:val="20"/>
          <w:color w:val="auto"/>
        </w:rPr>
      </w:pPr>
    </w:p>
    <w:p>
      <w:pPr>
        <w:ind w:left="200" w:right="299"/>
        <w:spacing w:after="0" w:line="235" w:lineRule="auto"/>
        <w:rPr>
          <w:sz w:val="20"/>
          <w:szCs w:val="20"/>
          <w:color w:val="auto"/>
        </w:rPr>
      </w:pPr>
      <w:r>
        <w:rPr>
          <w:rFonts w:ascii="Calibri" w:cs="Calibri" w:eastAsia="Calibri" w:hAnsi="Calibri"/>
          <w:sz w:val="18"/>
          <w:szCs w:val="18"/>
          <w:color w:val="auto"/>
        </w:rPr>
        <w:t>In June 2023, we completed the acquisiton of a portolio of dialysis catheter products and the BioSentry® Biopsy Tract Sealant System from AngioDynamics, Inc. (“AngioDynamics”) and acquisiton of the Surfacer® Inside-Out® Access Catheter System from Bluegrass Vascular Technologies, Inc. (“Bluegrass”). These acquisitons strengthened our positons in the dialysis and biopsy markets and expanded the foundaton of our growing specialty dialysis device ofering, which includes the WRAPSODY™ Cell-Impermeable Endoprosthesis and the HeRO® Graf.</w:t>
      </w:r>
    </w:p>
    <w:p>
      <w:pPr>
        <w:spacing w:after="0" w:line="180" w:lineRule="exact"/>
        <w:rPr>
          <w:sz w:val="20"/>
          <w:szCs w:val="20"/>
          <w:color w:val="auto"/>
        </w:rPr>
      </w:pPr>
    </w:p>
    <w:p>
      <w:pPr>
        <w:ind w:left="200" w:right="299"/>
        <w:spacing w:after="0" w:line="232" w:lineRule="auto"/>
        <w:rPr>
          <w:sz w:val="20"/>
          <w:szCs w:val="20"/>
          <w:color w:val="auto"/>
        </w:rPr>
      </w:pPr>
      <w:r>
        <w:rPr>
          <w:rFonts w:ascii="Calibri" w:cs="Calibri" w:eastAsia="Calibri" w:hAnsi="Calibri"/>
          <w:sz w:val="18"/>
          <w:szCs w:val="18"/>
          <w:color w:val="auto"/>
        </w:rPr>
        <w:t>On December 8, 2023, we closed an ofering of $747.5 million aggregate principal amount of 3.00% Convertble Senior Notes due 2029 (the “Notes”). We intend to use the proceeds from the Notes ofering for general corporate purposes, which may include repayment or reducton of existng debt, sales and marketng actvites, medical afairs and educatonal eforts, research and development, clinical studies, working capital, capital expenditures and investments in and acquisitons of other companies, products or technologies in the future.</w:t>
      </w:r>
    </w:p>
    <w:p>
      <w:pPr>
        <w:spacing w:after="0" w:line="193" w:lineRule="exact"/>
        <w:rPr>
          <w:sz w:val="20"/>
          <w:szCs w:val="20"/>
          <w:color w:val="auto"/>
        </w:rPr>
      </w:pPr>
    </w:p>
    <w:p>
      <w:pPr>
        <w:ind w:left="200" w:right="219"/>
        <w:spacing w:after="0" w:line="230" w:lineRule="auto"/>
        <w:rPr>
          <w:sz w:val="20"/>
          <w:szCs w:val="20"/>
          <w:color w:val="auto"/>
        </w:rPr>
      </w:pPr>
      <w:r>
        <w:rPr>
          <w:rFonts w:ascii="Calibri" w:cs="Calibri" w:eastAsia="Calibri" w:hAnsi="Calibri"/>
          <w:sz w:val="18"/>
          <w:szCs w:val="18"/>
          <w:color w:val="auto"/>
        </w:rPr>
        <w:t>During 2023, we also completed projects that resulted in the newest additons to our product lineup: BIG60 Alpha™ Infaton Device, Radial Length Merit Maestro® Microcatheters, Prelude Roadster® Guide Sheath Line Extensions, and the Micro ACE™ Advanced Micro-Access System, a novel additon to our Micro-Access lineup.</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37" w:name="page38"/>
    <w:bookmarkEnd w:id="37"/>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31"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Key fnancial results for the last fve fscal years are highlighted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126365</wp:posOffset>
            </wp:positionV>
            <wp:extent cx="5349240" cy="5349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49240" cy="534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0" w:right="299" w:hanging="331"/>
        <w:spacing w:after="0" w:line="200" w:lineRule="auto"/>
        <w:tabs>
          <w:tab w:leader="none" w:pos="540" w:val="left"/>
        </w:tabs>
        <w:numPr>
          <w:ilvl w:val="0"/>
          <w:numId w:val="52"/>
        </w:numPr>
        <w:rPr>
          <w:rFonts w:ascii="Calibri" w:cs="Calibri" w:eastAsia="Calibri" w:hAnsi="Calibri"/>
          <w:sz w:val="24"/>
          <w:szCs w:val="24"/>
          <w:b w:val="1"/>
          <w:bCs w:val="1"/>
          <w:color w:val="AF0000"/>
          <w:vertAlign w:val="superscript"/>
        </w:rPr>
      </w:pPr>
      <w:r>
        <w:rPr>
          <w:rFonts w:ascii="Calibri" w:cs="Calibri" w:eastAsia="Calibri" w:hAnsi="Calibri"/>
          <w:sz w:val="16"/>
          <w:szCs w:val="16"/>
          <w:color w:val="auto"/>
        </w:rPr>
        <w:t>Non-GAAP net income, non-GAAP gross margin and non-GAAP earnings per share are non-GAAP fnancial measures. A reconciliaton of non-GAAP fnancial measures used in this Proxy Statement to their most directly comparable GAAP fnancial measures is included under the heading “Non-GAAP Financial Measures” below.</w:t>
      </w:r>
    </w:p>
    <w:p>
      <w:pPr>
        <w:spacing w:after="0" w:line="223" w:lineRule="exact"/>
        <w:rPr>
          <w:sz w:val="20"/>
          <w:szCs w:val="20"/>
          <w:color w:val="auto"/>
        </w:rPr>
      </w:pPr>
    </w:p>
    <w:p>
      <w:pPr>
        <w:ind w:left="200" w:right="439"/>
        <w:spacing w:after="0" w:line="230" w:lineRule="auto"/>
        <w:rPr>
          <w:sz w:val="20"/>
          <w:szCs w:val="20"/>
          <w:color w:val="auto"/>
        </w:rPr>
      </w:pPr>
      <w:r>
        <w:rPr>
          <w:rFonts w:ascii="Calibri" w:cs="Calibri" w:eastAsia="Calibri" w:hAnsi="Calibri"/>
          <w:sz w:val="18"/>
          <w:szCs w:val="18"/>
          <w:color w:val="auto"/>
        </w:rPr>
        <w:t>The results of our operatng and fnancial performance over the past fve years are illustrated in the tables above. Although our historic results are not a guarantee of future performance, we believe our performance during that fve-year period positons us for sustainable growth in proftability going forward.</w:t>
      </w:r>
    </w:p>
    <w:p>
      <w:pPr>
        <w:spacing w:after="0" w:line="200" w:lineRule="exact"/>
        <w:rPr>
          <w:sz w:val="20"/>
          <w:szCs w:val="20"/>
          <w:color w:val="auto"/>
        </w:rPr>
      </w:pPr>
    </w:p>
    <w:p>
      <w:pPr>
        <w:spacing w:after="0" w:line="394"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34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38" w:name="page39"/>
    <w:bookmarkEnd w:id="38"/>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5080"/>
        <w:spacing w:after="0"/>
        <w:rPr>
          <w:sz w:val="20"/>
          <w:szCs w:val="20"/>
          <w:color w:val="auto"/>
        </w:rPr>
      </w:pPr>
      <w:r>
        <w:rPr>
          <w:rFonts w:ascii="Calibri" w:cs="Calibri" w:eastAsia="Calibri" w:hAnsi="Calibri"/>
          <w:sz w:val="17"/>
          <w:szCs w:val="17"/>
          <w:color w:val="auto"/>
        </w:rPr>
        <w:t>EXECUTIVE COMPENSATION AND RELATED MATTERS</w:t>
      </w:r>
    </w:p>
    <w:p>
      <w:pPr>
        <w:spacing w:after="0" w:line="184" w:lineRule="exact"/>
        <w:rPr>
          <w:sz w:val="20"/>
          <w:szCs w:val="20"/>
          <w:color w:val="auto"/>
        </w:rPr>
      </w:pPr>
    </w:p>
    <w:p>
      <w:pPr>
        <w:ind w:left="200" w:right="239"/>
        <w:spacing w:after="0" w:line="234" w:lineRule="auto"/>
        <w:rPr>
          <w:sz w:val="20"/>
          <w:szCs w:val="20"/>
          <w:color w:val="auto"/>
        </w:rPr>
      </w:pPr>
      <w:r>
        <w:rPr>
          <w:rFonts w:ascii="Calibri" w:cs="Calibri" w:eastAsia="Calibri" w:hAnsi="Calibri"/>
          <w:sz w:val="18"/>
          <w:szCs w:val="18"/>
          <w:color w:val="auto"/>
        </w:rPr>
        <w:t>Our operatng and fnancial results were a signifcant factor in the deliberatons of our Compensaton Commitee when evaluatng the amount and form of compensaton paid to our CEO and other NEOs. Our Compensaton Commitee believes there are multple factors that have contributed to our fnancial and operatng performance, partcularly during the challenges of the past several years; however, two of the key factors have been our outstanding employees and the leadership provided by our CEO and other executve ofcers. Accordingly, the Compensaton Commitee seeks to implement and advance an executve compensaton program that recognizes Company performance and individual contributon, while encouraging long-term motvaton and retenton. The Compensaton Commitee believes our executve compensaton program has been instrumental in helping the Company sustain its strong fnancial performance over many years.</w:t>
      </w:r>
    </w:p>
    <w:p>
      <w:pPr>
        <w:sectPr>
          <w:pgSz w:w="11900" w:h="16838" w:orient="portrait"/>
          <w:cols w:equalWidth="0" w:num="1">
            <w:col w:w="9019"/>
          </w:cols>
          <w:pgMar w:left="1440" w:top="504" w:right="1440" w:bottom="1440" w:gutter="0" w:footer="0" w:header="0"/>
        </w:sectPr>
      </w:pPr>
    </w:p>
    <w:p>
      <w:pPr>
        <w:spacing w:after="0" w:line="342" w:lineRule="exact"/>
        <w:rPr>
          <w:sz w:val="20"/>
          <w:szCs w:val="20"/>
          <w:color w:val="auto"/>
        </w:rPr>
      </w:pPr>
    </w:p>
    <w:p>
      <w:pPr>
        <w:jc w:val="center"/>
        <w:ind w:left="420"/>
        <w:spacing w:after="0"/>
        <w:rPr>
          <w:sz w:val="20"/>
          <w:szCs w:val="20"/>
          <w:color w:val="auto"/>
        </w:rPr>
      </w:pPr>
      <w:r>
        <w:rPr>
          <w:rFonts w:ascii="Calibri" w:cs="Calibri" w:eastAsia="Calibri" w:hAnsi="Calibri"/>
          <w:sz w:val="20"/>
          <w:szCs w:val="20"/>
          <w:b w:val="1"/>
          <w:bCs w:val="1"/>
          <w:color w:val="AF0000"/>
        </w:rPr>
        <w:t>Compensaton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-244475</wp:posOffset>
            </wp:positionV>
            <wp:extent cx="2888615" cy="2168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88615" cy="2168525"/>
                    </a:xfrm>
                    <a:prstGeom prst="rect">
                      <a:avLst/>
                    </a:prstGeom>
                    <a:noFill/>
                  </pic:spPr>
                </pic:pic>
              </a:graphicData>
            </a:graphic>
          </wp:anchor>
        </w:drawing>
      </w:r>
    </w:p>
    <w:p>
      <w:pPr>
        <w:spacing w:after="0" w:line="259" w:lineRule="exact"/>
        <w:rPr>
          <w:sz w:val="20"/>
          <w:szCs w:val="20"/>
          <w:color w:val="auto"/>
        </w:rPr>
      </w:pPr>
    </w:p>
    <w:p>
      <w:pPr>
        <w:ind w:left="340"/>
        <w:spacing w:after="0" w:line="289" w:lineRule="auto"/>
        <w:rPr>
          <w:sz w:val="20"/>
          <w:szCs w:val="20"/>
          <w:color w:val="auto"/>
        </w:rPr>
      </w:pPr>
      <w:r>
        <w:rPr>
          <w:rFonts w:ascii="Calibri" w:cs="Calibri" w:eastAsia="Calibri" w:hAnsi="Calibri"/>
          <w:sz w:val="20"/>
          <w:szCs w:val="20"/>
          <w:color w:val="auto"/>
        </w:rPr>
        <w:t>Under the oversight of the Compensaton Commitee, our compensaton philosophy is to ofer compensaton programs to the NEOs that align the interests of management and shareholders for the purpose of maximizing shareholder value, while considering the interests of other signifcant stakeholders such as employees, patents, customers, business partners and the communites in which we operate.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299"/>
        <w:spacing w:after="0" w:line="242" w:lineRule="auto"/>
        <w:rPr>
          <w:sz w:val="20"/>
          <w:szCs w:val="20"/>
          <w:color w:val="auto"/>
        </w:rPr>
      </w:pPr>
      <w:r>
        <w:rPr>
          <w:rFonts w:ascii="Calibri" w:cs="Calibri" w:eastAsia="Calibri" w:hAnsi="Calibri"/>
          <w:sz w:val="18"/>
          <w:szCs w:val="18"/>
          <w:color w:val="AF0000"/>
        </w:rPr>
        <w:t>The primary objectves of our compensaton programs are:</w:t>
      </w:r>
    </w:p>
    <w:p>
      <w:pPr>
        <w:ind w:left="100"/>
        <w:spacing w:after="0" w:line="182" w:lineRule="auto"/>
        <w:rPr>
          <w:sz w:val="20"/>
          <w:szCs w:val="20"/>
          <w:color w:val="auto"/>
        </w:rPr>
      </w:pPr>
      <w:r>
        <w:rPr>
          <w:rFonts w:ascii="Calibri" w:cs="Calibri" w:eastAsia="Calibri" w:hAnsi="Calibri"/>
          <w:sz w:val="42"/>
          <w:szCs w:val="42"/>
          <w:b w:val="1"/>
          <w:bCs w:val="1"/>
          <w:color w:val="AF0000"/>
          <w:vertAlign w:val="subscript"/>
        </w:rPr>
        <w:t>1</w:t>
      </w:r>
      <w:r>
        <w:rPr>
          <w:rFonts w:ascii="Calibri" w:cs="Calibri" w:eastAsia="Calibri" w:hAnsi="Calibri"/>
          <w:sz w:val="15"/>
          <w:szCs w:val="15"/>
          <w:color w:val="auto"/>
        </w:rPr>
        <w:t xml:space="preserve"> focus executves on achieving or exceeding</w:t>
      </w:r>
    </w:p>
    <w:p>
      <w:pPr>
        <w:ind w:left="400"/>
        <w:spacing w:after="0" w:line="196" w:lineRule="auto"/>
        <w:rPr>
          <w:sz w:val="20"/>
          <w:szCs w:val="20"/>
          <w:color w:val="auto"/>
        </w:rPr>
      </w:pPr>
      <w:r>
        <w:rPr>
          <w:rFonts w:ascii="Calibri" w:cs="Calibri" w:eastAsia="Calibri" w:hAnsi="Calibri"/>
          <w:sz w:val="18"/>
          <w:szCs w:val="18"/>
          <w:color w:val="auto"/>
        </w:rPr>
        <w:t>measurable performance targets;</w:t>
      </w:r>
    </w:p>
    <w:p>
      <w:pPr>
        <w:jc w:val="right"/>
        <w:ind w:right="239"/>
        <w:spacing w:after="0"/>
        <w:tabs>
          <w:tab w:leader="none" w:pos="880" w:val="left"/>
        </w:tabs>
        <w:rPr>
          <w:sz w:val="20"/>
          <w:szCs w:val="20"/>
          <w:color w:val="auto"/>
        </w:rPr>
      </w:pPr>
      <w:r>
        <w:rPr>
          <w:rFonts w:ascii="Calibri" w:cs="Calibri" w:eastAsia="Calibri" w:hAnsi="Calibri"/>
          <w:sz w:val="18"/>
          <w:szCs w:val="18"/>
          <w:color w:val="auto"/>
        </w:rPr>
        <w:t>infuence executves to lead our</w:t>
      </w:r>
      <w:r>
        <w:rPr>
          <w:sz w:val="20"/>
          <w:szCs w:val="20"/>
          <w:color w:val="auto"/>
        </w:rPr>
        <w:tab/>
      </w:r>
      <w:r>
        <w:rPr>
          <w:rFonts w:ascii="Calibri" w:cs="Calibri" w:eastAsia="Calibri" w:hAnsi="Calibri"/>
          <w:sz w:val="12"/>
          <w:szCs w:val="12"/>
          <w:color w:val="auto"/>
        </w:rPr>
        <w:t>employees in the</w:t>
      </w:r>
    </w:p>
    <w:p>
      <w:pPr>
        <w:ind w:left="100"/>
        <w:spacing w:after="0" w:line="194" w:lineRule="auto"/>
        <w:rPr>
          <w:sz w:val="20"/>
          <w:szCs w:val="20"/>
          <w:color w:val="auto"/>
        </w:rPr>
      </w:pPr>
      <w:r>
        <w:rPr>
          <w:rFonts w:ascii="Calibri" w:cs="Calibri" w:eastAsia="Calibri" w:hAnsi="Calibri"/>
          <w:sz w:val="40"/>
          <w:szCs w:val="40"/>
          <w:b w:val="1"/>
          <w:bCs w:val="1"/>
          <w:color w:val="AF0000"/>
        </w:rPr>
        <w:t xml:space="preserve">2 </w:t>
      </w:r>
      <w:r>
        <w:rPr>
          <w:rFonts w:ascii="Calibri" w:cs="Calibri" w:eastAsia="Calibri" w:hAnsi="Calibri"/>
          <w:sz w:val="17"/>
          <w:szCs w:val="17"/>
          <w:color w:val="000000"/>
        </w:rPr>
        <w:t>implementaton of cost-saving plans;</w:t>
      </w:r>
    </w:p>
    <w:p>
      <w:pPr>
        <w:ind w:left="400" w:hanging="299"/>
        <w:spacing w:after="0" w:line="225" w:lineRule="auto"/>
        <w:tabs>
          <w:tab w:leader="none" w:pos="400" w:val="left"/>
        </w:tabs>
        <w:numPr>
          <w:ilvl w:val="0"/>
          <w:numId w:val="53"/>
        </w:numPr>
        <w:rPr>
          <w:rFonts w:ascii="Calibri" w:cs="Calibri" w:eastAsia="Calibri" w:hAnsi="Calibri"/>
          <w:sz w:val="40"/>
          <w:szCs w:val="40"/>
          <w:b w:val="1"/>
          <w:bCs w:val="1"/>
          <w:color w:val="AF0000"/>
        </w:rPr>
      </w:pPr>
      <w:r>
        <w:rPr>
          <w:rFonts w:ascii="Calibri" w:cs="Calibri" w:eastAsia="Calibri" w:hAnsi="Calibri"/>
          <w:sz w:val="18"/>
          <w:szCs w:val="18"/>
          <w:color w:val="auto"/>
        </w:rPr>
        <w:t>contnue our entrepreneurial spirit;</w:t>
      </w:r>
    </w:p>
    <w:p>
      <w:pPr>
        <w:spacing w:after="0" w:line="246" w:lineRule="exact"/>
        <w:rPr>
          <w:sz w:val="20"/>
          <w:szCs w:val="20"/>
          <w:color w:val="auto"/>
        </w:rPr>
      </w:pPr>
    </w:p>
    <w:p>
      <w:pPr>
        <w:ind w:left="400" w:right="299" w:hanging="299"/>
        <w:spacing w:after="0" w:line="182" w:lineRule="auto"/>
        <w:tabs>
          <w:tab w:leader="none" w:pos="400" w:val="left"/>
        </w:tabs>
        <w:numPr>
          <w:ilvl w:val="0"/>
          <w:numId w:val="54"/>
        </w:numPr>
        <w:rPr>
          <w:rFonts w:ascii="Calibri" w:cs="Calibri" w:eastAsia="Calibri" w:hAnsi="Calibri"/>
          <w:sz w:val="34"/>
          <w:szCs w:val="34"/>
          <w:b w:val="1"/>
          <w:bCs w:val="1"/>
          <w:color w:val="AF0000"/>
          <w:vertAlign w:val="subscript"/>
        </w:rPr>
      </w:pPr>
      <w:r>
        <w:rPr>
          <w:rFonts w:ascii="Calibri" w:cs="Calibri" w:eastAsia="Calibri" w:hAnsi="Calibri"/>
          <w:sz w:val="14"/>
          <w:szCs w:val="14"/>
          <w:color w:val="auto"/>
        </w:rPr>
        <w:t>atract and retain highly-qualifed and motvated executves; and</w:t>
      </w:r>
    </w:p>
    <w:p>
      <w:pPr>
        <w:spacing w:after="0" w:line="136" w:lineRule="exact"/>
        <w:rPr>
          <w:sz w:val="20"/>
          <w:szCs w:val="20"/>
          <w:color w:val="auto"/>
        </w:rPr>
      </w:pPr>
    </w:p>
    <w:p>
      <w:pPr>
        <w:ind w:left="400" w:right="759" w:hanging="299"/>
        <w:spacing w:after="0" w:line="182" w:lineRule="auto"/>
        <w:tabs>
          <w:tab w:leader="none" w:pos="400" w:val="left"/>
        </w:tabs>
        <w:numPr>
          <w:ilvl w:val="0"/>
          <w:numId w:val="55"/>
        </w:numPr>
        <w:rPr>
          <w:rFonts w:ascii="Calibri" w:cs="Calibri" w:eastAsia="Calibri" w:hAnsi="Calibri"/>
          <w:sz w:val="34"/>
          <w:szCs w:val="34"/>
          <w:b w:val="1"/>
          <w:bCs w:val="1"/>
          <w:color w:val="AF0000"/>
          <w:vertAlign w:val="subscript"/>
        </w:rPr>
      </w:pPr>
      <w:r>
        <w:rPr>
          <w:rFonts w:ascii="Calibri" w:cs="Calibri" w:eastAsia="Calibri" w:hAnsi="Calibri"/>
          <w:sz w:val="14"/>
          <w:szCs w:val="14"/>
          <w:color w:val="auto"/>
        </w:rPr>
        <w:t>promote a highly ethical environment and maintain health and safety standards.</w:t>
      </w:r>
    </w:p>
    <w:p>
      <w:pPr>
        <w:spacing w:after="0" w:line="163" w:lineRule="exact"/>
        <w:rPr>
          <w:sz w:val="20"/>
          <w:szCs w:val="20"/>
          <w:color w:val="auto"/>
        </w:rPr>
      </w:pPr>
    </w:p>
    <w:p>
      <w:pPr>
        <w:sectPr>
          <w:pgSz w:w="11900" w:h="16838" w:orient="portrait"/>
          <w:cols w:equalWidth="0" w:num="2">
            <w:col w:w="4480" w:space="380"/>
            <w:col w:w="4159"/>
          </w:cols>
          <w:pgMar w:left="1440" w:top="504" w:right="1440" w:bottom="1440" w:gutter="0" w:footer="0" w:header="0"/>
          <w:type w:val="continuous"/>
        </w:sectPr>
      </w:pPr>
    </w:p>
    <w:p>
      <w:pPr>
        <w:ind w:left="200" w:right="239"/>
        <w:spacing w:after="0" w:line="234" w:lineRule="auto"/>
        <w:rPr>
          <w:sz w:val="20"/>
          <w:szCs w:val="20"/>
          <w:color w:val="auto"/>
        </w:rPr>
      </w:pPr>
      <w:r>
        <w:rPr>
          <w:rFonts w:ascii="Calibri" w:cs="Calibri" w:eastAsia="Calibri" w:hAnsi="Calibri"/>
          <w:sz w:val="18"/>
          <w:szCs w:val="18"/>
          <w:color w:val="auto"/>
        </w:rPr>
        <w:t>Our executve compensaton programs specifc to the NEOs are overseen by the Compensaton Commitee. In pursuit of our compensaton philosophy and objectves, the Compensaton Commitee believes that the compensaton packages provided to the NEOs should generally include both cash and equity-based compensaton. Base pay and benefts are set at levels considered necessary to atract and retain qualifed and efectve executves. Variable incentve pay is used to align the compensaton of the NEOs with our short-term business and performance objectves, such as income and overall fnancial performance. Equity awards are intended to motvate executves to create long-term shareholder value. Prior to 2019, equity awards to the NEOs consisted solely of stock optons, but during 2019, the Compensaton Commitee determined to add awards of performance-based restricted stock units (</w:t>
      </w:r>
      <w:r>
        <w:rPr>
          <w:rFonts w:ascii="Calibri" w:cs="Calibri" w:eastAsia="Calibri" w:hAnsi="Calibri"/>
          <w:sz w:val="18"/>
          <w:szCs w:val="18"/>
          <w:u w:val="single" w:color="auto"/>
          <w:color w:val="AF0000"/>
        </w:rPr>
        <w:t>PSUs</w:t>
      </w:r>
      <w:r>
        <w:rPr>
          <w:rFonts w:ascii="Calibri" w:cs="Calibri" w:eastAsia="Calibri" w:hAnsi="Calibri"/>
          <w:sz w:val="18"/>
          <w:szCs w:val="18"/>
          <w:color w:val="auto"/>
        </w:rPr>
        <w:t>) to our long-term equity incentve program and to base our short-term executve bonus program on the achievement of predetermined performance targets, with both adjustments efectve in 2020. The PSUs and executve bonus targets are designed to increase the alignment of NEO compensaton with the Company’s achievement of Board-approved performance measures and relatve shareholder return. During 2021, the Compensaton Commitee, working with the Operatng Commitee, also provided oversight of the development and implementaton of a Company-wide compensaton and bonus program as part of our Foundatons for Growth Program. Subsequent to the conclusion of each of the years of the Foundatons for Growth Program, we distributed to Company employees payments pursuant to the compensaton and bonus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 xml:space="preserve">www.merit.com </w:t>
      </w:r>
      <w:r>
        <w:rPr>
          <w:rFonts w:ascii="Calibri" w:cs="Calibri" w:eastAsia="Calibri" w:hAnsi="Calibri"/>
          <w:sz w:val="18"/>
          <w:szCs w:val="18"/>
          <w:color w:val="AF0000"/>
        </w:rPr>
        <w:t>|</w:t>
      </w:r>
      <w:r>
        <w:rPr>
          <w:rFonts w:ascii="Calibri" w:cs="Calibri" w:eastAsia="Calibri" w:hAnsi="Calibri"/>
          <w:sz w:val="18"/>
          <w:szCs w:val="18"/>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39" w:name="page40"/>
    <w:bookmarkEnd w:id="39"/>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134620</wp:posOffset>
            </wp:positionV>
            <wp:extent cx="274320" cy="2571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4320" cy="257175"/>
                    </a:xfrm>
                    <a:prstGeom prst="rect">
                      <a:avLst/>
                    </a:prstGeom>
                    <a:noFill/>
                  </pic:spPr>
                </pic:pic>
              </a:graphicData>
            </a:graphic>
          </wp:anchor>
        </w:drawing>
      </w:r>
    </w:p>
    <w:p>
      <w:pPr>
        <w:spacing w:after="0" w:line="206" w:lineRule="exact"/>
        <w:rPr>
          <w:sz w:val="20"/>
          <w:szCs w:val="20"/>
          <w:color w:val="auto"/>
        </w:rPr>
      </w:pPr>
    </w:p>
    <w:p>
      <w:pPr>
        <w:ind w:left="1000"/>
        <w:spacing w:after="0"/>
        <w:rPr>
          <w:sz w:val="20"/>
          <w:szCs w:val="20"/>
          <w:color w:val="auto"/>
        </w:rPr>
      </w:pPr>
      <w:r>
        <w:rPr>
          <w:rFonts w:ascii="Calibri" w:cs="Calibri" w:eastAsia="Calibri" w:hAnsi="Calibri"/>
          <w:sz w:val="25"/>
          <w:szCs w:val="25"/>
          <w:b w:val="1"/>
          <w:bCs w:val="1"/>
          <w:color w:val="AF0000"/>
        </w:rPr>
        <w:t>Selected 2023 Highlights</w:t>
      </w:r>
    </w:p>
    <w:p>
      <w:pPr>
        <w:spacing w:after="0" w:line="127" w:lineRule="exact"/>
        <w:rPr>
          <w:sz w:val="20"/>
          <w:szCs w:val="20"/>
          <w:color w:val="auto"/>
        </w:rPr>
      </w:pPr>
    </w:p>
    <w:p>
      <w:pPr>
        <w:ind w:left="1340" w:right="40" w:hanging="332"/>
        <w:spacing w:after="0" w:line="235" w:lineRule="auto"/>
        <w:tabs>
          <w:tab w:leader="none" w:pos="1340" w:val="left"/>
        </w:tabs>
        <w:numPr>
          <w:ilvl w:val="0"/>
          <w:numId w:val="56"/>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Achieved strong operatng and fnancial results, including:</w:t>
      </w:r>
    </w:p>
    <w:p>
      <w:pPr>
        <w:spacing w:after="0" w:line="106" w:lineRule="exact"/>
        <w:rPr>
          <w:rFonts w:ascii="Times New Roman" w:cs="Times New Roman" w:eastAsia="Times New Roman" w:hAnsi="Times New Roman"/>
          <w:sz w:val="17"/>
          <w:szCs w:val="17"/>
          <w:color w:val="AF0000"/>
        </w:rPr>
      </w:pPr>
    </w:p>
    <w:p>
      <w:pPr>
        <w:ind w:left="1660" w:right="120" w:hanging="328"/>
        <w:spacing w:after="0" w:line="234" w:lineRule="auto"/>
        <w:tabs>
          <w:tab w:leader="none" w:pos="1660" w:val="left"/>
        </w:tabs>
        <w:numPr>
          <w:ilvl w:val="1"/>
          <w:numId w:val="56"/>
        </w:numPr>
        <w:rPr>
          <w:rFonts w:ascii="Calibri" w:cs="Calibri" w:eastAsia="Calibri" w:hAnsi="Calibri"/>
          <w:sz w:val="17"/>
          <w:szCs w:val="17"/>
          <w:color w:val="auto"/>
        </w:rPr>
      </w:pPr>
      <w:r>
        <w:rPr>
          <w:rFonts w:ascii="Calibri" w:cs="Calibri" w:eastAsia="Calibri" w:hAnsi="Calibri"/>
          <w:sz w:val="17"/>
          <w:szCs w:val="17"/>
          <w:color w:val="auto"/>
        </w:rPr>
        <w:t>record revenues in excess of $1.25 billion, representng nearly 10% year-over-year constant currency revenue growth;</w:t>
      </w:r>
    </w:p>
    <w:p>
      <w:pPr>
        <w:spacing w:after="0" w:line="108" w:lineRule="exact"/>
        <w:rPr>
          <w:rFonts w:ascii="Calibri" w:cs="Calibri" w:eastAsia="Calibri" w:hAnsi="Calibri"/>
          <w:sz w:val="17"/>
          <w:szCs w:val="17"/>
          <w:color w:val="auto"/>
        </w:rPr>
      </w:pPr>
    </w:p>
    <w:p>
      <w:pPr>
        <w:ind w:left="1660" w:right="20" w:hanging="328"/>
        <w:spacing w:after="0" w:line="235" w:lineRule="auto"/>
        <w:tabs>
          <w:tab w:leader="none" w:pos="1660" w:val="left"/>
        </w:tabs>
        <w:numPr>
          <w:ilvl w:val="1"/>
          <w:numId w:val="56"/>
        </w:numPr>
        <w:rPr>
          <w:rFonts w:ascii="Calibri" w:cs="Calibri" w:eastAsia="Calibri" w:hAnsi="Calibri"/>
          <w:sz w:val="17"/>
          <w:szCs w:val="17"/>
          <w:color w:val="auto"/>
        </w:rPr>
      </w:pPr>
      <w:r>
        <w:rPr>
          <w:rFonts w:ascii="Calibri" w:cs="Calibri" w:eastAsia="Calibri" w:hAnsi="Calibri"/>
          <w:sz w:val="17"/>
          <w:szCs w:val="17"/>
          <w:color w:val="auto"/>
        </w:rPr>
        <w:t>non-GAAP operatng margin year-over-year improvement of 120 basis points; and</w:t>
      </w:r>
    </w:p>
    <w:p>
      <w:pPr>
        <w:spacing w:after="0" w:line="106" w:lineRule="exact"/>
        <w:rPr>
          <w:rFonts w:ascii="Calibri" w:cs="Calibri" w:eastAsia="Calibri" w:hAnsi="Calibri"/>
          <w:sz w:val="17"/>
          <w:szCs w:val="17"/>
          <w:color w:val="auto"/>
        </w:rPr>
      </w:pPr>
    </w:p>
    <w:p>
      <w:pPr>
        <w:ind w:left="1660" w:right="180" w:hanging="328"/>
        <w:spacing w:after="0" w:line="235" w:lineRule="auto"/>
        <w:tabs>
          <w:tab w:leader="none" w:pos="1660" w:val="left"/>
        </w:tabs>
        <w:numPr>
          <w:ilvl w:val="1"/>
          <w:numId w:val="56"/>
        </w:numPr>
        <w:rPr>
          <w:rFonts w:ascii="Calibri" w:cs="Calibri" w:eastAsia="Calibri" w:hAnsi="Calibri"/>
          <w:sz w:val="17"/>
          <w:szCs w:val="17"/>
          <w:color w:val="auto"/>
        </w:rPr>
      </w:pPr>
      <w:r>
        <w:rPr>
          <w:rFonts w:ascii="Calibri" w:cs="Calibri" w:eastAsia="Calibri" w:hAnsi="Calibri"/>
          <w:sz w:val="17"/>
          <w:szCs w:val="17"/>
          <w:color w:val="auto"/>
        </w:rPr>
        <w:t>strong free cash fow generaton of more the $110 million</w:t>
      </w:r>
    </w:p>
    <w:p>
      <w:pPr>
        <w:spacing w:after="0" w:line="120" w:lineRule="exact"/>
        <w:rPr>
          <w:rFonts w:ascii="Calibri" w:cs="Calibri" w:eastAsia="Calibri" w:hAnsi="Calibri"/>
          <w:sz w:val="17"/>
          <w:szCs w:val="17"/>
          <w:color w:val="auto"/>
        </w:rPr>
      </w:pPr>
    </w:p>
    <w:p>
      <w:pPr>
        <w:ind w:left="1340" w:right="20" w:hanging="332"/>
        <w:spacing w:after="0" w:line="234" w:lineRule="auto"/>
        <w:tabs>
          <w:tab w:leader="none" w:pos="1340" w:val="left"/>
        </w:tabs>
        <w:numPr>
          <w:ilvl w:val="0"/>
          <w:numId w:val="56"/>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Completed the third and fnal year of the Foundatons for Growth program, in which we achieved or exceeded the goals relatng to revenue growth, operatng margin expansion and free cash fow generaton. In partcular, under the directon of our CEO and other NEOs, during the three-year period we achieved:</w:t>
      </w:r>
    </w:p>
    <w:p>
      <w:pPr>
        <w:spacing w:after="0" w:line="109" w:lineRule="exact"/>
        <w:rPr>
          <w:rFonts w:ascii="Times New Roman" w:cs="Times New Roman" w:eastAsia="Times New Roman" w:hAnsi="Times New Roman"/>
          <w:sz w:val="17"/>
          <w:szCs w:val="17"/>
          <w:color w:val="AF0000"/>
        </w:rPr>
      </w:pPr>
    </w:p>
    <w:p>
      <w:pPr>
        <w:ind w:left="1660" w:right="80" w:hanging="315"/>
        <w:spacing w:after="0" w:line="234" w:lineRule="auto"/>
        <w:tabs>
          <w:tab w:leader="none" w:pos="1660" w:val="left"/>
        </w:tabs>
        <w:numPr>
          <w:ilvl w:val="2"/>
          <w:numId w:val="56"/>
        </w:numPr>
        <w:rPr>
          <w:rFonts w:ascii="Calibri" w:cs="Calibri" w:eastAsia="Calibri" w:hAnsi="Calibri"/>
          <w:sz w:val="17"/>
          <w:szCs w:val="17"/>
          <w:color w:val="auto"/>
        </w:rPr>
      </w:pPr>
      <w:r>
        <w:rPr>
          <w:rFonts w:ascii="Calibri" w:cs="Calibri" w:eastAsia="Calibri" w:hAnsi="Calibri"/>
          <w:sz w:val="17"/>
          <w:szCs w:val="17"/>
          <w:color w:val="auto"/>
        </w:rPr>
        <w:t>compound annual revenue growth of nine percent, exceeding our Foundatons for Growth target;</w:t>
      </w:r>
    </w:p>
    <w:p>
      <w:pPr>
        <w:spacing w:after="0" w:line="108" w:lineRule="exact"/>
        <w:rPr>
          <w:rFonts w:ascii="Calibri" w:cs="Calibri" w:eastAsia="Calibri" w:hAnsi="Calibri"/>
          <w:sz w:val="17"/>
          <w:szCs w:val="17"/>
          <w:color w:val="auto"/>
        </w:rPr>
      </w:pPr>
    </w:p>
    <w:p>
      <w:pPr>
        <w:ind w:left="1660" w:right="360" w:hanging="315"/>
        <w:spacing w:after="0" w:line="235" w:lineRule="auto"/>
        <w:tabs>
          <w:tab w:leader="none" w:pos="1660" w:val="left"/>
        </w:tabs>
        <w:numPr>
          <w:ilvl w:val="2"/>
          <w:numId w:val="56"/>
        </w:numPr>
        <w:rPr>
          <w:rFonts w:ascii="Calibri" w:cs="Calibri" w:eastAsia="Calibri" w:hAnsi="Calibri"/>
          <w:sz w:val="17"/>
          <w:szCs w:val="17"/>
          <w:color w:val="auto"/>
        </w:rPr>
      </w:pPr>
      <w:r>
        <w:rPr>
          <w:rFonts w:ascii="Calibri" w:cs="Calibri" w:eastAsia="Calibri" w:hAnsi="Calibri"/>
          <w:sz w:val="17"/>
          <w:szCs w:val="17"/>
          <w:color w:val="auto"/>
        </w:rPr>
        <w:t>operatng margin improvement of 440 basis points; and</w:t>
      </w:r>
    </w:p>
    <w:p>
      <w:pPr>
        <w:spacing w:after="0" w:line="106" w:lineRule="exact"/>
        <w:rPr>
          <w:rFonts w:ascii="Calibri" w:cs="Calibri" w:eastAsia="Calibri" w:hAnsi="Calibri"/>
          <w:sz w:val="17"/>
          <w:szCs w:val="17"/>
          <w:color w:val="auto"/>
        </w:rPr>
      </w:pPr>
    </w:p>
    <w:p>
      <w:pPr>
        <w:ind w:left="1660" w:hanging="315"/>
        <w:spacing w:after="0" w:line="235" w:lineRule="auto"/>
        <w:tabs>
          <w:tab w:leader="none" w:pos="1660" w:val="left"/>
        </w:tabs>
        <w:numPr>
          <w:ilvl w:val="2"/>
          <w:numId w:val="56"/>
        </w:numPr>
        <w:rPr>
          <w:rFonts w:ascii="Calibri" w:cs="Calibri" w:eastAsia="Calibri" w:hAnsi="Calibri"/>
          <w:sz w:val="17"/>
          <w:szCs w:val="17"/>
          <w:color w:val="auto"/>
        </w:rPr>
      </w:pPr>
      <w:r>
        <w:rPr>
          <w:rFonts w:ascii="Calibri" w:cs="Calibri" w:eastAsia="Calibri" w:hAnsi="Calibri"/>
          <w:sz w:val="17"/>
          <w:szCs w:val="17"/>
          <w:color w:val="auto"/>
        </w:rPr>
        <w:t>cumulatve free cash fow during the three-year period of approximately $300 million</w:t>
      </w:r>
    </w:p>
    <w:p>
      <w:pPr>
        <w:spacing w:after="0" w:line="120" w:lineRule="exact"/>
        <w:rPr>
          <w:rFonts w:ascii="Calibri" w:cs="Calibri" w:eastAsia="Calibri" w:hAnsi="Calibri"/>
          <w:sz w:val="17"/>
          <w:szCs w:val="17"/>
          <w:color w:val="auto"/>
        </w:rPr>
      </w:pPr>
    </w:p>
    <w:p>
      <w:pPr>
        <w:ind w:left="1340" w:right="60" w:hanging="332"/>
        <w:spacing w:after="0" w:line="234" w:lineRule="auto"/>
        <w:tabs>
          <w:tab w:leader="none" w:pos="1340" w:val="left"/>
        </w:tabs>
        <w:numPr>
          <w:ilvl w:val="0"/>
          <w:numId w:val="56"/>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Issued $747.5 million aggregate principal amount of 3.00% Convertble Senior Notes due 2029</w:t>
      </w:r>
    </w:p>
    <w:p>
      <w:pPr>
        <w:spacing w:after="0" w:line="122" w:lineRule="exact"/>
        <w:rPr>
          <w:rFonts w:ascii="Times New Roman" w:cs="Times New Roman" w:eastAsia="Times New Roman" w:hAnsi="Times New Roman"/>
          <w:sz w:val="17"/>
          <w:szCs w:val="17"/>
          <w:color w:val="AF0000"/>
        </w:rPr>
      </w:pPr>
    </w:p>
    <w:p>
      <w:pPr>
        <w:ind w:left="1340" w:right="120" w:hanging="332"/>
        <w:spacing w:after="0" w:line="234" w:lineRule="auto"/>
        <w:tabs>
          <w:tab w:leader="none" w:pos="1340" w:val="left"/>
        </w:tabs>
        <w:numPr>
          <w:ilvl w:val="0"/>
          <w:numId w:val="56"/>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Completed the acquisitons of (i) a dialysis catheter portolio and the BioSentry Biopsy Tract Sealant System from AngioDynamics and (ii) the Surfacer Inside-Out Access Catheter System from Bluegrass</w:t>
      </w:r>
    </w:p>
    <w:p>
      <w:pPr>
        <w:spacing w:after="0" w:line="122" w:lineRule="exact"/>
        <w:rPr>
          <w:rFonts w:ascii="Times New Roman" w:cs="Times New Roman" w:eastAsia="Times New Roman" w:hAnsi="Times New Roman"/>
          <w:sz w:val="17"/>
          <w:szCs w:val="17"/>
          <w:color w:val="AF0000"/>
        </w:rPr>
      </w:pPr>
    </w:p>
    <w:p>
      <w:pPr>
        <w:ind w:left="1340" w:right="240" w:hanging="332"/>
        <w:spacing w:after="0" w:line="234" w:lineRule="auto"/>
        <w:tabs>
          <w:tab w:leader="none" w:pos="1340" w:val="left"/>
        </w:tabs>
        <w:numPr>
          <w:ilvl w:val="0"/>
          <w:numId w:val="56"/>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 xml:space="preserve">Achieved cumulatve total return on our Common Stock from December 31, 2018 to December 31, 2023 of approximately 36% </w:t>
      </w:r>
      <w:r>
        <w:rPr>
          <w:rFonts w:ascii="Calibri" w:cs="Calibri" w:eastAsia="Calibri" w:hAnsi="Calibri"/>
          <w:sz w:val="25"/>
          <w:szCs w:val="25"/>
          <w:color w:val="AF0000"/>
          <w:vertAlign w:val="superscript"/>
        </w:rPr>
        <w:t>(1)</w:t>
      </w:r>
    </w:p>
    <w:p>
      <w:pPr>
        <w:spacing w:after="0" w:line="26" w:lineRule="exact"/>
        <w:rPr>
          <w:rFonts w:ascii="Times New Roman" w:cs="Times New Roman" w:eastAsia="Times New Roman" w:hAnsi="Times New Roman"/>
          <w:sz w:val="17"/>
          <w:szCs w:val="17"/>
          <w:color w:val="AF0000"/>
        </w:rPr>
      </w:pPr>
    </w:p>
    <w:p>
      <w:pPr>
        <w:ind w:left="1340" w:right="60" w:hanging="332"/>
        <w:spacing w:after="0" w:line="234" w:lineRule="auto"/>
        <w:tabs>
          <w:tab w:leader="none" w:pos="1340" w:val="left"/>
        </w:tabs>
        <w:numPr>
          <w:ilvl w:val="0"/>
          <w:numId w:val="56"/>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Completed projects that resulted in the newest additons to our product lineup: BIG60 Alpha™ Infaton Device, Radial Length Merit Maestro® Microcatheters, Prelude Roadster® Guide Sheath Line Extensions, and the Micro ACE™ Advanced Micro-Access System, a novel additon to our micro-access lineup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-6059170</wp:posOffset>
            </wp:positionV>
            <wp:extent cx="26035" cy="6146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035" cy="6146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0" w:right="359" w:hanging="330"/>
        <w:spacing w:after="0" w:line="235" w:lineRule="auto"/>
        <w:tabs>
          <w:tab w:leader="none" w:pos="330" w:val="left"/>
        </w:tabs>
        <w:numPr>
          <w:ilvl w:val="0"/>
          <w:numId w:val="57"/>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Based upon the Company’s achievement of the Foundatons for Growth performance measures, we distributed to Company employees payments under our Company-wide compensaton and bonus program designed to increase the alignment of employee compensaton with the Company’s achievement of those measures. In March 2024 we distributed to Company employees additonal bonus payments based upon the Company’s successful completon of those performance measures for the third year of the Foundatons for Growth program</w:t>
      </w:r>
    </w:p>
    <w:p>
      <w:pPr>
        <w:spacing w:after="0" w:line="125" w:lineRule="exact"/>
        <w:rPr>
          <w:rFonts w:ascii="Times New Roman" w:cs="Times New Roman" w:eastAsia="Times New Roman" w:hAnsi="Times New Roman"/>
          <w:sz w:val="17"/>
          <w:szCs w:val="17"/>
          <w:color w:val="AF0000"/>
        </w:rPr>
      </w:pPr>
    </w:p>
    <w:p>
      <w:pPr>
        <w:ind w:left="330" w:right="399" w:hanging="330"/>
        <w:spacing w:after="0"/>
        <w:tabs>
          <w:tab w:leader="none" w:pos="330" w:val="left"/>
        </w:tabs>
        <w:numPr>
          <w:ilvl w:val="0"/>
          <w:numId w:val="57"/>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Developed the Company’s next three-year strategic plan, known as the Contnued Growth Initatves Program, refectng our commitment to positon the Company for long-term, sustainable growth and enhanced proftability, which was publicly announced on February 28, 2024</w:t>
      </w:r>
    </w:p>
    <w:p>
      <w:pPr>
        <w:spacing w:after="0" w:line="293" w:lineRule="exact"/>
        <w:rPr>
          <w:rFonts w:ascii="Times New Roman" w:cs="Times New Roman" w:eastAsia="Times New Roman" w:hAnsi="Times New Roman"/>
          <w:sz w:val="17"/>
          <w:szCs w:val="17"/>
          <w:color w:val="AF0000"/>
        </w:rPr>
      </w:pPr>
    </w:p>
    <w:p>
      <w:pPr>
        <w:ind w:left="330" w:right="379" w:hanging="330"/>
        <w:spacing w:after="0" w:line="202" w:lineRule="auto"/>
        <w:tabs>
          <w:tab w:leader="none" w:pos="330" w:val="left"/>
        </w:tabs>
        <w:numPr>
          <w:ilvl w:val="0"/>
          <w:numId w:val="57"/>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Received FDA Breakthrough Device Designaton for the SCOUT® MD</w:t>
      </w:r>
      <w:r>
        <w:rPr>
          <w:rFonts w:ascii="Calibri" w:cs="Calibri" w:eastAsia="Calibri" w:hAnsi="Calibri"/>
          <w:sz w:val="25"/>
          <w:szCs w:val="25"/>
          <w:color w:val="auto"/>
          <w:vertAlign w:val="superscript"/>
        </w:rPr>
        <w:t>TM</w:t>
      </w:r>
      <w:r>
        <w:rPr>
          <w:rFonts w:ascii="Calibri" w:cs="Calibri" w:eastAsia="Calibri" w:hAnsi="Calibri"/>
          <w:sz w:val="17"/>
          <w:szCs w:val="17"/>
          <w:color w:val="auto"/>
        </w:rPr>
        <w:t xml:space="preserve"> Surgical Guidance System</w:t>
      </w:r>
    </w:p>
    <w:p>
      <w:pPr>
        <w:spacing w:after="0" w:line="122" w:lineRule="exact"/>
        <w:rPr>
          <w:rFonts w:ascii="Times New Roman" w:cs="Times New Roman" w:eastAsia="Times New Roman" w:hAnsi="Times New Roman"/>
          <w:sz w:val="17"/>
          <w:szCs w:val="17"/>
          <w:color w:val="AF0000"/>
        </w:rPr>
      </w:pPr>
    </w:p>
    <w:p>
      <w:pPr>
        <w:ind w:left="330" w:right="559" w:hanging="330"/>
        <w:spacing w:after="0" w:line="235" w:lineRule="auto"/>
        <w:tabs>
          <w:tab w:leader="none" w:pos="330" w:val="left"/>
        </w:tabs>
        <w:numPr>
          <w:ilvl w:val="0"/>
          <w:numId w:val="57"/>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Contnued initatves to move toward higher-margin therapeutc products</w:t>
      </w:r>
    </w:p>
    <w:p>
      <w:pPr>
        <w:spacing w:after="0" w:line="120" w:lineRule="exact"/>
        <w:rPr>
          <w:rFonts w:ascii="Times New Roman" w:cs="Times New Roman" w:eastAsia="Times New Roman" w:hAnsi="Times New Roman"/>
          <w:sz w:val="17"/>
          <w:szCs w:val="17"/>
          <w:color w:val="AF0000"/>
        </w:rPr>
      </w:pPr>
    </w:p>
    <w:p>
      <w:pPr>
        <w:ind w:left="330" w:right="419" w:hanging="330"/>
        <w:spacing w:after="0" w:line="234" w:lineRule="auto"/>
        <w:tabs>
          <w:tab w:leader="none" w:pos="330" w:val="left"/>
        </w:tabs>
        <w:numPr>
          <w:ilvl w:val="0"/>
          <w:numId w:val="57"/>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Completed enrollment in the WAVE pivotal study to support the projected launch of the Wrapsody Cell-Impermeable Endoprosthesis in the United States of America</w:t>
      </w:r>
    </w:p>
    <w:p>
      <w:pPr>
        <w:spacing w:after="0" w:line="122" w:lineRule="exact"/>
        <w:rPr>
          <w:rFonts w:ascii="Times New Roman" w:cs="Times New Roman" w:eastAsia="Times New Roman" w:hAnsi="Times New Roman"/>
          <w:sz w:val="17"/>
          <w:szCs w:val="17"/>
          <w:color w:val="AF0000"/>
        </w:rPr>
      </w:pPr>
    </w:p>
    <w:p>
      <w:pPr>
        <w:ind w:left="330" w:right="419" w:hanging="330"/>
        <w:spacing w:after="0" w:line="234" w:lineRule="auto"/>
        <w:tabs>
          <w:tab w:leader="none" w:pos="330" w:val="left"/>
        </w:tabs>
        <w:numPr>
          <w:ilvl w:val="0"/>
          <w:numId w:val="57"/>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Completed preparatons for frst enrollment in the MOTION Trial, designed to expand indicatons for our Embosphere® Microspheres</w:t>
      </w:r>
    </w:p>
    <w:p>
      <w:pPr>
        <w:spacing w:after="0" w:line="122" w:lineRule="exact"/>
        <w:rPr>
          <w:rFonts w:ascii="Times New Roman" w:cs="Times New Roman" w:eastAsia="Times New Roman" w:hAnsi="Times New Roman"/>
          <w:sz w:val="17"/>
          <w:szCs w:val="17"/>
          <w:color w:val="AF0000"/>
        </w:rPr>
      </w:pPr>
    </w:p>
    <w:p>
      <w:pPr>
        <w:ind w:left="330" w:right="419" w:hanging="330"/>
        <w:spacing w:after="0" w:line="234" w:lineRule="auto"/>
        <w:tabs>
          <w:tab w:leader="none" w:pos="330" w:val="left"/>
        </w:tabs>
        <w:numPr>
          <w:ilvl w:val="0"/>
          <w:numId w:val="57"/>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Contnued company-wide eforts to (i) improve employee training, health and safety and (ii) reduce our environmental footprint by implementng new programs to reduce waste, conserve resources, and improve the areas where we do business</w:t>
      </w:r>
    </w:p>
    <w:p>
      <w:pPr>
        <w:spacing w:after="0" w:line="1320" w:lineRule="exact"/>
        <w:rPr>
          <w:sz w:val="20"/>
          <w:szCs w:val="20"/>
          <w:color w:val="auto"/>
        </w:rPr>
      </w:pPr>
    </w:p>
    <w:p>
      <w:pPr>
        <w:sectPr>
          <w:pgSz w:w="11900" w:h="16838" w:orient="portrait"/>
          <w:cols w:equalWidth="0" w:num="2">
            <w:col w:w="4740" w:space="210"/>
            <w:col w:w="4069"/>
          </w:cols>
          <w:pgMar w:left="1440" w:top="504" w:right="1440" w:bottom="1440" w:gutter="0" w:footer="0" w:header="0"/>
        </w:sectPr>
      </w:pPr>
    </w:p>
    <w:p>
      <w:pPr>
        <w:spacing w:after="0" w:line="26" w:lineRule="exact"/>
        <w:rPr>
          <w:sz w:val="20"/>
          <w:szCs w:val="20"/>
          <w:color w:val="auto"/>
        </w:rPr>
      </w:pPr>
    </w:p>
    <w:p>
      <w:pPr>
        <w:ind w:left="540" w:right="519" w:hanging="331"/>
        <w:spacing w:after="0" w:line="235" w:lineRule="auto"/>
        <w:tabs>
          <w:tab w:leader="none" w:pos="540" w:val="left"/>
        </w:tabs>
        <w:numPr>
          <w:ilvl w:val="0"/>
          <w:numId w:val="58"/>
        </w:numPr>
        <w:rPr>
          <w:rFonts w:ascii="Calibri" w:cs="Calibri" w:eastAsia="Calibri" w:hAnsi="Calibri"/>
          <w:sz w:val="16"/>
          <w:szCs w:val="16"/>
          <w:color w:val="CB333B"/>
        </w:rPr>
      </w:pPr>
      <w:r>
        <w:rPr>
          <w:rFonts w:ascii="Calibri" w:cs="Calibri" w:eastAsia="Calibri" w:hAnsi="Calibri"/>
          <w:sz w:val="16"/>
          <w:szCs w:val="16"/>
          <w:color w:val="auto"/>
        </w:rPr>
        <w:t>Refects fve-year cumulatve total return of our Common Stock, as reported by Nasdaq for the period from December 31, 2018 to December 31, 2023. Past results are not necessarily an indicator of future results.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36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40" w:name="page41"/>
    <w:bookmarkEnd w:id="40"/>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EXECUTIVE COMPENSATION AND RELATED MATTERS</w:t>
      </w:r>
    </w:p>
    <w:p>
      <w:pPr>
        <w:spacing w:after="0" w:line="158"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Executve Ofcers</w:t>
      </w:r>
    </w:p>
    <w:p>
      <w:pPr>
        <w:spacing w:after="0" w:line="186" w:lineRule="exact"/>
        <w:rPr>
          <w:sz w:val="20"/>
          <w:szCs w:val="20"/>
          <w:color w:val="auto"/>
        </w:rPr>
      </w:pPr>
    </w:p>
    <w:p>
      <w:pPr>
        <w:ind w:left="200" w:right="259"/>
        <w:spacing w:after="0" w:line="235" w:lineRule="auto"/>
        <w:rPr>
          <w:sz w:val="20"/>
          <w:szCs w:val="20"/>
          <w:color w:val="auto"/>
        </w:rPr>
      </w:pPr>
      <w:r>
        <w:rPr>
          <w:rFonts w:ascii="Calibri" w:cs="Calibri" w:eastAsia="Calibri" w:hAnsi="Calibri"/>
          <w:sz w:val="18"/>
          <w:szCs w:val="18"/>
          <w:color w:val="auto"/>
        </w:rPr>
        <w:t>In additon to Fred P. Lampropoulos (whose biography is included above under “Nominees for Electon as Directors”), we have included the following informaton related to our other executve ofcers: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5452110" cy="1071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52110" cy="107188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Calibri" w:cs="Calibri" w:eastAsia="Calibri" w:hAnsi="Calibri"/>
          <w:sz w:val="16"/>
          <w:szCs w:val="16"/>
          <w:b w:val="1"/>
          <w:bCs w:val="1"/>
          <w:color w:val="auto"/>
        </w:rPr>
        <w:t>Educaton:</w:t>
      </w:r>
    </w:p>
    <w:p>
      <w:pPr>
        <w:spacing w:after="0" w:line="7" w:lineRule="exact"/>
        <w:rPr>
          <w:sz w:val="20"/>
          <w:szCs w:val="20"/>
          <w:color w:val="auto"/>
        </w:rPr>
      </w:pPr>
    </w:p>
    <w:p>
      <w:pPr>
        <w:ind w:left="200"/>
        <w:spacing w:after="0"/>
        <w:rPr>
          <w:sz w:val="20"/>
          <w:szCs w:val="20"/>
          <w:color w:val="auto"/>
        </w:rPr>
      </w:pPr>
      <w:r>
        <w:rPr>
          <w:rFonts w:ascii="Calibri" w:cs="Calibri" w:eastAsia="Calibri" w:hAnsi="Calibri"/>
          <w:sz w:val="16"/>
          <w:szCs w:val="16"/>
          <w:color w:val="auto"/>
        </w:rPr>
        <w:t>B.S. (business</w:t>
      </w:r>
    </w:p>
    <w:p>
      <w:pPr>
        <w:ind w:left="200"/>
        <w:spacing w:after="0" w:line="232" w:lineRule="auto"/>
        <w:rPr>
          <w:sz w:val="20"/>
          <w:szCs w:val="20"/>
          <w:color w:val="auto"/>
        </w:rPr>
      </w:pPr>
      <w:r>
        <w:rPr>
          <w:rFonts w:ascii="Calibri" w:cs="Calibri" w:eastAsia="Calibri" w:hAnsi="Calibri"/>
          <w:sz w:val="16"/>
          <w:szCs w:val="16"/>
          <w:color w:val="auto"/>
        </w:rPr>
        <w:t>administraton with</w:t>
      </w:r>
    </w:p>
    <w:p>
      <w:pPr>
        <w:ind w:left="200"/>
        <w:spacing w:after="0" w:line="232" w:lineRule="auto"/>
        <w:rPr>
          <w:sz w:val="20"/>
          <w:szCs w:val="20"/>
          <w:color w:val="auto"/>
        </w:rPr>
      </w:pPr>
      <w:r>
        <w:rPr>
          <w:rFonts w:ascii="Calibri" w:cs="Calibri" w:eastAsia="Calibri" w:hAnsi="Calibri"/>
          <w:sz w:val="16"/>
          <w:szCs w:val="16"/>
          <w:color w:val="auto"/>
        </w:rPr>
        <w:t>accountng emphasis),</w:t>
      </w:r>
    </w:p>
    <w:p>
      <w:pPr>
        <w:ind w:left="200"/>
        <w:spacing w:after="0" w:line="232" w:lineRule="auto"/>
        <w:rPr>
          <w:sz w:val="20"/>
          <w:szCs w:val="20"/>
          <w:color w:val="auto"/>
        </w:rPr>
      </w:pPr>
      <w:r>
        <w:rPr>
          <w:rFonts w:ascii="Calibri" w:cs="Calibri" w:eastAsia="Calibri" w:hAnsi="Calibri"/>
          <w:sz w:val="16"/>
          <w:szCs w:val="16"/>
          <w:color w:val="auto"/>
        </w:rPr>
        <w:t>Sonoma State; Certfed</w:t>
      </w:r>
    </w:p>
    <w:p>
      <w:pPr>
        <w:spacing w:after="0" w:line="8" w:lineRule="exact"/>
        <w:rPr>
          <w:sz w:val="20"/>
          <w:szCs w:val="20"/>
          <w:color w:val="auto"/>
        </w:rPr>
      </w:pPr>
    </w:p>
    <w:p>
      <w:pPr>
        <w:ind w:left="200"/>
        <w:spacing w:after="0"/>
        <w:rPr>
          <w:sz w:val="20"/>
          <w:szCs w:val="20"/>
          <w:color w:val="auto"/>
        </w:rPr>
      </w:pPr>
      <w:r>
        <w:rPr>
          <w:rFonts w:ascii="Calibri" w:cs="Calibri" w:eastAsia="Calibri" w:hAnsi="Calibri"/>
          <w:sz w:val="16"/>
          <w:szCs w:val="16"/>
          <w:color w:val="auto"/>
        </w:rPr>
        <w:t>Public Accountant</w:t>
      </w:r>
    </w:p>
    <w:p>
      <w:pPr>
        <w:ind w:left="200"/>
        <w:spacing w:after="0" w:line="232" w:lineRule="auto"/>
        <w:rPr>
          <w:sz w:val="20"/>
          <w:szCs w:val="20"/>
          <w:color w:val="auto"/>
        </w:rPr>
      </w:pPr>
      <w:r>
        <w:rPr>
          <w:rFonts w:ascii="Calibri" w:cs="Calibri" w:eastAsia="Calibri" w:hAnsi="Calibri"/>
          <w:sz w:val="16"/>
          <w:szCs w:val="16"/>
          <w:color w:val="auto"/>
        </w:rPr>
        <w:t>(Inactve)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326390</wp:posOffset>
            </wp:positionV>
            <wp:extent cx="882650" cy="1062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265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Calibri" w:cs="Calibri" w:eastAsia="Calibri" w:hAnsi="Calibri"/>
          <w:sz w:val="16"/>
          <w:szCs w:val="16"/>
          <w:b w:val="1"/>
          <w:bCs w:val="1"/>
          <w:color w:val="auto"/>
        </w:rPr>
        <w:t>Educaton:</w:t>
      </w:r>
    </w:p>
    <w:p>
      <w:pPr>
        <w:ind w:left="200" w:right="40"/>
        <w:spacing w:after="0" w:line="235" w:lineRule="auto"/>
        <w:rPr>
          <w:sz w:val="20"/>
          <w:szCs w:val="20"/>
          <w:color w:val="auto"/>
        </w:rPr>
      </w:pPr>
      <w:r>
        <w:rPr>
          <w:rFonts w:ascii="Calibri" w:cs="Calibri" w:eastAsia="Calibri" w:hAnsi="Calibri"/>
          <w:sz w:val="16"/>
          <w:szCs w:val="16"/>
          <w:color w:val="auto"/>
        </w:rPr>
        <w:t>B.A., (politcal science), Columbia University; M.B.A., (fnance) Columbia University; Speaks Japanese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550545</wp:posOffset>
            </wp:positionV>
            <wp:extent cx="900430" cy="10629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00430" cy="1062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8"/>
        <w:spacing w:after="0"/>
        <w:tabs>
          <w:tab w:leader="none" w:pos="3248" w:val="left"/>
        </w:tabs>
        <w:rPr>
          <w:sz w:val="20"/>
          <w:szCs w:val="20"/>
          <w:color w:val="auto"/>
        </w:rPr>
      </w:pPr>
      <w:r>
        <w:rPr>
          <w:rFonts w:ascii="Calibri" w:cs="Calibri" w:eastAsia="Calibri" w:hAnsi="Calibri"/>
          <w:sz w:val="25"/>
          <w:szCs w:val="25"/>
          <w:b w:val="1"/>
          <w:bCs w:val="1"/>
          <w:color w:val="FFFFFF"/>
        </w:rPr>
        <w:t>RAUL PARRA</w:t>
      </w:r>
      <w:r>
        <w:rPr>
          <w:sz w:val="20"/>
          <w:szCs w:val="20"/>
          <w:color w:val="auto"/>
        </w:rPr>
        <w:tab/>
      </w:r>
      <w:r>
        <w:rPr>
          <w:rFonts w:ascii="Calibri" w:cs="Calibri" w:eastAsia="Calibri" w:hAnsi="Calibri"/>
          <w:sz w:val="16"/>
          <w:szCs w:val="16"/>
          <w:b w:val="1"/>
          <w:bCs w:val="1"/>
          <w:color w:val="FFFFFF"/>
        </w:rPr>
        <w:t>Chief Financial Ofcer and Treasurer</w:t>
      </w:r>
    </w:p>
    <w:p>
      <w:pPr>
        <w:spacing w:after="0" w:line="201" w:lineRule="exact"/>
        <w:rPr>
          <w:sz w:val="20"/>
          <w:szCs w:val="20"/>
          <w:color w:val="auto"/>
        </w:rPr>
      </w:pPr>
    </w:p>
    <w:p>
      <w:pPr>
        <w:ind w:left="8"/>
        <w:spacing w:after="0"/>
        <w:rPr>
          <w:sz w:val="20"/>
          <w:szCs w:val="20"/>
          <w:color w:val="auto"/>
        </w:rPr>
      </w:pPr>
      <w:r>
        <w:rPr>
          <w:rFonts w:ascii="Calibri" w:cs="Calibri" w:eastAsia="Calibri" w:hAnsi="Calibri"/>
          <w:sz w:val="16"/>
          <w:szCs w:val="16"/>
          <w:b w:val="1"/>
          <w:bCs w:val="1"/>
          <w:color w:val="auto"/>
        </w:rPr>
        <w:t xml:space="preserve">Age: </w:t>
      </w:r>
      <w:r>
        <w:rPr>
          <w:rFonts w:ascii="Calibri" w:cs="Calibri" w:eastAsia="Calibri" w:hAnsi="Calibri"/>
          <w:sz w:val="16"/>
          <w:szCs w:val="16"/>
          <w:color w:val="auto"/>
        </w:rPr>
        <w:t>46</w:t>
      </w:r>
    </w:p>
    <w:p>
      <w:pPr>
        <w:spacing w:after="0" w:line="115" w:lineRule="exact"/>
        <w:rPr>
          <w:sz w:val="20"/>
          <w:szCs w:val="20"/>
          <w:color w:val="auto"/>
        </w:rPr>
      </w:pPr>
    </w:p>
    <w:p>
      <w:pPr>
        <w:ind w:left="8"/>
        <w:spacing w:after="0"/>
        <w:rPr>
          <w:sz w:val="20"/>
          <w:szCs w:val="20"/>
          <w:color w:val="auto"/>
        </w:rPr>
      </w:pPr>
      <w:r>
        <w:rPr>
          <w:rFonts w:ascii="Calibri" w:cs="Calibri" w:eastAsia="Calibri" w:hAnsi="Calibri"/>
          <w:sz w:val="16"/>
          <w:szCs w:val="16"/>
          <w:b w:val="1"/>
          <w:bCs w:val="1"/>
          <w:color w:val="auto"/>
        </w:rPr>
        <w:t xml:space="preserve">Current Positon Since: </w:t>
      </w:r>
      <w:r>
        <w:rPr>
          <w:rFonts w:ascii="Calibri" w:cs="Calibri" w:eastAsia="Calibri" w:hAnsi="Calibri"/>
          <w:sz w:val="16"/>
          <w:szCs w:val="16"/>
          <w:color w:val="auto"/>
        </w:rPr>
        <w:t>July 2018</w:t>
      </w:r>
    </w:p>
    <w:p>
      <w:pPr>
        <w:spacing w:after="0" w:line="102" w:lineRule="exact"/>
        <w:rPr>
          <w:sz w:val="20"/>
          <w:szCs w:val="20"/>
          <w:color w:val="auto"/>
        </w:rPr>
      </w:pPr>
    </w:p>
    <w:p>
      <w:pPr>
        <w:ind w:left="8"/>
        <w:spacing w:after="0"/>
        <w:rPr>
          <w:sz w:val="20"/>
          <w:szCs w:val="20"/>
          <w:color w:val="auto"/>
        </w:rPr>
      </w:pPr>
      <w:r>
        <w:rPr>
          <w:rFonts w:ascii="Calibri" w:cs="Calibri" w:eastAsia="Calibri" w:hAnsi="Calibri"/>
          <w:sz w:val="16"/>
          <w:szCs w:val="16"/>
          <w:b w:val="1"/>
          <w:bCs w:val="1"/>
          <w:color w:val="auto"/>
        </w:rPr>
        <w:t>Highlights:</w:t>
      </w:r>
    </w:p>
    <w:p>
      <w:pPr>
        <w:spacing w:after="0" w:line="63" w:lineRule="exact"/>
        <w:rPr>
          <w:sz w:val="20"/>
          <w:szCs w:val="20"/>
          <w:color w:val="auto"/>
        </w:rPr>
      </w:pPr>
    </w:p>
    <w:p>
      <w:pPr>
        <w:ind w:left="328" w:right="659" w:hanging="328"/>
        <w:spacing w:after="0" w:line="246" w:lineRule="auto"/>
        <w:tabs>
          <w:tab w:leader="none" w:pos="328" w:val="left"/>
        </w:tabs>
        <w:numPr>
          <w:ilvl w:val="0"/>
          <w:numId w:val="59"/>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Previous positons at Merit include, Vice President of Accountng, Corporate Controller and Director of Financial Reportng</w:t>
      </w:r>
    </w:p>
    <w:p>
      <w:pPr>
        <w:spacing w:after="0" w:line="16" w:lineRule="exact"/>
        <w:rPr>
          <w:rFonts w:ascii="Times New Roman" w:cs="Times New Roman" w:eastAsia="Times New Roman" w:hAnsi="Times New Roman"/>
          <w:sz w:val="16"/>
          <w:szCs w:val="16"/>
          <w:color w:val="AF0000"/>
        </w:rPr>
      </w:pPr>
    </w:p>
    <w:p>
      <w:pPr>
        <w:ind w:left="328" w:hanging="328"/>
        <w:spacing w:after="0"/>
        <w:tabs>
          <w:tab w:leader="none" w:pos="328" w:val="left"/>
        </w:tabs>
        <w:numPr>
          <w:ilvl w:val="0"/>
          <w:numId w:val="59"/>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Before joining Merit, held various audit and managerial positons at Deloite &amp; Touche, LLP</w:t>
      </w:r>
    </w:p>
    <w:p>
      <w:pPr>
        <w:spacing w:after="0" w:line="20" w:lineRule="exact"/>
        <w:rPr>
          <w:rFonts w:ascii="Times New Roman" w:cs="Times New Roman" w:eastAsia="Times New Roman" w:hAnsi="Times New Roman"/>
          <w:sz w:val="16"/>
          <w:szCs w:val="16"/>
          <w:color w:val="AF0000"/>
        </w:rPr>
      </w:pPr>
    </w:p>
    <w:p>
      <w:pPr>
        <w:ind w:left="328" w:hanging="328"/>
        <w:spacing w:after="0"/>
        <w:tabs>
          <w:tab w:leader="none" w:pos="328" w:val="left"/>
        </w:tabs>
        <w:numPr>
          <w:ilvl w:val="0"/>
          <w:numId w:val="59"/>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Director and Audit Commitee chair, American Express Natonal Bank, 2022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883285</wp:posOffset>
            </wp:positionV>
            <wp:extent cx="4345940" cy="291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4594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
        <w:spacing w:after="0"/>
        <w:tabs>
          <w:tab w:leader="none" w:pos="3248" w:val="left"/>
        </w:tabs>
        <w:rPr>
          <w:sz w:val="20"/>
          <w:szCs w:val="20"/>
          <w:color w:val="auto"/>
        </w:rPr>
      </w:pPr>
      <w:r>
        <w:rPr>
          <w:rFonts w:ascii="Calibri" w:cs="Calibri" w:eastAsia="Calibri" w:hAnsi="Calibri"/>
          <w:sz w:val="25"/>
          <w:szCs w:val="25"/>
          <w:b w:val="1"/>
          <w:bCs w:val="1"/>
          <w:color w:val="FFFFFF"/>
        </w:rPr>
        <w:t>JOSEPH C. WRIGHT</w:t>
      </w:r>
      <w:r>
        <w:rPr>
          <w:sz w:val="20"/>
          <w:szCs w:val="20"/>
          <w:color w:val="auto"/>
        </w:rPr>
        <w:tab/>
      </w:r>
      <w:r>
        <w:rPr>
          <w:rFonts w:ascii="Calibri" w:cs="Calibri" w:eastAsia="Calibri" w:hAnsi="Calibri"/>
          <w:sz w:val="16"/>
          <w:szCs w:val="16"/>
          <w:b w:val="1"/>
          <w:bCs w:val="1"/>
          <w:color w:val="FFFFFF"/>
        </w:rPr>
        <w:t>Chief Commercial Ofcer</w:t>
      </w:r>
    </w:p>
    <w:p>
      <w:pPr>
        <w:spacing w:after="0" w:line="201" w:lineRule="exact"/>
        <w:rPr>
          <w:sz w:val="20"/>
          <w:szCs w:val="20"/>
          <w:color w:val="auto"/>
        </w:rPr>
      </w:pPr>
    </w:p>
    <w:p>
      <w:pPr>
        <w:ind w:left="8"/>
        <w:spacing w:after="0"/>
        <w:rPr>
          <w:sz w:val="20"/>
          <w:szCs w:val="20"/>
          <w:color w:val="auto"/>
        </w:rPr>
      </w:pPr>
      <w:r>
        <w:rPr>
          <w:rFonts w:ascii="Calibri" w:cs="Calibri" w:eastAsia="Calibri" w:hAnsi="Calibri"/>
          <w:sz w:val="16"/>
          <w:szCs w:val="16"/>
          <w:b w:val="1"/>
          <w:bCs w:val="1"/>
          <w:color w:val="auto"/>
        </w:rPr>
        <w:t xml:space="preserve">Age: </w:t>
      </w:r>
      <w:r>
        <w:rPr>
          <w:rFonts w:ascii="Calibri" w:cs="Calibri" w:eastAsia="Calibri" w:hAnsi="Calibri"/>
          <w:sz w:val="16"/>
          <w:szCs w:val="16"/>
          <w:color w:val="auto"/>
        </w:rPr>
        <w:t>54</w:t>
      </w:r>
    </w:p>
    <w:p>
      <w:pPr>
        <w:spacing w:after="0" w:line="102" w:lineRule="exact"/>
        <w:rPr>
          <w:sz w:val="20"/>
          <w:szCs w:val="20"/>
          <w:color w:val="auto"/>
        </w:rPr>
      </w:pPr>
    </w:p>
    <w:p>
      <w:pPr>
        <w:ind w:left="8"/>
        <w:spacing w:after="0"/>
        <w:rPr>
          <w:sz w:val="20"/>
          <w:szCs w:val="20"/>
          <w:color w:val="auto"/>
        </w:rPr>
      </w:pPr>
      <w:r>
        <w:rPr>
          <w:rFonts w:ascii="Calibri" w:cs="Calibri" w:eastAsia="Calibri" w:hAnsi="Calibri"/>
          <w:sz w:val="16"/>
          <w:szCs w:val="16"/>
          <w:b w:val="1"/>
          <w:bCs w:val="1"/>
          <w:color w:val="auto"/>
        </w:rPr>
        <w:t xml:space="preserve">Current Positon Since: </w:t>
      </w:r>
      <w:r>
        <w:rPr>
          <w:rFonts w:ascii="Calibri" w:cs="Calibri" w:eastAsia="Calibri" w:hAnsi="Calibri"/>
          <w:sz w:val="16"/>
          <w:szCs w:val="16"/>
          <w:color w:val="auto"/>
        </w:rPr>
        <w:t>October 2022</w:t>
      </w:r>
    </w:p>
    <w:p>
      <w:pPr>
        <w:spacing w:after="0" w:line="102" w:lineRule="exact"/>
        <w:rPr>
          <w:sz w:val="20"/>
          <w:szCs w:val="20"/>
          <w:color w:val="auto"/>
        </w:rPr>
      </w:pPr>
    </w:p>
    <w:p>
      <w:pPr>
        <w:ind w:left="8"/>
        <w:spacing w:after="0"/>
        <w:rPr>
          <w:sz w:val="20"/>
          <w:szCs w:val="20"/>
          <w:color w:val="auto"/>
        </w:rPr>
      </w:pPr>
      <w:r>
        <w:rPr>
          <w:rFonts w:ascii="Calibri" w:cs="Calibri" w:eastAsia="Calibri" w:hAnsi="Calibri"/>
          <w:sz w:val="16"/>
          <w:szCs w:val="16"/>
          <w:b w:val="1"/>
          <w:bCs w:val="1"/>
          <w:color w:val="auto"/>
        </w:rPr>
        <w:t>Highlights:</w:t>
      </w:r>
    </w:p>
    <w:p>
      <w:pPr>
        <w:spacing w:after="0" w:line="61" w:lineRule="exact"/>
        <w:rPr>
          <w:sz w:val="20"/>
          <w:szCs w:val="20"/>
          <w:color w:val="auto"/>
        </w:rPr>
      </w:pPr>
    </w:p>
    <w:p>
      <w:pPr>
        <w:ind w:left="328" w:hanging="328"/>
        <w:spacing w:after="0"/>
        <w:tabs>
          <w:tab w:leader="none" w:pos="328" w:val="left"/>
        </w:tabs>
        <w:numPr>
          <w:ilvl w:val="0"/>
          <w:numId w:val="60"/>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Oversees commercial actvites in all global markets</w:t>
      </w:r>
    </w:p>
    <w:p>
      <w:pPr>
        <w:spacing w:after="0" w:line="22" w:lineRule="exact"/>
        <w:rPr>
          <w:rFonts w:ascii="Times New Roman" w:cs="Times New Roman" w:eastAsia="Times New Roman" w:hAnsi="Times New Roman"/>
          <w:sz w:val="16"/>
          <w:szCs w:val="16"/>
          <w:color w:val="AF0000"/>
        </w:rPr>
      </w:pPr>
    </w:p>
    <w:p>
      <w:pPr>
        <w:ind w:left="328" w:right="259" w:hanging="328"/>
        <w:spacing w:after="0" w:line="253" w:lineRule="auto"/>
        <w:tabs>
          <w:tab w:leader="none" w:pos="328" w:val="left"/>
        </w:tabs>
        <w:numPr>
          <w:ilvl w:val="0"/>
          <w:numId w:val="60"/>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Previous positons at Merit include (a) President, Internatonal Division, (b) President, Technology Group – overseeing Merit OEM, Merit Sensor Systems, Inc. and Merit’s coatng division, (c) Vice President of Marketng, and (d) Vice President, Internatonal – responsible for sales in Canada, Asia Pacifc, and Latn America, 2005 to 2015</w:t>
      </w:r>
    </w:p>
    <w:p>
      <w:pPr>
        <w:spacing w:after="0" w:line="13" w:lineRule="exact"/>
        <w:rPr>
          <w:rFonts w:ascii="Times New Roman" w:cs="Times New Roman" w:eastAsia="Times New Roman" w:hAnsi="Times New Roman"/>
          <w:sz w:val="16"/>
          <w:szCs w:val="16"/>
          <w:color w:val="AF0000"/>
        </w:rPr>
      </w:pPr>
    </w:p>
    <w:p>
      <w:pPr>
        <w:ind w:left="328" w:right="579" w:hanging="328"/>
        <w:spacing w:after="0" w:line="251" w:lineRule="auto"/>
        <w:tabs>
          <w:tab w:leader="none" w:pos="328" w:val="left"/>
        </w:tabs>
        <w:numPr>
          <w:ilvl w:val="0"/>
          <w:numId w:val="60"/>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Before joining Merit, held sales, marketng and business development positons with several companies, including Motorola and Micron</w:t>
      </w:r>
    </w:p>
    <w:p>
      <w:pPr>
        <w:spacing w:after="0" w:line="9" w:lineRule="exact"/>
        <w:rPr>
          <w:rFonts w:ascii="Times New Roman" w:cs="Times New Roman" w:eastAsia="Times New Roman" w:hAnsi="Times New Roman"/>
          <w:sz w:val="16"/>
          <w:szCs w:val="16"/>
          <w:color w:val="AF0000"/>
        </w:rPr>
      </w:pPr>
    </w:p>
    <w:p>
      <w:pPr>
        <w:ind w:left="328" w:right="439" w:hanging="328"/>
        <w:spacing w:after="0" w:line="263" w:lineRule="auto"/>
        <w:tabs>
          <w:tab w:leader="none" w:pos="328" w:val="left"/>
        </w:tabs>
        <w:numPr>
          <w:ilvl w:val="0"/>
          <w:numId w:val="60"/>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Mr. Wright is the brother-in-law of Fred P. Lampropoulos, Merit’s Chair of the Board,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305435</wp:posOffset>
            </wp:positionV>
            <wp:extent cx="4345940"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4594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312"/>
            <w:col w:w="6948"/>
          </w:cols>
          <w:pgMar w:left="1440" w:top="504" w:right="1440" w:bottom="1440" w:gutter="0" w:footer="0" w:header="0"/>
          <w:type w:val="continuous"/>
        </w:sectPr>
      </w:pPr>
    </w:p>
    <w:p>
      <w:pPr>
        <w:spacing w:after="0" w:line="322" w:lineRule="exact"/>
        <w:rPr>
          <w:sz w:val="20"/>
          <w:szCs w:val="20"/>
          <w:color w:val="auto"/>
        </w:rPr>
      </w:pPr>
    </w:p>
    <w:p>
      <w:pPr>
        <w:ind w:left="2080"/>
        <w:spacing w:after="0"/>
        <w:rPr>
          <w:sz w:val="20"/>
          <w:szCs w:val="20"/>
          <w:color w:val="auto"/>
        </w:rPr>
      </w:pPr>
      <w:r>
        <w:rPr>
          <w:rFonts w:ascii="Calibri" w:cs="Calibri" w:eastAsia="Calibri" w:hAnsi="Calibri"/>
          <w:sz w:val="25"/>
          <w:szCs w:val="25"/>
          <w:b w:val="1"/>
          <w:bCs w:val="1"/>
          <w:color w:val="FFFFFF"/>
        </w:rPr>
        <w:t>NEIL W. PETERSON</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FFFFFF"/>
        </w:rPr>
        <w:t>Chief Operatng Ofcer</w:t>
      </w:r>
    </w:p>
    <w:p>
      <w:pPr>
        <w:spacing w:after="0" w:line="235" w:lineRule="exact"/>
        <w:rPr>
          <w:sz w:val="20"/>
          <w:szCs w:val="20"/>
          <w:color w:val="auto"/>
        </w:rPr>
      </w:pPr>
    </w:p>
    <w:p>
      <w:pPr>
        <w:sectPr>
          <w:pgSz w:w="11900" w:h="16838" w:orient="portrait"/>
          <w:cols w:equalWidth="0" w:num="2">
            <w:col w:w="4620" w:space="720"/>
            <w:col w:w="3679"/>
          </w:cols>
          <w:pgMar w:left="1440" w:top="504" w:right="1440" w:bottom="1440" w:gutter="0" w:footer="0" w:header="0"/>
          <w:type w:val="continuous"/>
        </w:sectPr>
      </w:pPr>
    </w:p>
    <w:p>
      <w:pPr>
        <w:spacing w:after="0" w:line="1" w:lineRule="exact"/>
        <w:rPr>
          <w:sz w:val="20"/>
          <w:szCs w:val="20"/>
          <w:color w:val="auto"/>
        </w:rPr>
      </w:pPr>
    </w:p>
    <w:p>
      <w:pPr>
        <w:ind w:left="2080"/>
        <w:spacing w:after="0"/>
        <w:rPr>
          <w:sz w:val="20"/>
          <w:szCs w:val="20"/>
          <w:color w:val="auto"/>
        </w:rPr>
      </w:pPr>
      <w:r>
        <w:rPr>
          <w:rFonts w:ascii="Calibri" w:cs="Calibri" w:eastAsia="Calibri" w:hAnsi="Calibri"/>
          <w:sz w:val="16"/>
          <w:szCs w:val="16"/>
          <w:b w:val="1"/>
          <w:bCs w:val="1"/>
          <w:color w:val="auto"/>
        </w:rPr>
        <w:t xml:space="preserve">Age: </w:t>
      </w:r>
      <w:r>
        <w:rPr>
          <w:rFonts w:ascii="Calibri" w:cs="Calibri" w:eastAsia="Calibri" w:hAnsi="Calibri"/>
          <w:sz w:val="16"/>
          <w:szCs w:val="16"/>
          <w:color w:val="auto"/>
        </w:rPr>
        <w:t>58</w:t>
      </w:r>
    </w:p>
    <w:p>
      <w:pPr>
        <w:spacing w:after="0" w:line="115" w:lineRule="exact"/>
        <w:rPr>
          <w:sz w:val="20"/>
          <w:szCs w:val="20"/>
          <w:color w:val="auto"/>
        </w:rPr>
      </w:pPr>
    </w:p>
    <w:p>
      <w:pPr>
        <w:ind w:left="2080"/>
        <w:spacing w:after="0"/>
        <w:rPr>
          <w:sz w:val="20"/>
          <w:szCs w:val="20"/>
          <w:color w:val="auto"/>
        </w:rPr>
      </w:pPr>
      <w:r>
        <w:rPr>
          <w:rFonts w:ascii="Calibri" w:cs="Calibri" w:eastAsia="Calibri" w:hAnsi="Calibri"/>
          <w:sz w:val="16"/>
          <w:szCs w:val="16"/>
          <w:b w:val="1"/>
          <w:bCs w:val="1"/>
          <w:color w:val="auto"/>
        </w:rPr>
        <w:t xml:space="preserve">Current Positon Since: </w:t>
      </w:r>
      <w:r>
        <w:rPr>
          <w:rFonts w:ascii="Calibri" w:cs="Calibri" w:eastAsia="Calibri" w:hAnsi="Calibri"/>
          <w:sz w:val="16"/>
          <w:szCs w:val="16"/>
          <w:color w:val="auto"/>
        </w:rPr>
        <w:t>April 2022</w:t>
      </w:r>
    </w:p>
    <w:p>
      <w:pPr>
        <w:spacing w:after="0" w:line="102" w:lineRule="exact"/>
        <w:rPr>
          <w:sz w:val="20"/>
          <w:szCs w:val="20"/>
          <w:color w:val="auto"/>
        </w:rPr>
      </w:pPr>
    </w:p>
    <w:p>
      <w:pPr>
        <w:ind w:left="2080"/>
        <w:spacing w:after="0"/>
        <w:rPr>
          <w:sz w:val="20"/>
          <w:szCs w:val="20"/>
          <w:color w:val="auto"/>
        </w:rPr>
      </w:pPr>
      <w:r>
        <w:rPr>
          <w:rFonts w:ascii="Calibri" w:cs="Calibri" w:eastAsia="Calibri" w:hAnsi="Calibri"/>
          <w:sz w:val="16"/>
          <w:szCs w:val="16"/>
          <w:b w:val="1"/>
          <w:bCs w:val="1"/>
          <w:color w:val="auto"/>
        </w:rPr>
        <w:t>Highlights:</w:t>
      </w:r>
    </w:p>
    <w:p>
      <w:pPr>
        <w:spacing w:after="0" w:line="61" w:lineRule="exact"/>
        <w:rPr>
          <w:sz w:val="20"/>
          <w:szCs w:val="20"/>
          <w:color w:val="auto"/>
        </w:rPr>
      </w:pPr>
    </w:p>
    <w:p>
      <w:pPr>
        <w:ind w:left="2400" w:hanging="328"/>
        <w:spacing w:after="0"/>
        <w:tabs>
          <w:tab w:leader="none" w:pos="2400" w:val="left"/>
        </w:tabs>
        <w:numPr>
          <w:ilvl w:val="0"/>
          <w:numId w:val="61"/>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More than 28 years of service to Merit and its shareholders</w:t>
      </w:r>
    </w:p>
    <w:p>
      <w:pPr>
        <w:spacing w:after="0" w:line="7" w:lineRule="exact"/>
        <w:rPr>
          <w:rFonts w:ascii="Times New Roman" w:cs="Times New Roman" w:eastAsia="Times New Roman" w:hAnsi="Times New Roman"/>
          <w:sz w:val="16"/>
          <w:szCs w:val="16"/>
          <w:color w:val="AF0000"/>
        </w:rPr>
      </w:pPr>
    </w:p>
    <w:p>
      <w:pPr>
        <w:ind w:left="2400" w:hanging="328"/>
        <w:spacing w:after="0" w:line="223" w:lineRule="auto"/>
        <w:tabs>
          <w:tab w:leader="none" w:pos="2400" w:val="left"/>
        </w:tabs>
        <w:numPr>
          <w:ilvl w:val="0"/>
          <w:numId w:val="61"/>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Previous positons at Merit include Vice President Operatons</w:t>
      </w:r>
    </w:p>
    <w:p>
      <w:pPr>
        <w:ind w:left="200"/>
        <w:spacing w:after="0" w:line="198" w:lineRule="auto"/>
        <w:rPr>
          <w:sz w:val="20"/>
          <w:szCs w:val="20"/>
          <w:color w:val="auto"/>
        </w:rPr>
      </w:pPr>
      <w:r>
        <w:rPr>
          <w:rFonts w:ascii="Calibri" w:cs="Calibri" w:eastAsia="Calibri" w:hAnsi="Calibri"/>
          <w:sz w:val="16"/>
          <w:szCs w:val="16"/>
          <w:b w:val="1"/>
          <w:bCs w:val="1"/>
          <w:color w:val="auto"/>
        </w:rPr>
        <w:t>Educaton:</w:t>
      </w:r>
    </w:p>
    <w:p>
      <w:pPr>
        <w:spacing w:after="0" w:line="8" w:lineRule="exact"/>
        <w:rPr>
          <w:sz w:val="20"/>
          <w:szCs w:val="20"/>
          <w:color w:val="auto"/>
        </w:rPr>
      </w:pPr>
    </w:p>
    <w:p>
      <w:pPr>
        <w:ind w:left="200"/>
        <w:spacing w:after="0"/>
        <w:rPr>
          <w:sz w:val="20"/>
          <w:szCs w:val="20"/>
          <w:color w:val="auto"/>
        </w:rPr>
      </w:pPr>
      <w:r>
        <w:rPr>
          <w:rFonts w:ascii="Calibri" w:cs="Calibri" w:eastAsia="Calibri" w:hAnsi="Calibri"/>
          <w:sz w:val="16"/>
          <w:szCs w:val="16"/>
          <w:color w:val="auto"/>
        </w:rPr>
        <w:t>B.S. (electronic</w:t>
      </w:r>
    </w:p>
    <w:p>
      <w:pPr>
        <w:ind w:left="200"/>
        <w:spacing w:after="0" w:line="232" w:lineRule="auto"/>
        <w:rPr>
          <w:sz w:val="20"/>
          <w:szCs w:val="20"/>
          <w:color w:val="auto"/>
        </w:rPr>
      </w:pPr>
      <w:r>
        <w:rPr>
          <w:rFonts w:ascii="Calibri" w:cs="Calibri" w:eastAsia="Calibri" w:hAnsi="Calibri"/>
          <w:sz w:val="16"/>
          <w:szCs w:val="16"/>
          <w:color w:val="auto"/>
        </w:rPr>
        <w:t>engineering), Weber</w:t>
      </w:r>
    </w:p>
    <w:p>
      <w:pPr>
        <w:ind w:left="200"/>
        <w:spacing w:after="0" w:line="232" w:lineRule="auto"/>
        <w:rPr>
          <w:sz w:val="20"/>
          <w:szCs w:val="20"/>
          <w:color w:val="auto"/>
        </w:rPr>
      </w:pPr>
      <w:r>
        <w:rPr>
          <w:rFonts w:ascii="Calibri" w:cs="Calibri" w:eastAsia="Calibri" w:hAnsi="Calibri"/>
          <w:sz w:val="16"/>
          <w:szCs w:val="16"/>
          <w:color w:val="auto"/>
        </w:rPr>
        <w:t>State University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 xml:space="preserve">www.merit.com </w:t>
      </w:r>
      <w:r>
        <w:rPr>
          <w:rFonts w:ascii="Calibri" w:cs="Calibri" w:eastAsia="Calibri" w:hAnsi="Calibri"/>
          <w:sz w:val="18"/>
          <w:szCs w:val="18"/>
          <w:color w:val="AF0000"/>
        </w:rPr>
        <w:t>|</w:t>
      </w:r>
      <w:r>
        <w:rPr>
          <w:rFonts w:ascii="Calibri" w:cs="Calibri" w:eastAsia="Calibri" w:hAnsi="Calibri"/>
          <w:sz w:val="18"/>
          <w:szCs w:val="18"/>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358140</wp:posOffset>
            </wp:positionV>
            <wp:extent cx="545211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41" w:name="page42"/>
    <w:bookmarkEnd w:id="41"/>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EXECUTIVE COMPENSATION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225425</wp:posOffset>
            </wp:positionV>
            <wp:extent cx="5452110" cy="1071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52110" cy="107188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Calibri" w:cs="Calibri" w:eastAsia="Calibri" w:hAnsi="Calibri"/>
          <w:sz w:val="16"/>
          <w:szCs w:val="16"/>
          <w:b w:val="1"/>
          <w:bCs w:val="1"/>
          <w:color w:val="auto"/>
        </w:rPr>
        <w:t>Educaton:</w:t>
      </w:r>
    </w:p>
    <w:p>
      <w:pPr>
        <w:spacing w:after="0" w:line="7" w:lineRule="exact"/>
        <w:rPr>
          <w:sz w:val="20"/>
          <w:szCs w:val="20"/>
          <w:color w:val="auto"/>
        </w:rPr>
      </w:pPr>
    </w:p>
    <w:p>
      <w:pPr>
        <w:ind w:left="200"/>
        <w:spacing w:after="0"/>
        <w:rPr>
          <w:sz w:val="20"/>
          <w:szCs w:val="20"/>
          <w:color w:val="auto"/>
        </w:rPr>
      </w:pPr>
      <w:r>
        <w:rPr>
          <w:rFonts w:ascii="Calibri" w:cs="Calibri" w:eastAsia="Calibri" w:hAnsi="Calibri"/>
          <w:sz w:val="16"/>
          <w:szCs w:val="16"/>
          <w:color w:val="auto"/>
        </w:rPr>
        <w:t>B.S. (fnance), Brigham</w:t>
      </w:r>
    </w:p>
    <w:p>
      <w:pPr>
        <w:ind w:left="200"/>
        <w:spacing w:after="0" w:line="232" w:lineRule="auto"/>
        <w:rPr>
          <w:sz w:val="20"/>
          <w:szCs w:val="20"/>
          <w:color w:val="auto"/>
        </w:rPr>
      </w:pPr>
      <w:r>
        <w:rPr>
          <w:rFonts w:ascii="Calibri" w:cs="Calibri" w:eastAsia="Calibri" w:hAnsi="Calibri"/>
          <w:sz w:val="16"/>
          <w:szCs w:val="16"/>
          <w:color w:val="auto"/>
        </w:rPr>
        <w:t>Young University; J.D.,</w:t>
      </w:r>
    </w:p>
    <w:p>
      <w:pPr>
        <w:ind w:left="200"/>
        <w:spacing w:after="0" w:line="232" w:lineRule="auto"/>
        <w:rPr>
          <w:sz w:val="20"/>
          <w:szCs w:val="20"/>
          <w:color w:val="auto"/>
        </w:rPr>
      </w:pPr>
      <w:r>
        <w:rPr>
          <w:rFonts w:ascii="Calibri" w:cs="Calibri" w:eastAsia="Calibri" w:hAnsi="Calibri"/>
          <w:sz w:val="16"/>
          <w:szCs w:val="16"/>
          <w:color w:val="auto"/>
        </w:rPr>
        <w:t>Columbia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326390</wp:posOffset>
            </wp:positionV>
            <wp:extent cx="951230" cy="1062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51230" cy="1062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8"/>
        <w:spacing w:after="0"/>
        <w:tabs>
          <w:tab w:leader="none" w:pos="3248" w:val="left"/>
        </w:tabs>
        <w:rPr>
          <w:sz w:val="20"/>
          <w:szCs w:val="20"/>
          <w:color w:val="auto"/>
        </w:rPr>
      </w:pPr>
      <w:r>
        <w:rPr>
          <w:rFonts w:ascii="Calibri" w:cs="Calibri" w:eastAsia="Calibri" w:hAnsi="Calibri"/>
          <w:sz w:val="25"/>
          <w:szCs w:val="25"/>
          <w:b w:val="1"/>
          <w:bCs w:val="1"/>
          <w:color w:val="FFFFFF"/>
        </w:rPr>
        <w:t>BRIAN G. LLOYD</w:t>
      </w:r>
      <w:r>
        <w:rPr>
          <w:sz w:val="20"/>
          <w:szCs w:val="20"/>
          <w:color w:val="auto"/>
        </w:rPr>
        <w:tab/>
      </w:r>
      <w:r>
        <w:rPr>
          <w:rFonts w:ascii="Calibri" w:cs="Calibri" w:eastAsia="Calibri" w:hAnsi="Calibri"/>
          <w:sz w:val="16"/>
          <w:szCs w:val="16"/>
          <w:b w:val="1"/>
          <w:bCs w:val="1"/>
          <w:color w:val="FFFFFF"/>
        </w:rPr>
        <w:t>Chief Legal Ofcer, Corporate Secretary</w:t>
      </w:r>
    </w:p>
    <w:p>
      <w:pPr>
        <w:spacing w:after="0" w:line="201" w:lineRule="exact"/>
        <w:rPr>
          <w:sz w:val="20"/>
          <w:szCs w:val="20"/>
          <w:color w:val="auto"/>
        </w:rPr>
      </w:pPr>
    </w:p>
    <w:p>
      <w:pPr>
        <w:ind w:left="8"/>
        <w:spacing w:after="0"/>
        <w:rPr>
          <w:sz w:val="20"/>
          <w:szCs w:val="20"/>
          <w:color w:val="auto"/>
        </w:rPr>
      </w:pPr>
      <w:r>
        <w:rPr>
          <w:rFonts w:ascii="Calibri" w:cs="Calibri" w:eastAsia="Calibri" w:hAnsi="Calibri"/>
          <w:sz w:val="16"/>
          <w:szCs w:val="16"/>
          <w:b w:val="1"/>
          <w:bCs w:val="1"/>
          <w:color w:val="auto"/>
        </w:rPr>
        <w:t xml:space="preserve">Age: </w:t>
      </w:r>
      <w:r>
        <w:rPr>
          <w:rFonts w:ascii="Calibri" w:cs="Calibri" w:eastAsia="Calibri" w:hAnsi="Calibri"/>
          <w:sz w:val="16"/>
          <w:szCs w:val="16"/>
          <w:color w:val="auto"/>
        </w:rPr>
        <w:t>63</w:t>
      </w:r>
    </w:p>
    <w:p>
      <w:pPr>
        <w:spacing w:after="0" w:line="115" w:lineRule="exact"/>
        <w:rPr>
          <w:sz w:val="20"/>
          <w:szCs w:val="20"/>
          <w:color w:val="auto"/>
        </w:rPr>
      </w:pPr>
    </w:p>
    <w:p>
      <w:pPr>
        <w:ind w:left="8"/>
        <w:spacing w:after="0"/>
        <w:rPr>
          <w:sz w:val="20"/>
          <w:szCs w:val="20"/>
          <w:color w:val="auto"/>
        </w:rPr>
      </w:pPr>
      <w:r>
        <w:rPr>
          <w:rFonts w:ascii="Calibri" w:cs="Calibri" w:eastAsia="Calibri" w:hAnsi="Calibri"/>
          <w:sz w:val="16"/>
          <w:szCs w:val="16"/>
          <w:b w:val="1"/>
          <w:bCs w:val="1"/>
          <w:color w:val="auto"/>
        </w:rPr>
        <w:t xml:space="preserve">Current Positon Since: </w:t>
      </w:r>
      <w:r>
        <w:rPr>
          <w:rFonts w:ascii="Calibri" w:cs="Calibri" w:eastAsia="Calibri" w:hAnsi="Calibri"/>
          <w:sz w:val="16"/>
          <w:szCs w:val="16"/>
          <w:color w:val="auto"/>
        </w:rPr>
        <w:t>April 2016</w:t>
      </w:r>
    </w:p>
    <w:p>
      <w:pPr>
        <w:spacing w:after="0" w:line="102" w:lineRule="exact"/>
        <w:rPr>
          <w:sz w:val="20"/>
          <w:szCs w:val="20"/>
          <w:color w:val="auto"/>
        </w:rPr>
      </w:pPr>
    </w:p>
    <w:p>
      <w:pPr>
        <w:ind w:left="8"/>
        <w:spacing w:after="0"/>
        <w:rPr>
          <w:sz w:val="20"/>
          <w:szCs w:val="20"/>
          <w:color w:val="auto"/>
        </w:rPr>
      </w:pPr>
      <w:r>
        <w:rPr>
          <w:rFonts w:ascii="Calibri" w:cs="Calibri" w:eastAsia="Calibri" w:hAnsi="Calibri"/>
          <w:sz w:val="16"/>
          <w:szCs w:val="16"/>
          <w:b w:val="1"/>
          <w:bCs w:val="1"/>
          <w:color w:val="auto"/>
        </w:rPr>
        <w:t>Highlights:</w:t>
      </w:r>
    </w:p>
    <w:p>
      <w:pPr>
        <w:spacing w:after="0" w:line="63" w:lineRule="exact"/>
        <w:rPr>
          <w:sz w:val="20"/>
          <w:szCs w:val="20"/>
          <w:color w:val="auto"/>
        </w:rPr>
      </w:pPr>
    </w:p>
    <w:p>
      <w:pPr>
        <w:ind w:left="328" w:right="319" w:hanging="328"/>
        <w:spacing w:after="0" w:line="247" w:lineRule="auto"/>
        <w:tabs>
          <w:tab w:leader="none" w:pos="328" w:val="left"/>
        </w:tabs>
        <w:numPr>
          <w:ilvl w:val="0"/>
          <w:numId w:val="62"/>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Practced as an atorney, specializing in corporate governance, securites regulaton and mergers &amp; acquisitons, with the law frm of Parr Brown Gee &amp; Loveless, PC in Salt Lake City, Utah for more than 20 years</w:t>
      </w:r>
    </w:p>
    <w:p>
      <w:pPr>
        <w:spacing w:after="0" w:line="31" w:lineRule="exact"/>
        <w:rPr>
          <w:rFonts w:ascii="Times New Roman" w:cs="Times New Roman" w:eastAsia="Times New Roman" w:hAnsi="Times New Roman"/>
          <w:sz w:val="16"/>
          <w:szCs w:val="16"/>
          <w:color w:val="AF0000"/>
        </w:rPr>
      </w:pPr>
    </w:p>
    <w:p>
      <w:pPr>
        <w:ind w:left="328" w:right="859" w:hanging="328"/>
        <w:spacing w:after="0" w:line="246" w:lineRule="auto"/>
        <w:tabs>
          <w:tab w:leader="none" w:pos="328" w:val="left"/>
        </w:tabs>
        <w:numPr>
          <w:ilvl w:val="0"/>
          <w:numId w:val="62"/>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Also practced law in those areas of specializaton as a partner with the law frm of Stoel Rives, LLP for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383540</wp:posOffset>
            </wp:positionV>
            <wp:extent cx="4345940" cy="291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45940" cy="291465"/>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1700" w:space="372"/>
            <w:col w:w="6948"/>
          </w:cols>
          <w:pgMar w:left="1440" w:top="5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spacing w:after="0" w:line="235" w:lineRule="auto"/>
        <w:rPr>
          <w:sz w:val="20"/>
          <w:szCs w:val="20"/>
          <w:color w:val="auto"/>
        </w:rPr>
      </w:pPr>
      <w:r>
        <w:rPr>
          <w:rFonts w:ascii="Calibri" w:cs="Calibri" w:eastAsia="Calibri" w:hAnsi="Calibri"/>
          <w:sz w:val="16"/>
          <w:szCs w:val="16"/>
          <w:b w:val="1"/>
          <w:bCs w:val="1"/>
          <w:color w:val="auto"/>
        </w:rPr>
        <w:t xml:space="preserve">Educaton: </w:t>
      </w:r>
      <w:r>
        <w:rPr>
          <w:rFonts w:ascii="Calibri" w:cs="Calibri" w:eastAsia="Calibri" w:hAnsi="Calibri"/>
          <w:sz w:val="16"/>
          <w:szCs w:val="16"/>
          <w:color w:val="auto"/>
        </w:rPr>
        <w:t>B.S. (business administraton and management), Oklahoma State University</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8"/>
        <w:spacing w:after="0"/>
        <w:tabs>
          <w:tab w:leader="none" w:pos="3248" w:val="left"/>
        </w:tabs>
        <w:rPr>
          <w:sz w:val="20"/>
          <w:szCs w:val="20"/>
          <w:color w:val="auto"/>
        </w:rPr>
      </w:pPr>
      <w:r>
        <w:rPr>
          <w:rFonts w:ascii="Calibri" w:cs="Calibri" w:eastAsia="Calibri" w:hAnsi="Calibri"/>
          <w:sz w:val="25"/>
          <w:szCs w:val="25"/>
          <w:b w:val="1"/>
          <w:bCs w:val="1"/>
          <w:color w:val="FFFFFF"/>
        </w:rPr>
        <w:t>MICHEL J. VOIGT</w:t>
      </w:r>
      <w:r>
        <w:rPr>
          <w:sz w:val="20"/>
          <w:szCs w:val="20"/>
          <w:color w:val="auto"/>
        </w:rPr>
        <w:tab/>
      </w:r>
      <w:r>
        <w:rPr>
          <w:rFonts w:ascii="Calibri" w:cs="Calibri" w:eastAsia="Calibri" w:hAnsi="Calibri"/>
          <w:sz w:val="16"/>
          <w:szCs w:val="16"/>
          <w:b w:val="1"/>
          <w:bCs w:val="1"/>
          <w:color w:val="FFFFFF"/>
        </w:rPr>
        <w:t>Chief Human Resources Ofcer</w:t>
      </w:r>
    </w:p>
    <w:p>
      <w:pPr>
        <w:spacing w:after="0" w:line="201" w:lineRule="exact"/>
        <w:rPr>
          <w:sz w:val="20"/>
          <w:szCs w:val="20"/>
          <w:color w:val="auto"/>
        </w:rPr>
      </w:pPr>
    </w:p>
    <w:p>
      <w:pPr>
        <w:ind w:left="8"/>
        <w:spacing w:after="0"/>
        <w:rPr>
          <w:sz w:val="20"/>
          <w:szCs w:val="20"/>
          <w:color w:val="auto"/>
        </w:rPr>
      </w:pPr>
      <w:r>
        <w:rPr>
          <w:rFonts w:ascii="Calibri" w:cs="Calibri" w:eastAsia="Calibri" w:hAnsi="Calibri"/>
          <w:sz w:val="16"/>
          <w:szCs w:val="16"/>
          <w:b w:val="1"/>
          <w:bCs w:val="1"/>
          <w:color w:val="auto"/>
        </w:rPr>
        <w:t xml:space="preserve">Age: </w:t>
      </w:r>
      <w:r>
        <w:rPr>
          <w:rFonts w:ascii="Calibri" w:cs="Calibri" w:eastAsia="Calibri" w:hAnsi="Calibri"/>
          <w:sz w:val="16"/>
          <w:szCs w:val="16"/>
          <w:color w:val="auto"/>
        </w:rPr>
        <w:t>51</w:t>
      </w:r>
    </w:p>
    <w:p>
      <w:pPr>
        <w:spacing w:after="0" w:line="102" w:lineRule="exact"/>
        <w:rPr>
          <w:sz w:val="20"/>
          <w:szCs w:val="20"/>
          <w:color w:val="auto"/>
        </w:rPr>
      </w:pPr>
    </w:p>
    <w:p>
      <w:pPr>
        <w:ind w:left="8"/>
        <w:spacing w:after="0"/>
        <w:rPr>
          <w:sz w:val="20"/>
          <w:szCs w:val="20"/>
          <w:color w:val="auto"/>
        </w:rPr>
      </w:pPr>
      <w:r>
        <w:rPr>
          <w:rFonts w:ascii="Calibri" w:cs="Calibri" w:eastAsia="Calibri" w:hAnsi="Calibri"/>
          <w:sz w:val="16"/>
          <w:szCs w:val="16"/>
          <w:b w:val="1"/>
          <w:bCs w:val="1"/>
          <w:color w:val="auto"/>
        </w:rPr>
        <w:t xml:space="preserve">Current Positon Since: </w:t>
      </w:r>
      <w:r>
        <w:rPr>
          <w:rFonts w:ascii="Calibri" w:cs="Calibri" w:eastAsia="Calibri" w:hAnsi="Calibri"/>
          <w:sz w:val="16"/>
          <w:szCs w:val="16"/>
          <w:color w:val="auto"/>
        </w:rPr>
        <w:t>December 2020</w:t>
      </w:r>
    </w:p>
    <w:p>
      <w:pPr>
        <w:spacing w:after="0" w:line="115" w:lineRule="exact"/>
        <w:rPr>
          <w:sz w:val="20"/>
          <w:szCs w:val="20"/>
          <w:color w:val="auto"/>
        </w:rPr>
      </w:pPr>
    </w:p>
    <w:p>
      <w:pPr>
        <w:ind w:left="8"/>
        <w:spacing w:after="0"/>
        <w:rPr>
          <w:sz w:val="20"/>
          <w:szCs w:val="20"/>
          <w:color w:val="auto"/>
        </w:rPr>
      </w:pPr>
      <w:r>
        <w:rPr>
          <w:rFonts w:ascii="Calibri" w:cs="Calibri" w:eastAsia="Calibri" w:hAnsi="Calibri"/>
          <w:sz w:val="16"/>
          <w:szCs w:val="16"/>
          <w:b w:val="1"/>
          <w:bCs w:val="1"/>
          <w:color w:val="auto"/>
        </w:rPr>
        <w:t>Highlights:</w:t>
      </w:r>
    </w:p>
    <w:p>
      <w:pPr>
        <w:spacing w:after="0" w:line="48" w:lineRule="exact"/>
        <w:rPr>
          <w:sz w:val="20"/>
          <w:szCs w:val="20"/>
          <w:color w:val="auto"/>
        </w:rPr>
      </w:pPr>
    </w:p>
    <w:p>
      <w:pPr>
        <w:ind w:left="328" w:hanging="328"/>
        <w:spacing w:after="0"/>
        <w:tabs>
          <w:tab w:leader="none" w:pos="328" w:val="left"/>
        </w:tabs>
        <w:numPr>
          <w:ilvl w:val="0"/>
          <w:numId w:val="63"/>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Former Chief Human Resources Ofcer of Mavenir Systems, Inc. from 2017-2020</w:t>
      </w:r>
    </w:p>
    <w:p>
      <w:pPr>
        <w:spacing w:after="0" w:line="22" w:lineRule="exact"/>
        <w:rPr>
          <w:rFonts w:ascii="Times New Roman" w:cs="Times New Roman" w:eastAsia="Times New Roman" w:hAnsi="Times New Roman"/>
          <w:sz w:val="16"/>
          <w:szCs w:val="16"/>
          <w:color w:val="AF0000"/>
        </w:rPr>
      </w:pPr>
    </w:p>
    <w:p>
      <w:pPr>
        <w:ind w:left="328" w:right="1079" w:hanging="328"/>
        <w:spacing w:after="0" w:line="263" w:lineRule="auto"/>
        <w:tabs>
          <w:tab w:leader="none" w:pos="328" w:val="left"/>
        </w:tabs>
        <w:numPr>
          <w:ilvl w:val="0"/>
          <w:numId w:val="63"/>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Over 20 years of experience in human resources management in various positons at Galderma/Nestle Skin Health, Lexicon Pharmaceutcals Incorporated, and Verizon</w:t>
      </w:r>
    </w:p>
    <w:p>
      <w:pPr>
        <w:spacing w:after="0" w:line="1067" w:lineRule="exact"/>
        <w:rPr>
          <w:sz w:val="20"/>
          <w:szCs w:val="20"/>
          <w:color w:val="auto"/>
        </w:rPr>
      </w:pPr>
    </w:p>
    <w:p>
      <w:pPr>
        <w:sectPr>
          <w:pgSz w:w="11900" w:h="16838" w:orient="portrait"/>
          <w:cols w:equalWidth="0" w:num="2">
            <w:col w:w="1460" w:space="612"/>
            <w:col w:w="6948"/>
          </w:cols>
          <w:pgMar w:left="1440" w:top="504" w:right="1440" w:bottom="1440" w:gutter="0" w:footer="0" w:header="0"/>
          <w:type w:val="continuous"/>
        </w:sectPr>
      </w:pPr>
    </w:p>
    <w:p>
      <w:pPr>
        <w:spacing w:after="0" w:line="115"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Compensaton Discussion and Analysis</w:t>
      </w:r>
    </w:p>
    <w:p>
      <w:pPr>
        <w:spacing w:after="0" w:line="186" w:lineRule="exact"/>
        <w:rPr>
          <w:sz w:val="20"/>
          <w:szCs w:val="20"/>
          <w:color w:val="auto"/>
        </w:rPr>
      </w:pPr>
    </w:p>
    <w:p>
      <w:pPr>
        <w:ind w:left="200" w:right="519"/>
        <w:spacing w:after="0" w:line="235" w:lineRule="auto"/>
        <w:rPr>
          <w:sz w:val="20"/>
          <w:szCs w:val="20"/>
          <w:color w:val="auto"/>
        </w:rPr>
      </w:pPr>
      <w:r>
        <w:rPr>
          <w:rFonts w:ascii="Calibri" w:cs="Calibri" w:eastAsia="Calibri" w:hAnsi="Calibri"/>
          <w:sz w:val="18"/>
          <w:szCs w:val="18"/>
          <w:color w:val="auto"/>
        </w:rPr>
        <w:t>This Compensaton Discussion and Analysis is designed to explain our philosophy and objectves underlying our executve compensaton policies, the processes we follow in setng executve compensaton, and the components of executve compensaton that we utlize in compensatng our NEOs, who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127635</wp:posOffset>
            </wp:positionV>
            <wp:extent cx="2674620" cy="7715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74620" cy="771525"/>
                    </a:xfrm>
                    <a:prstGeom prst="rect">
                      <a:avLst/>
                    </a:prstGeom>
                    <a:noFill/>
                  </pic:spPr>
                </pic:pic>
              </a:graphicData>
            </a:graphic>
          </wp:anchor>
        </w:drawing>
      </w:r>
    </w:p>
    <w:p>
      <w:pPr>
        <w:spacing w:after="0" w:line="342" w:lineRule="exact"/>
        <w:rPr>
          <w:sz w:val="20"/>
          <w:szCs w:val="20"/>
          <w:color w:val="auto"/>
        </w:rPr>
      </w:pPr>
    </w:p>
    <w:p>
      <w:pPr>
        <w:ind w:left="2580"/>
        <w:spacing w:after="0"/>
        <w:rPr>
          <w:sz w:val="20"/>
          <w:szCs w:val="20"/>
          <w:color w:val="auto"/>
        </w:rPr>
      </w:pPr>
      <w:r>
        <w:rPr>
          <w:rFonts w:ascii="Calibri" w:cs="Calibri" w:eastAsia="Calibri" w:hAnsi="Calibri"/>
          <w:sz w:val="18"/>
          <w:szCs w:val="18"/>
          <w:color w:val="auto"/>
        </w:rPr>
        <w:t>The Summary Compensaton Table and other</w:t>
      </w:r>
    </w:p>
    <w:p>
      <w:pPr>
        <w:ind w:left="2580"/>
        <w:spacing w:after="0" w:line="235" w:lineRule="auto"/>
        <w:rPr>
          <w:sz w:val="20"/>
          <w:szCs w:val="20"/>
          <w:color w:val="auto"/>
        </w:rPr>
      </w:pPr>
      <w:r>
        <w:rPr>
          <w:rFonts w:ascii="Calibri" w:cs="Calibri" w:eastAsia="Calibri" w:hAnsi="Calibri"/>
          <w:sz w:val="18"/>
          <w:szCs w:val="18"/>
          <w:color w:val="auto"/>
        </w:rPr>
        <w:t>compensaton tables under “Executve Compensaton</w:t>
      </w:r>
    </w:p>
    <w:p>
      <w:pPr>
        <w:ind w:left="2580"/>
        <w:spacing w:after="0" w:line="236" w:lineRule="auto"/>
        <w:rPr>
          <w:sz w:val="20"/>
          <w:szCs w:val="20"/>
          <w:color w:val="auto"/>
        </w:rPr>
      </w:pPr>
      <w:r>
        <w:rPr>
          <w:rFonts w:ascii="Calibri" w:cs="Calibri" w:eastAsia="Calibri" w:hAnsi="Calibri"/>
          <w:sz w:val="18"/>
          <w:szCs w:val="18"/>
          <w:color w:val="auto"/>
        </w:rPr>
        <w:t>Tables” below should be read in conjuncton with this</w:t>
      </w:r>
    </w:p>
    <w:p>
      <w:pPr>
        <w:ind w:left="2580"/>
        <w:spacing w:after="0" w:line="222" w:lineRule="auto"/>
        <w:rPr>
          <w:sz w:val="20"/>
          <w:szCs w:val="20"/>
          <w:color w:val="auto"/>
        </w:rPr>
      </w:pPr>
      <w:r>
        <w:rPr>
          <w:rFonts w:ascii="Calibri" w:cs="Calibri" w:eastAsia="Calibri" w:hAnsi="Calibri"/>
          <w:sz w:val="18"/>
          <w:szCs w:val="18"/>
          <w:color w:val="auto"/>
        </w:rPr>
        <w:t>secton.</w:t>
      </w:r>
    </w:p>
    <w:p>
      <w:pPr>
        <w:spacing w:after="0" w:line="200" w:lineRule="exact"/>
        <w:rPr>
          <w:sz w:val="20"/>
          <w:szCs w:val="20"/>
          <w:color w:val="auto"/>
        </w:rPr>
      </w:pP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263"/>
        </w:trPr>
        <w:tc>
          <w:tcPr>
            <w:tcW w:w="1140" w:type="dxa"/>
            <w:vAlign w:val="bottom"/>
          </w:tcPr>
          <w:p>
            <w:pPr>
              <w:spacing w:after="0"/>
              <w:rPr>
                <w:sz w:val="22"/>
                <w:szCs w:val="22"/>
                <w:color w:val="auto"/>
              </w:rPr>
            </w:pPr>
          </w:p>
        </w:tc>
        <w:tc>
          <w:tcPr>
            <w:tcW w:w="2220" w:type="dxa"/>
            <w:vAlign w:val="bottom"/>
            <w:tcBorders>
              <w:top w:val="single" w:sz="8" w:color="AF0000"/>
              <w:bottom w:val="single" w:sz="8" w:color="AF0000"/>
            </w:tcBorders>
          </w:tcPr>
          <w:p>
            <w:pPr>
              <w:ind w:left="80"/>
              <w:spacing w:after="0"/>
              <w:rPr>
                <w:sz w:val="20"/>
                <w:szCs w:val="20"/>
                <w:color w:val="auto"/>
              </w:rPr>
            </w:pPr>
            <w:r>
              <w:rPr>
                <w:rFonts w:ascii="Calibri" w:cs="Calibri" w:eastAsia="Calibri" w:hAnsi="Calibri"/>
                <w:sz w:val="18"/>
                <w:szCs w:val="18"/>
                <w:b w:val="1"/>
                <w:bCs w:val="1"/>
                <w:color w:val="auto"/>
              </w:rPr>
              <w:t>Named Executve Ofcer</w:t>
            </w:r>
          </w:p>
        </w:tc>
        <w:tc>
          <w:tcPr>
            <w:tcW w:w="4120" w:type="dxa"/>
            <w:vAlign w:val="bottom"/>
            <w:tcBorders>
              <w:top w:val="single" w:sz="8" w:color="AF0000"/>
              <w:bottom w:val="single" w:sz="8" w:color="AF0000"/>
            </w:tcBorders>
          </w:tcPr>
          <w:p>
            <w:pPr>
              <w:ind w:left="360"/>
              <w:spacing w:after="0"/>
              <w:rPr>
                <w:sz w:val="20"/>
                <w:szCs w:val="20"/>
                <w:color w:val="auto"/>
              </w:rPr>
            </w:pPr>
            <w:r>
              <w:rPr>
                <w:rFonts w:ascii="Calibri" w:cs="Calibri" w:eastAsia="Calibri" w:hAnsi="Calibri"/>
                <w:sz w:val="18"/>
                <w:szCs w:val="18"/>
                <w:b w:val="1"/>
                <w:bCs w:val="1"/>
                <w:color w:val="auto"/>
              </w:rPr>
              <w:t>Positon</w:t>
            </w:r>
          </w:p>
        </w:tc>
        <w:tc>
          <w:tcPr>
            <w:tcW w:w="1120" w:type="dxa"/>
            <w:vAlign w:val="bottom"/>
          </w:tcPr>
          <w:p>
            <w:pPr>
              <w:spacing w:after="0"/>
              <w:rPr>
                <w:sz w:val="22"/>
                <w:szCs w:val="22"/>
                <w:color w:val="auto"/>
              </w:rPr>
            </w:pPr>
          </w:p>
        </w:tc>
      </w:tr>
      <w:tr>
        <w:trPr>
          <w:trHeight w:val="223"/>
        </w:trPr>
        <w:tc>
          <w:tcPr>
            <w:tcW w:w="1140" w:type="dxa"/>
            <w:vAlign w:val="bottom"/>
          </w:tcPr>
          <w:p>
            <w:pPr>
              <w:spacing w:after="0"/>
              <w:rPr>
                <w:sz w:val="19"/>
                <w:szCs w:val="19"/>
                <w:color w:val="auto"/>
              </w:rPr>
            </w:pPr>
          </w:p>
        </w:tc>
        <w:tc>
          <w:tcPr>
            <w:tcW w:w="222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Fred P. Lampropoulos</w:t>
            </w:r>
          </w:p>
        </w:tc>
        <w:tc>
          <w:tcPr>
            <w:tcW w:w="4120" w:type="dxa"/>
            <w:vAlign w:val="bottom"/>
            <w:tcBorders>
              <w:bottom w:val="single" w:sz="8" w:color="A6A6A6"/>
            </w:tcBorders>
          </w:tcPr>
          <w:p>
            <w:pPr>
              <w:ind w:left="360"/>
              <w:spacing w:after="0" w:line="215" w:lineRule="exact"/>
              <w:rPr>
                <w:sz w:val="20"/>
                <w:szCs w:val="20"/>
                <w:color w:val="auto"/>
              </w:rPr>
            </w:pPr>
            <w:r>
              <w:rPr>
                <w:rFonts w:ascii="Calibri" w:cs="Calibri" w:eastAsia="Calibri" w:hAnsi="Calibri"/>
                <w:sz w:val="18"/>
                <w:szCs w:val="18"/>
                <w:color w:val="auto"/>
              </w:rPr>
              <w:t>Chair, CEO and President</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222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Raul Parra</w:t>
            </w:r>
          </w:p>
        </w:tc>
        <w:tc>
          <w:tcPr>
            <w:tcW w:w="4120" w:type="dxa"/>
            <w:vAlign w:val="bottom"/>
            <w:tcBorders>
              <w:bottom w:val="single" w:sz="8" w:color="A6A6A6"/>
            </w:tcBorders>
          </w:tcPr>
          <w:p>
            <w:pPr>
              <w:ind w:left="360"/>
              <w:spacing w:after="0" w:line="215" w:lineRule="exact"/>
              <w:rPr>
                <w:sz w:val="20"/>
                <w:szCs w:val="20"/>
                <w:color w:val="auto"/>
              </w:rPr>
            </w:pPr>
            <w:r>
              <w:rPr>
                <w:rFonts w:ascii="Calibri" w:cs="Calibri" w:eastAsia="Calibri" w:hAnsi="Calibri"/>
                <w:sz w:val="18"/>
                <w:szCs w:val="18"/>
                <w:color w:val="auto"/>
              </w:rPr>
              <w:t>Chief Financial Ofcer and Treasurer</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222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Joseph C. Wright</w:t>
            </w:r>
          </w:p>
        </w:tc>
        <w:tc>
          <w:tcPr>
            <w:tcW w:w="4120" w:type="dxa"/>
            <w:vAlign w:val="bottom"/>
            <w:tcBorders>
              <w:bottom w:val="single" w:sz="8" w:color="A6A6A6"/>
            </w:tcBorders>
          </w:tcPr>
          <w:p>
            <w:pPr>
              <w:ind w:left="360"/>
              <w:spacing w:after="0" w:line="215" w:lineRule="exact"/>
              <w:rPr>
                <w:sz w:val="20"/>
                <w:szCs w:val="20"/>
                <w:color w:val="auto"/>
              </w:rPr>
            </w:pPr>
            <w:r>
              <w:rPr>
                <w:rFonts w:ascii="Calibri" w:cs="Calibri" w:eastAsia="Calibri" w:hAnsi="Calibri"/>
                <w:sz w:val="18"/>
                <w:szCs w:val="18"/>
                <w:color w:val="auto"/>
              </w:rPr>
              <w:t>Chief Commercial Ofcer</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222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Neil W. Peterson</w:t>
            </w:r>
          </w:p>
        </w:tc>
        <w:tc>
          <w:tcPr>
            <w:tcW w:w="4120" w:type="dxa"/>
            <w:vAlign w:val="bottom"/>
            <w:tcBorders>
              <w:bottom w:val="single" w:sz="8" w:color="A6A6A6"/>
            </w:tcBorders>
          </w:tcPr>
          <w:p>
            <w:pPr>
              <w:ind w:left="360"/>
              <w:spacing w:after="0" w:line="215" w:lineRule="exact"/>
              <w:rPr>
                <w:sz w:val="20"/>
                <w:szCs w:val="20"/>
                <w:color w:val="auto"/>
              </w:rPr>
            </w:pPr>
            <w:r>
              <w:rPr>
                <w:rFonts w:ascii="Calibri" w:cs="Calibri" w:eastAsia="Calibri" w:hAnsi="Calibri"/>
                <w:sz w:val="18"/>
                <w:szCs w:val="18"/>
                <w:color w:val="auto"/>
              </w:rPr>
              <w:t>Chief Operatng Ofcer</w:t>
            </w:r>
          </w:p>
        </w:tc>
        <w:tc>
          <w:tcPr>
            <w:tcW w:w="112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2220" w:type="dxa"/>
            <w:vAlign w:val="bottom"/>
            <w:tcBorders>
              <w:bottom w:val="single" w:sz="8" w:color="AF0000"/>
            </w:tcBorders>
          </w:tcPr>
          <w:p>
            <w:pPr>
              <w:ind w:left="80"/>
              <w:spacing w:after="0" w:line="215" w:lineRule="exact"/>
              <w:rPr>
                <w:sz w:val="20"/>
                <w:szCs w:val="20"/>
                <w:color w:val="auto"/>
              </w:rPr>
            </w:pPr>
            <w:r>
              <w:rPr>
                <w:rFonts w:ascii="Calibri" w:cs="Calibri" w:eastAsia="Calibri" w:hAnsi="Calibri"/>
                <w:sz w:val="18"/>
                <w:szCs w:val="18"/>
                <w:color w:val="auto"/>
              </w:rPr>
              <w:t>Brian G. Lloyd</w:t>
            </w:r>
          </w:p>
        </w:tc>
        <w:tc>
          <w:tcPr>
            <w:tcW w:w="4120" w:type="dxa"/>
            <w:vAlign w:val="bottom"/>
            <w:tcBorders>
              <w:bottom w:val="single" w:sz="8" w:color="AF0000"/>
            </w:tcBorders>
          </w:tcPr>
          <w:p>
            <w:pPr>
              <w:ind w:left="360"/>
              <w:spacing w:after="0" w:line="215" w:lineRule="exact"/>
              <w:rPr>
                <w:sz w:val="20"/>
                <w:szCs w:val="20"/>
                <w:color w:val="auto"/>
              </w:rPr>
            </w:pPr>
            <w:r>
              <w:rPr>
                <w:rFonts w:ascii="Calibri" w:cs="Calibri" w:eastAsia="Calibri" w:hAnsi="Calibri"/>
                <w:sz w:val="18"/>
                <w:szCs w:val="18"/>
                <w:color w:val="auto"/>
              </w:rPr>
              <w:t>Chief Legal Ofcer and Corporate Secretary</w:t>
            </w:r>
          </w:p>
        </w:tc>
        <w:tc>
          <w:tcPr>
            <w:tcW w:w="1120" w:type="dxa"/>
            <w:vAlign w:val="bottom"/>
          </w:tcPr>
          <w:p>
            <w:pPr>
              <w:spacing w:after="0"/>
              <w:rPr>
                <w:sz w:val="20"/>
                <w:szCs w:val="20"/>
                <w:color w:val="auto"/>
              </w:rPr>
            </w:pPr>
          </w:p>
        </w:tc>
      </w:tr>
      <w:tr>
        <w:trPr>
          <w:trHeight w:val="926"/>
        </w:trPr>
        <w:tc>
          <w:tcPr>
            <w:tcW w:w="3360" w:type="dxa"/>
            <w:vAlign w:val="bottom"/>
            <w:gridSpan w:val="2"/>
          </w:tcPr>
          <w:p>
            <w:pPr>
              <w:spacing w:after="0"/>
              <w:rPr>
                <w:sz w:val="20"/>
                <w:szCs w:val="20"/>
                <w:color w:val="auto"/>
              </w:rPr>
            </w:pPr>
            <w:r>
              <w:rPr>
                <w:rFonts w:ascii="Calibri" w:cs="Calibri" w:eastAsia="Calibri" w:hAnsi="Calibri"/>
                <w:sz w:val="18"/>
                <w:szCs w:val="18"/>
                <w:color w:val="auto"/>
              </w:rPr>
              <w:t xml:space="preserve">38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tc>
        <w:tc>
          <w:tcPr>
            <w:tcW w:w="4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98"/>
        </w:trPr>
        <w:tc>
          <w:tcPr>
            <w:tcW w:w="1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4" w:right="1440" w:bottom="1440" w:gutter="0" w:footer="0" w:header="0"/>
          <w:type w:val="continuous"/>
        </w:sectPr>
      </w:pPr>
    </w:p>
    <w:bookmarkStart w:id="42" w:name="page43"/>
    <w:bookmarkEnd w:id="42"/>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EXECUTIVE COMPENSATION AND RELATED MATTERS</w:t>
      </w:r>
    </w:p>
    <w:p>
      <w:pPr>
        <w:spacing w:after="0" w:line="165"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Process for Establishing Executve Compensaton</w:t>
      </w:r>
    </w:p>
    <w:p>
      <w:pPr>
        <w:spacing w:after="0" w:line="141"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Procedure</w:t>
      </w:r>
    </w:p>
    <w:p>
      <w:pPr>
        <w:spacing w:after="0" w:line="177" w:lineRule="exact"/>
        <w:rPr>
          <w:sz w:val="20"/>
          <w:szCs w:val="20"/>
          <w:color w:val="auto"/>
        </w:rPr>
      </w:pPr>
    </w:p>
    <w:p>
      <w:pPr>
        <w:jc w:val="both"/>
        <w:ind w:left="200" w:right="299"/>
        <w:spacing w:after="0" w:line="235" w:lineRule="auto"/>
        <w:rPr>
          <w:sz w:val="20"/>
          <w:szCs w:val="20"/>
          <w:color w:val="auto"/>
        </w:rPr>
      </w:pPr>
      <w:r>
        <w:rPr>
          <w:rFonts w:ascii="Calibri" w:cs="Calibri" w:eastAsia="Calibri" w:hAnsi="Calibri"/>
          <w:sz w:val="18"/>
          <w:szCs w:val="18"/>
          <w:color w:val="auto"/>
        </w:rPr>
        <w:t>The Compensaton Commitee has oversight responsibility for establishing compensaton practces for our CEO and the other NEOs. The Compensaton Commitee also reviews all compensaton decisions for employees of the Company who are related to our CEO.</w:t>
      </w:r>
    </w:p>
    <w:p>
      <w:pPr>
        <w:spacing w:after="0" w:line="178" w:lineRule="exact"/>
        <w:rPr>
          <w:sz w:val="20"/>
          <w:szCs w:val="20"/>
          <w:color w:val="auto"/>
        </w:rPr>
      </w:pPr>
    </w:p>
    <w:p>
      <w:pPr>
        <w:jc w:val="both"/>
        <w:ind w:left="200" w:right="499"/>
        <w:spacing w:after="0" w:line="235" w:lineRule="auto"/>
        <w:rPr>
          <w:sz w:val="20"/>
          <w:szCs w:val="20"/>
          <w:color w:val="auto"/>
        </w:rPr>
      </w:pPr>
      <w:r>
        <w:rPr>
          <w:rFonts w:ascii="Calibri" w:cs="Calibri" w:eastAsia="Calibri" w:hAnsi="Calibri"/>
          <w:sz w:val="18"/>
          <w:szCs w:val="18"/>
          <w:color w:val="auto"/>
        </w:rPr>
        <w:t>Performance reviews of the CEO are conducted by the Compensaton Commitee based on our performance during a given year, compared with our performance objectves, as well as other factors intended to maximize short-term and long-term shareholder value.</w:t>
      </w:r>
    </w:p>
    <w:p>
      <w:pPr>
        <w:spacing w:after="0" w:line="178" w:lineRule="exact"/>
        <w:rPr>
          <w:sz w:val="20"/>
          <w:szCs w:val="20"/>
          <w:color w:val="auto"/>
        </w:rPr>
      </w:pPr>
    </w:p>
    <w:p>
      <w:pPr>
        <w:ind w:left="200" w:right="239"/>
        <w:spacing w:after="0" w:line="233" w:lineRule="auto"/>
        <w:rPr>
          <w:sz w:val="20"/>
          <w:szCs w:val="20"/>
          <w:color w:val="auto"/>
        </w:rPr>
      </w:pPr>
      <w:r>
        <w:rPr>
          <w:rFonts w:ascii="Calibri" w:cs="Calibri" w:eastAsia="Calibri" w:hAnsi="Calibri"/>
          <w:sz w:val="18"/>
          <w:szCs w:val="18"/>
          <w:color w:val="auto"/>
        </w:rPr>
        <w:t>Performance reviews of the other NEOs are based on the CEO’s evaluaton of individual ofcer and Company performance for that year, with the objectve of maximizing shareholder value. With respect to the compensaton levels for the other NEOs, the Compensaton Commitee considers input and recommendatons from the CEO. The CEO makes recommendatons concerning salary adjustments, short-term incentve bonus programs and long-term equity awards for the other NEOs, and the Compensaton Commitee considers those recommendatons in determining the compensaton of the other NEOs.</w:t>
      </w:r>
    </w:p>
    <w:p>
      <w:pPr>
        <w:spacing w:after="0" w:line="17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Role of Consultants</w:t>
      </w:r>
    </w:p>
    <w:p>
      <w:pPr>
        <w:spacing w:after="0" w:line="190" w:lineRule="exact"/>
        <w:rPr>
          <w:sz w:val="20"/>
          <w:szCs w:val="20"/>
          <w:color w:val="auto"/>
        </w:rPr>
      </w:pPr>
    </w:p>
    <w:p>
      <w:pPr>
        <w:ind w:left="200" w:right="519"/>
        <w:spacing w:after="0" w:line="233" w:lineRule="auto"/>
        <w:rPr>
          <w:sz w:val="20"/>
          <w:szCs w:val="20"/>
          <w:color w:val="auto"/>
        </w:rPr>
      </w:pPr>
      <w:r>
        <w:rPr>
          <w:rFonts w:ascii="Calibri" w:cs="Calibri" w:eastAsia="Calibri" w:hAnsi="Calibri"/>
          <w:sz w:val="18"/>
          <w:szCs w:val="18"/>
          <w:color w:val="auto"/>
        </w:rPr>
        <w:t>Since 2019, the Compensaton Commitee has engaged Pearl Meyer &amp; Partners, LLC (</w:t>
      </w:r>
      <w:r>
        <w:rPr>
          <w:rFonts w:ascii="Calibri" w:cs="Calibri" w:eastAsia="Calibri" w:hAnsi="Calibri"/>
          <w:sz w:val="18"/>
          <w:szCs w:val="18"/>
          <w:u w:val="single" w:color="auto"/>
          <w:color w:val="AF0000"/>
        </w:rPr>
        <w:t>Pearl Meyer</w:t>
      </w:r>
      <w:r>
        <w:rPr>
          <w:rFonts w:ascii="Calibri" w:cs="Calibri" w:eastAsia="Calibri" w:hAnsi="Calibri"/>
          <w:sz w:val="18"/>
          <w:szCs w:val="18"/>
          <w:color w:val="auto"/>
        </w:rPr>
        <w:t>), an independent compensaton consultng frm, to review our executve ofcer and director compensaton practces and advise the Compensaton Commitee with respect to those compensaton practces, including salary, bonus, benefts and equity awards for our executve ofcers and retainers, meetng fees and equity awards for our directors. Representatves of Pearl Meyer meet regularly with the Compensaton Commitee and the Compensaton Commitee has generally evaluated and considered Pearl Meyer’s reports and recommendatons.</w:t>
      </w:r>
    </w:p>
    <w:p>
      <w:pPr>
        <w:spacing w:after="0" w:line="178" w:lineRule="exact"/>
        <w:rPr>
          <w:sz w:val="20"/>
          <w:szCs w:val="20"/>
          <w:color w:val="auto"/>
        </w:rPr>
      </w:pPr>
    </w:p>
    <w:p>
      <w:pPr>
        <w:ind w:left="200" w:right="239"/>
        <w:spacing w:after="0" w:line="234" w:lineRule="auto"/>
        <w:rPr>
          <w:sz w:val="20"/>
          <w:szCs w:val="20"/>
          <w:color w:val="auto"/>
        </w:rPr>
      </w:pPr>
      <w:r>
        <w:rPr>
          <w:rFonts w:ascii="Calibri" w:cs="Calibri" w:eastAsia="Calibri" w:hAnsi="Calibri"/>
          <w:sz w:val="18"/>
          <w:szCs w:val="18"/>
          <w:color w:val="auto"/>
        </w:rPr>
        <w:t>During 2019 and 2020, the Compensaton Commitee consulted with Pearl Meyer to revise and update the Company’s executve compensaton programs. The Compensaton Commitee engaged Pearl Meyer to help revise the Company’s executve compositon practces to establish a long-term equity incentve program that was not based solely on the award of tme-vestng stock optons, but was based upon the achievement of pre-determined performance measures, utlizing a combinaton of stock optons, PSUs and annual performance-based cash bonuses. Through this collaboraton, the Compensaton Commitee adopted an executve compensaton program which became efectve during 2020 and contnued through 2023. For 2023, this executve compensaton program was comprised of an equity feature that aimed for an equity compensaton mix of 60% PSUs and 40% stock optons (vestng on a ratable basis over four years of service) and performance-based cash bonuses determined as a percentage of each executve ofcer’s base salary. This executve compensaton program is designed to increase the alignment of executve compensaton with the Company’s achievement of Board-approved performance measures, as discussed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43" w:name="page44"/>
    <w:bookmarkEnd w:id="43"/>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31"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External Pay Comparisons</w:t>
      </w:r>
    </w:p>
    <w:p>
      <w:pPr>
        <w:spacing w:after="0" w:line="177" w:lineRule="exact"/>
        <w:rPr>
          <w:sz w:val="20"/>
          <w:szCs w:val="20"/>
          <w:color w:val="auto"/>
        </w:rPr>
      </w:pPr>
    </w:p>
    <w:p>
      <w:pPr>
        <w:ind w:left="200" w:right="219"/>
        <w:spacing w:after="0" w:line="235" w:lineRule="auto"/>
        <w:rPr>
          <w:sz w:val="20"/>
          <w:szCs w:val="20"/>
          <w:color w:val="auto"/>
        </w:rPr>
      </w:pPr>
      <w:r>
        <w:rPr>
          <w:rFonts w:ascii="Calibri" w:cs="Calibri" w:eastAsia="Calibri" w:hAnsi="Calibri"/>
          <w:sz w:val="18"/>
          <w:szCs w:val="18"/>
          <w:color w:val="auto"/>
        </w:rPr>
        <w:t>In its oversight of the compensaton practces for our CEO and the other NEOs, the Compensaton Commitee reviews industry and peer compensaton data for medical device companies to confrm that executve compensaton is within an appropriate compettve range. The Compensaton Commitee considers external pay comparison data as a market check on its compensaton decisions, but not for specifc benchmarking. With input from Pearl Meyer, the Compensaton Commitee identfed a peer group to guide its compensaton decisions for 2023 executve compensaton that consisted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545211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38"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4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center"/>
              <w:ind w:right="50"/>
              <w:spacing w:after="0"/>
              <w:rPr>
                <w:sz w:val="20"/>
                <w:szCs w:val="20"/>
                <w:color w:val="auto"/>
              </w:rPr>
            </w:pPr>
            <w:r>
              <w:rPr>
                <w:rFonts w:ascii="Calibri" w:cs="Calibri" w:eastAsia="Calibri" w:hAnsi="Calibri"/>
                <w:sz w:val="18"/>
                <w:szCs w:val="18"/>
                <w:b w:val="1"/>
                <w:bCs w:val="1"/>
                <w:color w:val="auto"/>
                <w:w w:val="94"/>
              </w:rPr>
              <w:t>Market</w:t>
            </w:r>
          </w:p>
        </w:tc>
        <w:tc>
          <w:tcPr>
            <w:tcW w:w="0" w:type="dxa"/>
            <w:vAlign w:val="bottom"/>
          </w:tcPr>
          <w:p>
            <w:pPr>
              <w:spacing w:after="0"/>
              <w:rPr>
                <w:sz w:val="1"/>
                <w:szCs w:val="1"/>
                <w:color w:val="auto"/>
              </w:rPr>
            </w:pPr>
          </w:p>
        </w:tc>
      </w:tr>
      <w:tr>
        <w:trPr>
          <w:trHeight w:val="215"/>
        </w:trPr>
        <w:tc>
          <w:tcPr>
            <w:tcW w:w="4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right="50"/>
              <w:spacing w:after="0" w:line="215" w:lineRule="exact"/>
              <w:rPr>
                <w:sz w:val="20"/>
                <w:szCs w:val="20"/>
                <w:color w:val="auto"/>
              </w:rPr>
            </w:pPr>
            <w:r>
              <w:rPr>
                <w:rFonts w:ascii="Calibri" w:cs="Calibri" w:eastAsia="Calibri" w:hAnsi="Calibri"/>
                <w:sz w:val="18"/>
                <w:szCs w:val="18"/>
                <w:b w:val="1"/>
                <w:bCs w:val="1"/>
                <w:color w:val="auto"/>
              </w:rPr>
              <w:t>Capitalizaton</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vMerge w:val="restart"/>
          </w:tcPr>
          <w:p>
            <w:pPr>
              <w:jc w:val="center"/>
              <w:ind w:right="150"/>
              <w:spacing w:after="0"/>
              <w:rPr>
                <w:sz w:val="20"/>
                <w:szCs w:val="20"/>
                <w:color w:val="auto"/>
              </w:rPr>
            </w:pPr>
            <w:r>
              <w:rPr>
                <w:rFonts w:ascii="Calibri" w:cs="Calibri" w:eastAsia="Calibri" w:hAnsi="Calibri"/>
                <w:sz w:val="18"/>
                <w:szCs w:val="18"/>
                <w:b w:val="1"/>
                <w:bCs w:val="1"/>
                <w:color w:val="auto"/>
                <w:w w:val="91"/>
              </w:rPr>
              <w:t>Revenue</w:t>
            </w:r>
            <w:r>
              <w:rPr>
                <w:rFonts w:ascii="Calibri" w:cs="Calibri" w:eastAsia="Calibri" w:hAnsi="Calibri"/>
                <w:sz w:val="26"/>
                <w:szCs w:val="26"/>
                <w:b w:val="1"/>
                <w:bCs w:val="1"/>
                <w:color w:val="AF0000"/>
                <w:w w:val="91"/>
                <w:vertAlign w:val="superscript"/>
              </w:rPr>
              <w:t>(1)</w:t>
            </w:r>
          </w:p>
        </w:tc>
        <w:tc>
          <w:tcPr>
            <w:tcW w:w="300" w:type="dxa"/>
            <w:vAlign w:val="bottom"/>
          </w:tcPr>
          <w:p>
            <w:pPr>
              <w:spacing w:after="0"/>
              <w:rPr>
                <w:sz w:val="18"/>
                <w:szCs w:val="18"/>
                <w:color w:val="auto"/>
              </w:rPr>
            </w:pPr>
          </w:p>
        </w:tc>
        <w:tc>
          <w:tcPr>
            <w:tcW w:w="1260" w:type="dxa"/>
            <w:vAlign w:val="bottom"/>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7"/>
              </w:rPr>
              <w:t>at August 15,</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8"/>
              </w:rPr>
              <w:t>2023</w:t>
            </w:r>
          </w:p>
        </w:tc>
        <w:tc>
          <w:tcPr>
            <w:tcW w:w="0" w:type="dxa"/>
            <w:vAlign w:val="bottom"/>
          </w:tcPr>
          <w:p>
            <w:pPr>
              <w:spacing w:after="0"/>
              <w:rPr>
                <w:sz w:val="1"/>
                <w:szCs w:val="1"/>
                <w:color w:val="auto"/>
              </w:rPr>
            </w:pPr>
          </w:p>
        </w:tc>
      </w:tr>
      <w:tr>
        <w:trPr>
          <w:trHeight w:val="215"/>
        </w:trPr>
        <w:tc>
          <w:tcPr>
            <w:tcW w:w="4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jc w:val="center"/>
              <w:ind w:right="150"/>
              <w:spacing w:after="0" w:line="215" w:lineRule="exact"/>
              <w:rPr>
                <w:sz w:val="20"/>
                <w:szCs w:val="20"/>
                <w:color w:val="auto"/>
              </w:rPr>
            </w:pPr>
            <w:r>
              <w:rPr>
                <w:rFonts w:ascii="Calibri" w:cs="Calibri" w:eastAsia="Calibri" w:hAnsi="Calibri"/>
                <w:sz w:val="18"/>
                <w:szCs w:val="18"/>
                <w:b w:val="1"/>
                <w:bCs w:val="1"/>
                <w:color w:val="auto"/>
                <w:w w:val="99"/>
              </w:rPr>
              <w:t>(dollars in</w:t>
            </w:r>
          </w:p>
        </w:tc>
        <w:tc>
          <w:tcPr>
            <w:tcW w:w="300" w:type="dxa"/>
            <w:vAlign w:val="bottom"/>
          </w:tcPr>
          <w:p>
            <w:pPr>
              <w:spacing w:after="0"/>
              <w:rPr>
                <w:sz w:val="18"/>
                <w:szCs w:val="18"/>
                <w:color w:val="auto"/>
              </w:rPr>
            </w:pPr>
          </w:p>
        </w:tc>
        <w:tc>
          <w:tcPr>
            <w:tcW w:w="1260" w:type="dxa"/>
            <w:vAlign w:val="bottom"/>
          </w:tcPr>
          <w:p>
            <w:pPr>
              <w:jc w:val="center"/>
              <w:ind w:right="50"/>
              <w:spacing w:after="0" w:line="215" w:lineRule="exact"/>
              <w:rPr>
                <w:sz w:val="20"/>
                <w:szCs w:val="20"/>
                <w:color w:val="auto"/>
              </w:rPr>
            </w:pPr>
            <w:r>
              <w:rPr>
                <w:rFonts w:ascii="Calibri" w:cs="Calibri" w:eastAsia="Calibri" w:hAnsi="Calibri"/>
                <w:sz w:val="18"/>
                <w:szCs w:val="18"/>
                <w:b w:val="1"/>
                <w:bCs w:val="1"/>
                <w:color w:val="auto"/>
                <w:w w:val="96"/>
              </w:rPr>
              <w:t>(dollars in</w:t>
            </w:r>
          </w:p>
        </w:tc>
        <w:tc>
          <w:tcPr>
            <w:tcW w:w="0" w:type="dxa"/>
            <w:vAlign w:val="bottom"/>
          </w:tcPr>
          <w:p>
            <w:pPr>
              <w:spacing w:after="0"/>
              <w:rPr>
                <w:sz w:val="1"/>
                <w:szCs w:val="1"/>
                <w:color w:val="auto"/>
              </w:rPr>
            </w:pPr>
          </w:p>
        </w:tc>
      </w:tr>
      <w:tr>
        <w:trPr>
          <w:trHeight w:val="216"/>
        </w:trPr>
        <w:tc>
          <w:tcPr>
            <w:tcW w:w="4320" w:type="dxa"/>
            <w:vAlign w:val="bottom"/>
          </w:tcPr>
          <w:p>
            <w:pPr>
              <w:ind w:left="80"/>
              <w:spacing w:after="0" w:line="216" w:lineRule="exact"/>
              <w:rPr>
                <w:sz w:val="20"/>
                <w:szCs w:val="20"/>
                <w:color w:val="auto"/>
              </w:rPr>
            </w:pPr>
            <w:r>
              <w:rPr>
                <w:rFonts w:ascii="Calibri" w:cs="Calibri" w:eastAsia="Calibri" w:hAnsi="Calibri"/>
                <w:sz w:val="18"/>
                <w:szCs w:val="18"/>
                <w:b w:val="1"/>
                <w:bCs w:val="1"/>
                <w:color w:val="auto"/>
              </w:rPr>
              <w:t>Company</w:t>
            </w:r>
          </w:p>
        </w:tc>
        <w:tc>
          <w:tcPr>
            <w:tcW w:w="1480" w:type="dxa"/>
            <w:vAlign w:val="bottom"/>
          </w:tcPr>
          <w:p>
            <w:pPr>
              <w:spacing w:after="0"/>
              <w:rPr>
                <w:sz w:val="18"/>
                <w:szCs w:val="18"/>
                <w:color w:val="auto"/>
              </w:rPr>
            </w:pPr>
          </w:p>
        </w:tc>
        <w:tc>
          <w:tcPr>
            <w:tcW w:w="1220" w:type="dxa"/>
            <w:vAlign w:val="bottom"/>
          </w:tcPr>
          <w:p>
            <w:pPr>
              <w:jc w:val="center"/>
              <w:ind w:right="150"/>
              <w:spacing w:after="0" w:line="216" w:lineRule="exact"/>
              <w:rPr>
                <w:sz w:val="20"/>
                <w:szCs w:val="20"/>
                <w:color w:val="auto"/>
              </w:rPr>
            </w:pPr>
            <w:r>
              <w:rPr>
                <w:rFonts w:ascii="Calibri" w:cs="Calibri" w:eastAsia="Calibri" w:hAnsi="Calibri"/>
                <w:sz w:val="18"/>
                <w:szCs w:val="18"/>
                <w:b w:val="1"/>
                <w:bCs w:val="1"/>
                <w:color w:val="auto"/>
                <w:w w:val="96"/>
              </w:rPr>
              <w:t>millions)</w:t>
            </w:r>
          </w:p>
        </w:tc>
        <w:tc>
          <w:tcPr>
            <w:tcW w:w="300" w:type="dxa"/>
            <w:vAlign w:val="bottom"/>
          </w:tcPr>
          <w:p>
            <w:pPr>
              <w:spacing w:after="0"/>
              <w:rPr>
                <w:sz w:val="18"/>
                <w:szCs w:val="18"/>
                <w:color w:val="auto"/>
              </w:rPr>
            </w:pPr>
          </w:p>
        </w:tc>
        <w:tc>
          <w:tcPr>
            <w:tcW w:w="1260" w:type="dxa"/>
            <w:vAlign w:val="bottom"/>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9"/>
              </w:rPr>
              <w:t>millions)</w:t>
            </w:r>
          </w:p>
        </w:tc>
        <w:tc>
          <w:tcPr>
            <w:tcW w:w="0" w:type="dxa"/>
            <w:vAlign w:val="bottom"/>
          </w:tcPr>
          <w:p>
            <w:pPr>
              <w:spacing w:after="0"/>
              <w:rPr>
                <w:sz w:val="1"/>
                <w:szCs w:val="1"/>
                <w:color w:val="auto"/>
              </w:rPr>
            </w:pPr>
          </w:p>
        </w:tc>
      </w:tr>
      <w:tr>
        <w:trPr>
          <w:trHeight w:val="58"/>
        </w:trPr>
        <w:tc>
          <w:tcPr>
            <w:tcW w:w="4320" w:type="dxa"/>
            <w:vAlign w:val="bottom"/>
            <w:tcBorders>
              <w:bottom w:val="single" w:sz="8" w:color="AF0000"/>
            </w:tcBorders>
          </w:tcPr>
          <w:p>
            <w:pPr>
              <w:spacing w:after="0"/>
              <w:rPr>
                <w:sz w:val="5"/>
                <w:szCs w:val="5"/>
                <w:color w:val="auto"/>
              </w:rPr>
            </w:pPr>
          </w:p>
        </w:tc>
        <w:tc>
          <w:tcPr>
            <w:tcW w:w="1480" w:type="dxa"/>
            <w:vAlign w:val="bottom"/>
            <w:tcBorders>
              <w:bottom w:val="single" w:sz="8" w:color="AF0000"/>
            </w:tcBorders>
          </w:tcPr>
          <w:p>
            <w:pPr>
              <w:spacing w:after="0"/>
              <w:rPr>
                <w:sz w:val="5"/>
                <w:szCs w:val="5"/>
                <w:color w:val="auto"/>
              </w:rPr>
            </w:pPr>
          </w:p>
        </w:tc>
        <w:tc>
          <w:tcPr>
            <w:tcW w:w="1220" w:type="dxa"/>
            <w:vAlign w:val="bottom"/>
            <w:tcBorders>
              <w:bottom w:val="single" w:sz="8" w:color="AF0000"/>
            </w:tcBorders>
          </w:tcPr>
          <w:p>
            <w:pPr>
              <w:spacing w:after="0"/>
              <w:rPr>
                <w:sz w:val="5"/>
                <w:szCs w:val="5"/>
                <w:color w:val="auto"/>
              </w:rPr>
            </w:pPr>
          </w:p>
        </w:tc>
        <w:tc>
          <w:tcPr>
            <w:tcW w:w="300" w:type="dxa"/>
            <w:vAlign w:val="bottom"/>
            <w:tcBorders>
              <w:bottom w:val="single" w:sz="8" w:color="AF0000"/>
            </w:tcBorders>
          </w:tcPr>
          <w:p>
            <w:pPr>
              <w:spacing w:after="0"/>
              <w:rPr>
                <w:sz w:val="5"/>
                <w:szCs w:val="5"/>
                <w:color w:val="auto"/>
              </w:rPr>
            </w:pPr>
          </w:p>
        </w:tc>
        <w:tc>
          <w:tcPr>
            <w:tcW w:w="1260" w:type="dxa"/>
            <w:vAlign w:val="bottom"/>
            <w:tcBorders>
              <w:bottom w:val="single" w:sz="8" w:color="AF0000"/>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320" w:type="dxa"/>
            <w:vAlign w:val="bottom"/>
          </w:tcPr>
          <w:p>
            <w:pPr>
              <w:ind w:left="80"/>
              <w:spacing w:after="0"/>
              <w:rPr>
                <w:sz w:val="20"/>
                <w:szCs w:val="20"/>
                <w:color w:val="auto"/>
              </w:rPr>
            </w:pPr>
            <w:r>
              <w:rPr>
                <w:rFonts w:ascii="Calibri" w:cs="Calibri" w:eastAsia="Calibri" w:hAnsi="Calibri"/>
                <w:sz w:val="18"/>
                <w:szCs w:val="18"/>
                <w:color w:val="auto"/>
              </w:rPr>
              <w:t>CONMED Corporaton</w:t>
            </w:r>
          </w:p>
        </w:tc>
        <w:tc>
          <w:tcPr>
            <w:tcW w:w="14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1,139</w:t>
            </w:r>
          </w:p>
        </w:tc>
        <w:tc>
          <w:tcPr>
            <w:tcW w:w="3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3,440</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80"/>
              <w:spacing w:after="0"/>
              <w:rPr>
                <w:sz w:val="20"/>
                <w:szCs w:val="20"/>
                <w:color w:val="auto"/>
              </w:rPr>
            </w:pPr>
            <w:r>
              <w:rPr>
                <w:rFonts w:ascii="Calibri" w:cs="Calibri" w:eastAsia="Calibri" w:hAnsi="Calibri"/>
                <w:sz w:val="18"/>
                <w:szCs w:val="18"/>
                <w:color w:val="auto"/>
              </w:rPr>
              <w:t>Globus Medical, Inc.</w:t>
            </w:r>
          </w:p>
        </w:tc>
        <w:tc>
          <w:tcPr>
            <w:tcW w:w="14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1,097</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5,736</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80"/>
              <w:spacing w:after="0"/>
              <w:rPr>
                <w:sz w:val="20"/>
                <w:szCs w:val="20"/>
                <w:color w:val="auto"/>
              </w:rPr>
            </w:pPr>
            <w:r>
              <w:rPr>
                <w:rFonts w:ascii="Calibri" w:cs="Calibri" w:eastAsia="Calibri" w:hAnsi="Calibri"/>
                <w:sz w:val="18"/>
                <w:szCs w:val="18"/>
                <w:color w:val="auto"/>
              </w:rPr>
              <w:t>ICU Medical, Inc.</w:t>
            </w:r>
          </w:p>
        </w:tc>
        <w:tc>
          <w:tcPr>
            <w:tcW w:w="14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2,294</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3,396</w:t>
            </w:r>
          </w:p>
        </w:tc>
        <w:tc>
          <w:tcPr>
            <w:tcW w:w="0" w:type="dxa"/>
            <w:vAlign w:val="bottom"/>
          </w:tcPr>
          <w:p>
            <w:pPr>
              <w:spacing w:after="0"/>
              <w:rPr>
                <w:sz w:val="1"/>
                <w:szCs w:val="1"/>
                <w:color w:val="auto"/>
              </w:rPr>
            </w:pPr>
          </w:p>
        </w:tc>
      </w:tr>
      <w:tr>
        <w:trPr>
          <w:trHeight w:val="51"/>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80"/>
              <w:spacing w:after="0"/>
              <w:rPr>
                <w:sz w:val="20"/>
                <w:szCs w:val="20"/>
                <w:color w:val="auto"/>
              </w:rPr>
            </w:pPr>
            <w:r>
              <w:rPr>
                <w:rFonts w:ascii="Calibri" w:cs="Calibri" w:eastAsia="Calibri" w:hAnsi="Calibri"/>
                <w:sz w:val="18"/>
                <w:szCs w:val="18"/>
                <w:color w:val="auto"/>
              </w:rPr>
              <w:t>Inari Medical, Inc.</w:t>
            </w:r>
          </w:p>
        </w:tc>
        <w:tc>
          <w:tcPr>
            <w:tcW w:w="14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439</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3,919</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80"/>
              <w:spacing w:after="0"/>
              <w:rPr>
                <w:sz w:val="20"/>
                <w:szCs w:val="20"/>
                <w:color w:val="auto"/>
              </w:rPr>
            </w:pPr>
            <w:r>
              <w:rPr>
                <w:rFonts w:ascii="Calibri" w:cs="Calibri" w:eastAsia="Calibri" w:hAnsi="Calibri"/>
                <w:sz w:val="18"/>
                <w:szCs w:val="18"/>
                <w:color w:val="auto"/>
              </w:rPr>
              <w:t>Insulet Corporaton</w:t>
            </w:r>
          </w:p>
        </w:tc>
        <w:tc>
          <w:tcPr>
            <w:tcW w:w="14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1,465</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15,296</w:t>
            </w:r>
          </w:p>
        </w:tc>
        <w:tc>
          <w:tcPr>
            <w:tcW w:w="0" w:type="dxa"/>
            <w:vAlign w:val="bottom"/>
          </w:tcPr>
          <w:p>
            <w:pPr>
              <w:spacing w:after="0"/>
              <w:rPr>
                <w:sz w:val="1"/>
                <w:szCs w:val="1"/>
                <w:color w:val="auto"/>
              </w:rPr>
            </w:pPr>
          </w:p>
        </w:tc>
      </w:tr>
      <w:tr>
        <w:trPr>
          <w:trHeight w:val="51"/>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4320" w:type="dxa"/>
            <w:vAlign w:val="bottom"/>
          </w:tcPr>
          <w:p>
            <w:pPr>
              <w:ind w:left="80"/>
              <w:spacing w:after="0"/>
              <w:rPr>
                <w:sz w:val="20"/>
                <w:szCs w:val="20"/>
                <w:color w:val="auto"/>
              </w:rPr>
            </w:pPr>
            <w:r>
              <w:rPr>
                <w:rFonts w:ascii="Calibri" w:cs="Calibri" w:eastAsia="Calibri" w:hAnsi="Calibri"/>
                <w:sz w:val="18"/>
                <w:szCs w:val="18"/>
                <w:color w:val="auto"/>
              </w:rPr>
              <w:t>Integer Holdings Corporaton</w:t>
            </w:r>
          </w:p>
        </w:tc>
        <w:tc>
          <w:tcPr>
            <w:tcW w:w="14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1,494</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2,978</w:t>
            </w:r>
          </w:p>
        </w:tc>
        <w:tc>
          <w:tcPr>
            <w:tcW w:w="0" w:type="dxa"/>
            <w:vAlign w:val="bottom"/>
          </w:tcPr>
          <w:p>
            <w:pPr>
              <w:spacing w:after="0"/>
              <w:rPr>
                <w:sz w:val="1"/>
                <w:szCs w:val="1"/>
                <w:color w:val="auto"/>
              </w:rPr>
            </w:pPr>
          </w:p>
        </w:tc>
      </w:tr>
      <w:tr>
        <w:trPr>
          <w:trHeight w:val="51"/>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80"/>
              <w:spacing w:after="0"/>
              <w:rPr>
                <w:sz w:val="20"/>
                <w:szCs w:val="20"/>
                <w:color w:val="auto"/>
              </w:rPr>
            </w:pPr>
            <w:r>
              <w:rPr>
                <w:rFonts w:ascii="Calibri" w:cs="Calibri" w:eastAsia="Calibri" w:hAnsi="Calibri"/>
                <w:sz w:val="18"/>
                <w:szCs w:val="18"/>
                <w:color w:val="auto"/>
              </w:rPr>
              <w:t>Integra LifeSciences Holdings Corporaton</w:t>
            </w:r>
          </w:p>
        </w:tc>
        <w:tc>
          <w:tcPr>
            <w:tcW w:w="14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1,545</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3,544</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4320" w:type="dxa"/>
            <w:vAlign w:val="bottom"/>
          </w:tcPr>
          <w:p>
            <w:pPr>
              <w:ind w:left="80"/>
              <w:spacing w:after="0"/>
              <w:rPr>
                <w:sz w:val="20"/>
                <w:szCs w:val="20"/>
                <w:color w:val="auto"/>
              </w:rPr>
            </w:pPr>
            <w:r>
              <w:rPr>
                <w:rFonts w:ascii="Calibri" w:cs="Calibri" w:eastAsia="Calibri" w:hAnsi="Calibri"/>
                <w:sz w:val="18"/>
                <w:szCs w:val="18"/>
                <w:color w:val="auto"/>
              </w:rPr>
              <w:t>LivaNova Plc</w:t>
            </w:r>
          </w:p>
        </w:tc>
        <w:tc>
          <w:tcPr>
            <w:tcW w:w="14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1,085</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2,979</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80"/>
              <w:spacing w:after="0"/>
              <w:rPr>
                <w:sz w:val="20"/>
                <w:szCs w:val="20"/>
                <w:color w:val="auto"/>
              </w:rPr>
            </w:pPr>
            <w:r>
              <w:rPr>
                <w:rFonts w:ascii="Calibri" w:cs="Calibri" w:eastAsia="Calibri" w:hAnsi="Calibri"/>
                <w:sz w:val="18"/>
                <w:szCs w:val="18"/>
                <w:color w:val="auto"/>
              </w:rPr>
              <w:t>Masimo Corporaton</w:t>
            </w:r>
          </w:p>
        </w:tc>
        <w:tc>
          <w:tcPr>
            <w:tcW w:w="14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2,187</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5,852</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80"/>
              <w:spacing w:after="0"/>
              <w:rPr>
                <w:sz w:val="20"/>
                <w:szCs w:val="20"/>
                <w:color w:val="auto"/>
              </w:rPr>
            </w:pPr>
            <w:r>
              <w:rPr>
                <w:rFonts w:ascii="Calibri" w:cs="Calibri" w:eastAsia="Calibri" w:hAnsi="Calibri"/>
                <w:sz w:val="18"/>
                <w:szCs w:val="18"/>
                <w:color w:val="auto"/>
              </w:rPr>
              <w:t>Nevro Corp</w:t>
            </w:r>
          </w:p>
        </w:tc>
        <w:tc>
          <w:tcPr>
            <w:tcW w:w="14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419</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709</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A6A6A6"/>
            </w:tcBorders>
          </w:tcPr>
          <w:p>
            <w:pPr>
              <w:ind w:left="80"/>
              <w:spacing w:after="0" w:line="277" w:lineRule="exact"/>
              <w:rPr>
                <w:sz w:val="20"/>
                <w:szCs w:val="20"/>
                <w:color w:val="auto"/>
              </w:rPr>
            </w:pPr>
            <w:r>
              <w:rPr>
                <w:rFonts w:ascii="Calibri" w:cs="Calibri" w:eastAsia="Calibri" w:hAnsi="Calibri"/>
                <w:sz w:val="18"/>
                <w:szCs w:val="18"/>
                <w:color w:val="auto"/>
              </w:rPr>
              <w:t>NuVasive, Inc.</w:t>
            </w:r>
            <w:r>
              <w:rPr>
                <w:rFonts w:ascii="Calibri" w:cs="Calibri" w:eastAsia="Calibri" w:hAnsi="Calibri"/>
                <w:sz w:val="26"/>
                <w:szCs w:val="26"/>
                <w:color w:val="AF0000"/>
                <w:vertAlign w:val="superscript"/>
              </w:rPr>
              <w:t>(2)</w:t>
            </w:r>
          </w:p>
        </w:tc>
        <w:tc>
          <w:tcPr>
            <w:tcW w:w="1480" w:type="dxa"/>
            <w:vAlign w:val="bottom"/>
            <w:tcBorders>
              <w:bottom w:val="single" w:sz="8" w:color="A6A6A6"/>
            </w:tcBorders>
          </w:tcPr>
          <w:p>
            <w:pPr>
              <w:spacing w:after="0"/>
              <w:rPr>
                <w:sz w:val="24"/>
                <w:szCs w:val="24"/>
                <w:color w:val="auto"/>
              </w:rPr>
            </w:pPr>
          </w:p>
        </w:tc>
        <w:tc>
          <w:tcPr>
            <w:tcW w:w="1220" w:type="dxa"/>
            <w:vAlign w:val="bottom"/>
            <w:tcBorders>
              <w:bottom w:val="single" w:sz="8" w:color="A6A6A6"/>
            </w:tcBorders>
          </w:tcPr>
          <w:p>
            <w:pPr>
              <w:jc w:val="right"/>
              <w:ind w:right="50"/>
              <w:spacing w:after="0"/>
              <w:rPr>
                <w:sz w:val="20"/>
                <w:szCs w:val="20"/>
                <w:color w:val="auto"/>
              </w:rPr>
            </w:pPr>
            <w:r>
              <w:rPr>
                <w:rFonts w:ascii="Calibri" w:cs="Calibri" w:eastAsia="Calibri" w:hAnsi="Calibri"/>
                <w:sz w:val="18"/>
                <w:szCs w:val="18"/>
                <w:color w:val="auto"/>
              </w:rPr>
              <w:t>1,226</w:t>
            </w:r>
          </w:p>
        </w:tc>
        <w:tc>
          <w:tcPr>
            <w:tcW w:w="300" w:type="dxa"/>
            <w:vAlign w:val="bottom"/>
            <w:tcBorders>
              <w:bottom w:val="single" w:sz="8" w:color="A6A6A6"/>
            </w:tcBorders>
          </w:tcPr>
          <w:p>
            <w:pPr>
              <w:spacing w:after="0"/>
              <w:rPr>
                <w:sz w:val="24"/>
                <w:szCs w:val="24"/>
                <w:color w:val="auto"/>
              </w:rPr>
            </w:pPr>
          </w:p>
        </w:tc>
        <w:tc>
          <w:tcPr>
            <w:tcW w:w="1260" w:type="dxa"/>
            <w:vAlign w:val="bottom"/>
            <w:tcBorders>
              <w:bottom w:val="single" w:sz="8" w:color="A6A6A6"/>
            </w:tcBorders>
          </w:tcPr>
          <w:p>
            <w:pPr>
              <w:jc w:val="right"/>
              <w:ind w:right="10"/>
              <w:spacing w:after="0"/>
              <w:rPr>
                <w:sz w:val="20"/>
                <w:szCs w:val="20"/>
                <w:color w:val="auto"/>
              </w:rPr>
            </w:pPr>
            <w:r>
              <w:rPr>
                <w:rFonts w:ascii="Calibri" w:cs="Calibri" w:eastAsia="Calibri" w:hAnsi="Calibri"/>
                <w:sz w:val="18"/>
                <w:szCs w:val="18"/>
                <w:color w:val="auto"/>
              </w:rPr>
              <w:t>2,086</w:t>
            </w:r>
          </w:p>
        </w:tc>
        <w:tc>
          <w:tcPr>
            <w:tcW w:w="0" w:type="dxa"/>
            <w:vAlign w:val="bottom"/>
          </w:tcPr>
          <w:p>
            <w:pPr>
              <w:spacing w:after="0"/>
              <w:rPr>
                <w:sz w:val="1"/>
                <w:szCs w:val="1"/>
                <w:color w:val="auto"/>
              </w:rPr>
            </w:pPr>
          </w:p>
        </w:tc>
      </w:tr>
      <w:tr>
        <w:trPr>
          <w:trHeight w:val="227"/>
        </w:trPr>
        <w:tc>
          <w:tcPr>
            <w:tcW w:w="4320" w:type="dxa"/>
            <w:vAlign w:val="bottom"/>
          </w:tcPr>
          <w:p>
            <w:pPr>
              <w:ind w:left="80"/>
              <w:spacing w:after="0"/>
              <w:rPr>
                <w:sz w:val="20"/>
                <w:szCs w:val="20"/>
                <w:color w:val="auto"/>
              </w:rPr>
            </w:pPr>
            <w:r>
              <w:rPr>
                <w:rFonts w:ascii="Calibri" w:cs="Calibri" w:eastAsia="Calibri" w:hAnsi="Calibri"/>
                <w:sz w:val="18"/>
                <w:szCs w:val="18"/>
                <w:color w:val="auto"/>
              </w:rPr>
              <w:t>Penumbra, Inc.</w:t>
            </w:r>
          </w:p>
        </w:tc>
        <w:tc>
          <w:tcPr>
            <w:tcW w:w="14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938</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9,998</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80"/>
              <w:spacing w:after="0"/>
              <w:rPr>
                <w:sz w:val="20"/>
                <w:szCs w:val="20"/>
                <w:color w:val="auto"/>
              </w:rPr>
            </w:pPr>
            <w:r>
              <w:rPr>
                <w:rFonts w:ascii="Calibri" w:cs="Calibri" w:eastAsia="Calibri" w:hAnsi="Calibri"/>
                <w:sz w:val="18"/>
                <w:szCs w:val="18"/>
                <w:color w:val="auto"/>
              </w:rPr>
              <w:t>QuidelOrtho Corporaton</w:t>
            </w:r>
          </w:p>
        </w:tc>
        <w:tc>
          <w:tcPr>
            <w:tcW w:w="14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3,162</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4,989</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80"/>
              <w:spacing w:after="0"/>
              <w:rPr>
                <w:sz w:val="20"/>
                <w:szCs w:val="20"/>
                <w:color w:val="auto"/>
              </w:rPr>
            </w:pPr>
            <w:r>
              <w:rPr>
                <w:rFonts w:ascii="Calibri" w:cs="Calibri" w:eastAsia="Calibri" w:hAnsi="Calibri"/>
                <w:sz w:val="18"/>
                <w:szCs w:val="18"/>
                <w:color w:val="auto"/>
              </w:rPr>
              <w:t>Shockwave Medical, Inc.</w:t>
            </w:r>
          </w:p>
        </w:tc>
        <w:tc>
          <w:tcPr>
            <w:tcW w:w="14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617</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8,256</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80"/>
              <w:spacing w:after="0"/>
              <w:rPr>
                <w:sz w:val="20"/>
                <w:szCs w:val="20"/>
                <w:color w:val="auto"/>
              </w:rPr>
            </w:pPr>
            <w:r>
              <w:rPr>
                <w:rFonts w:ascii="Calibri" w:cs="Calibri" w:eastAsia="Calibri" w:hAnsi="Calibri"/>
                <w:sz w:val="18"/>
                <w:szCs w:val="18"/>
                <w:color w:val="auto"/>
              </w:rPr>
              <w:t>Telefex Incorporated</w:t>
            </w:r>
          </w:p>
        </w:tc>
        <w:tc>
          <w:tcPr>
            <w:tcW w:w="14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2,899</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10,543</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A6A6A6"/>
            </w:tcBorders>
          </w:tcPr>
          <w:p>
            <w:pPr>
              <w:spacing w:after="0"/>
              <w:rPr>
                <w:sz w:val="24"/>
                <w:szCs w:val="24"/>
                <w:color w:val="auto"/>
              </w:rPr>
            </w:pPr>
          </w:p>
        </w:tc>
        <w:tc>
          <w:tcPr>
            <w:tcW w:w="1480" w:type="dxa"/>
            <w:vAlign w:val="bottom"/>
            <w:tcBorders>
              <w:bottom w:val="single" w:sz="8" w:color="A6A6A6"/>
            </w:tcBorders>
          </w:tcPr>
          <w:p>
            <w:pPr>
              <w:spacing w:after="0"/>
              <w:rPr>
                <w:sz w:val="24"/>
                <w:szCs w:val="24"/>
                <w:color w:val="auto"/>
              </w:rPr>
            </w:pPr>
          </w:p>
        </w:tc>
        <w:tc>
          <w:tcPr>
            <w:tcW w:w="1220" w:type="dxa"/>
            <w:vAlign w:val="bottom"/>
            <w:tcBorders>
              <w:bottom w:val="single" w:sz="8" w:color="A6A6A6"/>
            </w:tcBorders>
          </w:tcPr>
          <w:p>
            <w:pPr>
              <w:spacing w:after="0"/>
              <w:rPr>
                <w:sz w:val="24"/>
                <w:szCs w:val="24"/>
                <w:color w:val="auto"/>
              </w:rPr>
            </w:pPr>
          </w:p>
        </w:tc>
        <w:tc>
          <w:tcPr>
            <w:tcW w:w="300" w:type="dxa"/>
            <w:vAlign w:val="bottom"/>
            <w:tcBorders>
              <w:bottom w:val="single" w:sz="8" w:color="A6A6A6"/>
            </w:tcBorders>
          </w:tcPr>
          <w:p>
            <w:pPr>
              <w:spacing w:after="0"/>
              <w:rPr>
                <w:sz w:val="24"/>
                <w:szCs w:val="24"/>
                <w:color w:val="auto"/>
              </w:rPr>
            </w:pPr>
          </w:p>
        </w:tc>
        <w:tc>
          <w:tcPr>
            <w:tcW w:w="126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80"/>
              <w:spacing w:after="0"/>
              <w:rPr>
                <w:sz w:val="20"/>
                <w:szCs w:val="20"/>
                <w:color w:val="auto"/>
              </w:rPr>
            </w:pPr>
            <w:r>
              <w:rPr>
                <w:rFonts w:ascii="Calibri" w:cs="Calibri" w:eastAsia="Calibri" w:hAnsi="Calibri"/>
                <w:sz w:val="18"/>
                <w:szCs w:val="18"/>
                <w:color w:val="auto"/>
              </w:rPr>
              <w:t>Median</w:t>
            </w:r>
          </w:p>
        </w:tc>
        <w:tc>
          <w:tcPr>
            <w:tcW w:w="14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1,226</w:t>
            </w:r>
          </w:p>
        </w:tc>
        <w:tc>
          <w:tcPr>
            <w:tcW w:w="3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3,919</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6A6A6"/>
            </w:tcBorders>
          </w:tcPr>
          <w:p>
            <w:pPr>
              <w:spacing w:after="0"/>
              <w:rPr>
                <w:sz w:val="4"/>
                <w:szCs w:val="4"/>
                <w:color w:val="auto"/>
              </w:rPr>
            </w:pPr>
          </w:p>
        </w:tc>
        <w:tc>
          <w:tcPr>
            <w:tcW w:w="148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80"/>
              <w:spacing w:after="0"/>
              <w:rPr>
                <w:sz w:val="20"/>
                <w:szCs w:val="20"/>
                <w:color w:val="auto"/>
              </w:rPr>
            </w:pPr>
            <w:r>
              <w:rPr>
                <w:rFonts w:ascii="Calibri" w:cs="Calibri" w:eastAsia="Calibri" w:hAnsi="Calibri"/>
                <w:sz w:val="18"/>
                <w:szCs w:val="18"/>
                <w:color w:val="auto"/>
              </w:rPr>
              <w:t>Merit Medical Systems, Inc.</w:t>
            </w:r>
          </w:p>
        </w:tc>
        <w:tc>
          <w:tcPr>
            <w:tcW w:w="14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1,198</w:t>
            </w:r>
          </w:p>
        </w:tc>
        <w:tc>
          <w:tcPr>
            <w:tcW w:w="3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260" w:type="dxa"/>
            <w:vAlign w:val="bottom"/>
          </w:tcPr>
          <w:p>
            <w:pPr>
              <w:jc w:val="right"/>
              <w:ind w:right="10"/>
              <w:spacing w:after="0"/>
              <w:rPr>
                <w:sz w:val="20"/>
                <w:szCs w:val="20"/>
                <w:color w:val="auto"/>
              </w:rPr>
            </w:pPr>
            <w:r>
              <w:rPr>
                <w:rFonts w:ascii="Calibri" w:cs="Calibri" w:eastAsia="Calibri" w:hAnsi="Calibri"/>
                <w:sz w:val="18"/>
                <w:szCs w:val="18"/>
                <w:color w:val="auto"/>
              </w:rPr>
              <w:t>3,942</w:t>
            </w:r>
          </w:p>
        </w:tc>
        <w:tc>
          <w:tcPr>
            <w:tcW w:w="0" w:type="dxa"/>
            <w:vAlign w:val="bottom"/>
          </w:tcPr>
          <w:p>
            <w:pPr>
              <w:spacing w:after="0"/>
              <w:rPr>
                <w:sz w:val="1"/>
                <w:szCs w:val="1"/>
                <w:color w:val="auto"/>
              </w:rPr>
            </w:pPr>
          </w:p>
        </w:tc>
      </w:tr>
      <w:tr>
        <w:trPr>
          <w:trHeight w:val="58"/>
        </w:trPr>
        <w:tc>
          <w:tcPr>
            <w:tcW w:w="4320" w:type="dxa"/>
            <w:vAlign w:val="bottom"/>
            <w:tcBorders>
              <w:bottom w:val="single" w:sz="8" w:color="AF0000"/>
            </w:tcBorders>
          </w:tcPr>
          <w:p>
            <w:pPr>
              <w:spacing w:after="0"/>
              <w:rPr>
                <w:sz w:val="5"/>
                <w:szCs w:val="5"/>
                <w:color w:val="auto"/>
              </w:rPr>
            </w:pPr>
          </w:p>
        </w:tc>
        <w:tc>
          <w:tcPr>
            <w:tcW w:w="1480" w:type="dxa"/>
            <w:vAlign w:val="bottom"/>
            <w:tcBorders>
              <w:bottom w:val="single" w:sz="8" w:color="AF0000"/>
            </w:tcBorders>
          </w:tcPr>
          <w:p>
            <w:pPr>
              <w:spacing w:after="0"/>
              <w:rPr>
                <w:sz w:val="5"/>
                <w:szCs w:val="5"/>
                <w:color w:val="auto"/>
              </w:rPr>
            </w:pPr>
          </w:p>
        </w:tc>
        <w:tc>
          <w:tcPr>
            <w:tcW w:w="1220" w:type="dxa"/>
            <w:vAlign w:val="bottom"/>
            <w:tcBorders>
              <w:bottom w:val="single" w:sz="8" w:color="AF0000"/>
            </w:tcBorders>
          </w:tcPr>
          <w:p>
            <w:pPr>
              <w:spacing w:after="0"/>
              <w:rPr>
                <w:sz w:val="5"/>
                <w:szCs w:val="5"/>
                <w:color w:val="auto"/>
              </w:rPr>
            </w:pPr>
          </w:p>
        </w:tc>
        <w:tc>
          <w:tcPr>
            <w:tcW w:w="300" w:type="dxa"/>
            <w:vAlign w:val="bottom"/>
            <w:tcBorders>
              <w:bottom w:val="single" w:sz="8" w:color="AF0000"/>
            </w:tcBorders>
          </w:tcPr>
          <w:p>
            <w:pPr>
              <w:spacing w:after="0"/>
              <w:rPr>
                <w:sz w:val="5"/>
                <w:szCs w:val="5"/>
                <w:color w:val="auto"/>
              </w:rPr>
            </w:pPr>
          </w:p>
        </w:tc>
        <w:tc>
          <w:tcPr>
            <w:tcW w:w="1260" w:type="dxa"/>
            <w:vAlign w:val="bottom"/>
            <w:tcBorders>
              <w:bottom w:val="single" w:sz="8" w:color="AF000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540" w:hanging="331"/>
        <w:spacing w:after="0"/>
        <w:tabs>
          <w:tab w:leader="none" w:pos="540" w:val="left"/>
        </w:tabs>
        <w:numPr>
          <w:ilvl w:val="0"/>
          <w:numId w:val="64"/>
        </w:numPr>
        <w:rPr>
          <w:rFonts w:ascii="Calibri" w:cs="Calibri" w:eastAsia="Calibri" w:hAnsi="Calibri"/>
          <w:sz w:val="16"/>
          <w:szCs w:val="16"/>
          <w:color w:val="AE0000"/>
        </w:rPr>
      </w:pPr>
      <w:r>
        <w:rPr>
          <w:rFonts w:ascii="Calibri" w:cs="Calibri" w:eastAsia="Calibri" w:hAnsi="Calibri"/>
          <w:sz w:val="16"/>
          <w:szCs w:val="16"/>
          <w:color w:val="auto"/>
        </w:rPr>
        <w:t>Revenue is for the trailing twelve months as of the most recently disclosed quarter as of August 15, 2023.</w:t>
      </w:r>
    </w:p>
    <w:p>
      <w:pPr>
        <w:ind w:left="540" w:hanging="331"/>
        <w:spacing w:after="0" w:line="232" w:lineRule="auto"/>
        <w:tabs>
          <w:tab w:leader="none" w:pos="540" w:val="left"/>
        </w:tabs>
        <w:numPr>
          <w:ilvl w:val="0"/>
          <w:numId w:val="64"/>
        </w:numPr>
        <w:rPr>
          <w:rFonts w:ascii="Calibri" w:cs="Calibri" w:eastAsia="Calibri" w:hAnsi="Calibri"/>
          <w:sz w:val="16"/>
          <w:szCs w:val="16"/>
          <w:color w:val="AE0000"/>
        </w:rPr>
      </w:pPr>
      <w:r>
        <w:rPr>
          <w:rFonts w:ascii="Calibri" w:cs="Calibri" w:eastAsia="Calibri" w:hAnsi="Calibri"/>
          <w:sz w:val="16"/>
          <w:szCs w:val="16"/>
          <w:color w:val="auto"/>
        </w:rPr>
        <w:t>Acquired by Globus Medical in 2023.</w:t>
      </w:r>
    </w:p>
    <w:p>
      <w:pPr>
        <w:spacing w:after="0" w:line="316" w:lineRule="exact"/>
        <w:rPr>
          <w:sz w:val="20"/>
          <w:szCs w:val="20"/>
          <w:color w:val="auto"/>
        </w:rPr>
      </w:pPr>
    </w:p>
    <w:p>
      <w:pPr>
        <w:ind w:left="200" w:right="239"/>
        <w:spacing w:after="0" w:line="234" w:lineRule="auto"/>
        <w:rPr>
          <w:sz w:val="20"/>
          <w:szCs w:val="20"/>
          <w:color w:val="auto"/>
        </w:rPr>
      </w:pPr>
      <w:r>
        <w:rPr>
          <w:rFonts w:ascii="Calibri" w:cs="Calibri" w:eastAsia="Calibri" w:hAnsi="Calibri"/>
          <w:sz w:val="18"/>
          <w:szCs w:val="18"/>
          <w:color w:val="auto"/>
        </w:rPr>
        <w:t>In 2023, Pearl Meyer performed an assessment of the Company’s then-existng executve compensaton peer group and provided to the Compensaton Commitee recommendatons for adjustment of the Company’s executve compensaton peer group based on revenue, market capitalizaton, market peer indices and Pearl Meyer’s assessment of the strength of comparability, as well as overall business characteristcs, including product oferings and end markets. The Compensaton Commitee reviewed Pearl Meyer’s recommendatons and considered the applicaton of the foregoing factors to the Company’s executve compensaton practces. Following that review and based upon the recommendatons of Pearl Meyer, the Compensaton Commitee approved the Company’s 2023 executve compensaton peer group as shown above, which refects the following modifcatons from the Company’s 2022 peer group: (i) Abiomed, Inc., AngioDynamics, Inc., Cantel Medical Corp., Natus Medical</w:t>
      </w: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40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44" w:name="page45"/>
    <w:bookmarkEnd w:id="44"/>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5080"/>
        <w:spacing w:after="0"/>
        <w:rPr>
          <w:sz w:val="20"/>
          <w:szCs w:val="20"/>
          <w:color w:val="auto"/>
        </w:rPr>
      </w:pPr>
      <w:r>
        <w:rPr>
          <w:rFonts w:ascii="Calibri" w:cs="Calibri" w:eastAsia="Calibri" w:hAnsi="Calibri"/>
          <w:sz w:val="17"/>
          <w:szCs w:val="17"/>
          <w:color w:val="auto"/>
        </w:rPr>
        <w:t>EXECUTIVE COMPENSATION AND RELATED MATTERS</w:t>
      </w:r>
    </w:p>
    <w:p>
      <w:pPr>
        <w:spacing w:after="0" w:line="184" w:lineRule="exact"/>
        <w:rPr>
          <w:sz w:val="20"/>
          <w:szCs w:val="20"/>
          <w:color w:val="auto"/>
        </w:rPr>
      </w:pPr>
    </w:p>
    <w:p>
      <w:pPr>
        <w:ind w:left="200" w:right="339"/>
        <w:spacing w:after="0" w:line="235" w:lineRule="auto"/>
        <w:rPr>
          <w:sz w:val="20"/>
          <w:szCs w:val="20"/>
          <w:color w:val="auto"/>
        </w:rPr>
      </w:pPr>
      <w:r>
        <w:rPr>
          <w:rFonts w:ascii="Calibri" w:cs="Calibri" w:eastAsia="Calibri" w:hAnsi="Calibri"/>
          <w:sz w:val="18"/>
          <w:szCs w:val="18"/>
          <w:color w:val="auto"/>
        </w:rPr>
        <w:t>Incorporated and West Pharmaceutcal Services, Inc. were removed from the 2023 peer group; and (ii) Nevro Corp. and Shockwave Medical, Inc. were added to the 2023 peer group.</w:t>
      </w:r>
    </w:p>
    <w:p>
      <w:pPr>
        <w:spacing w:after="0" w:line="204" w:lineRule="exact"/>
        <w:rPr>
          <w:sz w:val="20"/>
          <w:szCs w:val="20"/>
          <w:color w:val="auto"/>
        </w:rPr>
      </w:pPr>
    </w:p>
    <w:p>
      <w:pPr>
        <w:ind w:left="200" w:right="459"/>
        <w:spacing w:after="0" w:line="235" w:lineRule="auto"/>
        <w:rPr>
          <w:sz w:val="20"/>
          <w:szCs w:val="20"/>
          <w:color w:val="auto"/>
        </w:rPr>
      </w:pPr>
      <w:r>
        <w:rPr>
          <w:rFonts w:ascii="Calibri" w:cs="Calibri" w:eastAsia="Calibri" w:hAnsi="Calibri"/>
          <w:sz w:val="18"/>
          <w:szCs w:val="18"/>
          <w:color w:val="auto"/>
        </w:rPr>
        <w:t>Neither the consultatons with Pearl Meyer nor the Compensaton Commitee’s internal review yielded any signifcant concerns at the Compensaton Commitee level regarding our executve compensaton practces.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Evaluaton</w:t>
      </w:r>
    </w:p>
    <w:p>
      <w:pPr>
        <w:spacing w:after="0" w:line="190" w:lineRule="exact"/>
        <w:rPr>
          <w:sz w:val="20"/>
          <w:szCs w:val="20"/>
          <w:color w:val="auto"/>
        </w:rPr>
      </w:pPr>
    </w:p>
    <w:p>
      <w:pPr>
        <w:ind w:left="200" w:right="239"/>
        <w:spacing w:after="0" w:line="232" w:lineRule="auto"/>
        <w:rPr>
          <w:sz w:val="20"/>
          <w:szCs w:val="20"/>
          <w:color w:val="auto"/>
        </w:rPr>
      </w:pPr>
      <w:r>
        <w:rPr>
          <w:rFonts w:ascii="Calibri" w:cs="Calibri" w:eastAsia="Calibri" w:hAnsi="Calibri"/>
          <w:sz w:val="18"/>
          <w:szCs w:val="18"/>
          <w:color w:val="auto"/>
        </w:rPr>
        <w:t>In evaluatng compensaton of the NEOs for the year ended December 31, 2023, the Compensaton Commitee considered, among other factors, our performance and relatve shareholder return in 2021, 2022 and 2023, as compared to our performance targets for 2021, 2022 and 2023, prior analysis and reports from Pearl Meyer (which contained comparisons of our compensaton and fnancial results with respect to the peer group), and other factors considered relevant by the Compensaton Commitee.</w:t>
      </w:r>
    </w:p>
    <w:p>
      <w:pPr>
        <w:spacing w:after="0" w:line="175"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Other Consideratons</w:t>
      </w:r>
    </w:p>
    <w:p>
      <w:pPr>
        <w:spacing w:after="0" w:line="177" w:lineRule="exact"/>
        <w:rPr>
          <w:sz w:val="20"/>
          <w:szCs w:val="20"/>
          <w:color w:val="auto"/>
        </w:rPr>
      </w:pPr>
    </w:p>
    <w:p>
      <w:pPr>
        <w:ind w:left="200" w:right="239"/>
        <w:spacing w:after="0" w:line="235" w:lineRule="auto"/>
        <w:rPr>
          <w:sz w:val="20"/>
          <w:szCs w:val="20"/>
          <w:color w:val="auto"/>
        </w:rPr>
      </w:pPr>
      <w:r>
        <w:rPr>
          <w:rFonts w:ascii="Calibri" w:cs="Calibri" w:eastAsia="Calibri" w:hAnsi="Calibri"/>
          <w:sz w:val="18"/>
          <w:szCs w:val="18"/>
          <w:color w:val="auto"/>
        </w:rPr>
        <w:t>The Compensaton Commitee also relied on its experience and judgment in making executve compensaton decisions afer reviewing our performance on a quarterly and annual basis, and evaluatng each NEO’s individual performance and responsibilites with the Company, as well as current compensaton arrangements. The compensaton program for the NEOs and the Compensaton Commitee assessment process have been designed to be fexible in an efort to respond to the evolving business environment and individual circumstances relatve to Company and individual performance, shareholder value, as well as internal equity for compensaton levels among our executves.</w:t>
      </w:r>
    </w:p>
    <w:p>
      <w:pPr>
        <w:spacing w:after="0" w:line="181" w:lineRule="exact"/>
        <w:rPr>
          <w:sz w:val="20"/>
          <w:szCs w:val="20"/>
          <w:color w:val="auto"/>
        </w:rPr>
      </w:pPr>
    </w:p>
    <w:p>
      <w:pPr>
        <w:ind w:left="200" w:right="519"/>
        <w:spacing w:after="0" w:line="235" w:lineRule="auto"/>
        <w:rPr>
          <w:sz w:val="20"/>
          <w:szCs w:val="20"/>
          <w:color w:val="auto"/>
        </w:rPr>
      </w:pPr>
      <w:r>
        <w:rPr>
          <w:rFonts w:ascii="Calibri" w:cs="Calibri" w:eastAsia="Calibri" w:hAnsi="Calibri"/>
          <w:sz w:val="18"/>
          <w:szCs w:val="18"/>
          <w:color w:val="auto"/>
        </w:rPr>
        <w:t>Our executve compensaton program is divided into the following two general categories: fxed pay and variable pay. Fixed pay consists of base salary and is intended to provide each NEO with a level of assured cash compensaton appropriate for his or her positon within the Company. Variable pay includes annual cash bonus awards and equity-based awards in the form of PSUs and stock optons, each as explained in more detail below.</w:t>
      </w:r>
    </w:p>
    <w:p>
      <w:pPr>
        <w:spacing w:after="0" w:line="138" w:lineRule="exact"/>
        <w:rPr>
          <w:sz w:val="20"/>
          <w:szCs w:val="20"/>
          <w:color w:val="auto"/>
        </w:rPr>
      </w:pPr>
    </w:p>
    <w:p>
      <w:pPr>
        <w:ind w:left="200" w:right="399"/>
        <w:spacing w:after="0" w:line="232" w:lineRule="auto"/>
        <w:rPr>
          <w:sz w:val="20"/>
          <w:szCs w:val="20"/>
          <w:color w:val="auto"/>
        </w:rPr>
      </w:pPr>
      <w:r>
        <w:rPr>
          <w:rFonts w:ascii="Calibri" w:cs="Calibri" w:eastAsia="Calibri" w:hAnsi="Calibri"/>
          <w:sz w:val="18"/>
          <w:szCs w:val="18"/>
          <w:color w:val="auto"/>
        </w:rPr>
        <w:t>The Compensaton Commitee believes that a signifcant porton of total compensaton of the NEOs should be both at-risk and ted to the Company’s achievement of predetermined performance goals. The Compensaton Commitee’s development and implementaton of the Company’s revised executve compensaton program during 2021, 2022 and 2023 refects its eforts to shif an increased porton of the total compensaton payable to the Company’s NEOs away from fxed, tme-vestng compensaton to at-risk, performance-based compensaton.</w:t>
      </w:r>
    </w:p>
    <w:p>
      <w:pPr>
        <w:spacing w:after="0" w:line="153" w:lineRule="exact"/>
        <w:rPr>
          <w:sz w:val="20"/>
          <w:szCs w:val="20"/>
          <w:color w:val="auto"/>
        </w:rPr>
      </w:pPr>
    </w:p>
    <w:p>
      <w:pPr>
        <w:ind w:left="200" w:right="299"/>
        <w:spacing w:after="0" w:line="233" w:lineRule="auto"/>
        <w:rPr>
          <w:sz w:val="20"/>
          <w:szCs w:val="20"/>
          <w:color w:val="auto"/>
        </w:rPr>
      </w:pPr>
      <w:r>
        <w:rPr>
          <w:rFonts w:ascii="Calibri" w:cs="Calibri" w:eastAsia="Calibri" w:hAnsi="Calibri"/>
          <w:sz w:val="18"/>
          <w:szCs w:val="18"/>
          <w:color w:val="auto"/>
        </w:rPr>
        <w:t>Pursuant to our revised executve compensaton program, at the beginning of each year, the CEO and other members of the Company’s executve management team identfy performance goals which are intended to align the eforts of our executve ofcers, including the NEOs, with our achievement of our strategic business plan to maximize shareholder value. The CEO then reviews those performance goals with the Compensaton Commitee. Those goals then become targets for the PSUs and annual performance-based cash bonus component of our executve compensaton program. Because the performance goals are generally established at the beginning of each year and market conditons fuctuate throughout the year, the performance goals may not correspond to subsequent annual earnings estmates released by the Company.</w:t>
      </w:r>
    </w:p>
    <w:p>
      <w:pPr>
        <w:spacing w:after="0" w:line="145"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Compensaton Commitee Consideraton of Shareholder Advisory Votes</w:t>
      </w:r>
    </w:p>
    <w:p>
      <w:pPr>
        <w:spacing w:after="0" w:line="146" w:lineRule="exact"/>
        <w:rPr>
          <w:sz w:val="20"/>
          <w:szCs w:val="20"/>
          <w:color w:val="auto"/>
        </w:rPr>
      </w:pPr>
    </w:p>
    <w:p>
      <w:pPr>
        <w:ind w:left="200" w:right="359"/>
        <w:spacing w:after="0" w:line="230" w:lineRule="auto"/>
        <w:rPr>
          <w:sz w:val="20"/>
          <w:szCs w:val="20"/>
          <w:color w:val="auto"/>
        </w:rPr>
      </w:pPr>
      <w:r>
        <w:rPr>
          <w:rFonts w:ascii="Calibri" w:cs="Calibri" w:eastAsia="Calibri" w:hAnsi="Calibri"/>
          <w:sz w:val="18"/>
          <w:szCs w:val="18"/>
          <w:color w:val="auto"/>
        </w:rPr>
        <w:t>At our annual meetng of shareholders held on May 18, 2023, we submited the compensaton of our executve ofcers to our shareholders in a non-binding vote. Our executve compensaton program received the support of holders of approximately 96% of the shares represented at the meetng, excluding broker non-votes.</w:t>
      </w:r>
    </w:p>
    <w:p>
      <w:pPr>
        <w:spacing w:after="0" w:line="151" w:lineRule="exact"/>
        <w:rPr>
          <w:sz w:val="20"/>
          <w:szCs w:val="20"/>
          <w:color w:val="auto"/>
        </w:rPr>
      </w:pPr>
    </w:p>
    <w:p>
      <w:pPr>
        <w:ind w:left="200" w:right="379"/>
        <w:spacing w:after="0" w:line="231" w:lineRule="auto"/>
        <w:rPr>
          <w:sz w:val="20"/>
          <w:szCs w:val="20"/>
          <w:color w:val="auto"/>
        </w:rPr>
      </w:pPr>
      <w:r>
        <w:rPr>
          <w:rFonts w:ascii="Calibri" w:cs="Calibri" w:eastAsia="Calibri" w:hAnsi="Calibri"/>
          <w:sz w:val="18"/>
          <w:szCs w:val="18"/>
          <w:color w:val="auto"/>
        </w:rPr>
        <w:t>Also, at our May 18, 2023 annual meetng of shareholders, our shareholders voted on an advisory basis with respect to the frequency of future advisory votes on executve compensaton. Holders of approximately 96% of the shares represented at that meetng, excluding broker non-votes, expressed their preference for an annual advisory vote. Accordingly, we intend to conduct annual advisory votes on executve compensaton. The advisory vote on</w:t>
      </w:r>
    </w:p>
    <w:p>
      <w:pPr>
        <w:spacing w:after="0" w:line="200" w:lineRule="exact"/>
        <w:rPr>
          <w:sz w:val="20"/>
          <w:szCs w:val="20"/>
          <w:color w:val="auto"/>
        </w:rPr>
      </w:pPr>
    </w:p>
    <w:p>
      <w:pPr>
        <w:spacing w:after="0" w:line="237"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45" w:name="page46"/>
    <w:bookmarkEnd w:id="45"/>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36" w:lineRule="exact"/>
        <w:rPr>
          <w:sz w:val="20"/>
          <w:szCs w:val="20"/>
          <w:color w:val="auto"/>
        </w:rPr>
      </w:pPr>
    </w:p>
    <w:p>
      <w:pPr>
        <w:ind w:left="200" w:right="639"/>
        <w:spacing w:after="0" w:line="235" w:lineRule="auto"/>
        <w:rPr>
          <w:sz w:val="20"/>
          <w:szCs w:val="20"/>
          <w:color w:val="auto"/>
        </w:rPr>
      </w:pPr>
      <w:r>
        <w:rPr>
          <w:rFonts w:ascii="Calibri" w:cs="Calibri" w:eastAsia="Calibri" w:hAnsi="Calibri"/>
          <w:sz w:val="18"/>
          <w:szCs w:val="18"/>
          <w:color w:val="auto"/>
        </w:rPr>
        <w:t>executve compensaton is the subject of Proposal 2 to be considered by the Company’s shareholders at the Annual Meetng.</w:t>
      </w:r>
    </w:p>
    <w:p>
      <w:pPr>
        <w:spacing w:after="0" w:line="150" w:lineRule="exact"/>
        <w:rPr>
          <w:sz w:val="20"/>
          <w:szCs w:val="20"/>
          <w:color w:val="auto"/>
        </w:rPr>
      </w:pPr>
    </w:p>
    <w:p>
      <w:pPr>
        <w:ind w:left="200" w:right="259"/>
        <w:spacing w:after="0" w:line="227" w:lineRule="auto"/>
        <w:rPr>
          <w:sz w:val="20"/>
          <w:szCs w:val="20"/>
          <w:color w:val="auto"/>
        </w:rPr>
      </w:pPr>
      <w:r>
        <w:rPr>
          <w:rFonts w:ascii="Calibri" w:cs="Calibri" w:eastAsia="Calibri" w:hAnsi="Calibri"/>
          <w:sz w:val="18"/>
          <w:szCs w:val="18"/>
          <w:color w:val="auto"/>
        </w:rPr>
        <w:t>The Compensaton Commitee will contnue to review future shareholder votng results and determine whether changes should be made to our executve compensaton program based on such votng results.</w:t>
      </w:r>
    </w:p>
    <w:p>
      <w:pPr>
        <w:spacing w:after="0" w:line="140"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Pay Mix</w:t>
      </w:r>
    </w:p>
    <w:p>
      <w:pPr>
        <w:spacing w:after="0" w:line="146" w:lineRule="exact"/>
        <w:rPr>
          <w:sz w:val="20"/>
          <w:szCs w:val="20"/>
          <w:color w:val="auto"/>
        </w:rPr>
      </w:pPr>
    </w:p>
    <w:p>
      <w:pPr>
        <w:ind w:left="200" w:right="259"/>
        <w:spacing w:after="0" w:line="234" w:lineRule="auto"/>
        <w:rPr>
          <w:sz w:val="20"/>
          <w:szCs w:val="20"/>
          <w:color w:val="auto"/>
        </w:rPr>
      </w:pPr>
      <w:r>
        <w:rPr>
          <w:rFonts w:ascii="Calibri" w:cs="Calibri" w:eastAsia="Calibri" w:hAnsi="Calibri"/>
          <w:sz w:val="18"/>
          <w:szCs w:val="18"/>
          <w:color w:val="auto"/>
        </w:rPr>
        <w:t>The allocaton between cash and non-cash NEO compensaton is infuenced by the practces of subjectve and objectve analysis conducted by the Compensaton Commitee and is intended to refect the Compensaton Commitee’s determinaton of the appropriate compensaton mix among base pay, annual cash incentves and long-term equity incentves for each NEO. Actual cash and equity-based incentve awards are determined based on the performance of the Company and/or the individual NEO, depending on the positon of the NEO, the type of award and our performance, compared to established goals. The Compensaton Commitee also compares the compensaton mix relatve to our executve compensaton peer group. No specifc benchmark with respect to the peer group is targeted, but the Compensaton Commitee may be infuenced by the peer group data to adjust our executve compensaton mix if it signifcantly deviates from the median of the peer group.</w:t>
      </w:r>
    </w:p>
    <w:p>
      <w:pPr>
        <w:spacing w:after="0" w:line="133"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For 2023, the elements of the compensaton mix for the NEOs included:</w:t>
      </w:r>
    </w:p>
    <w:p>
      <w:pPr>
        <w:spacing w:after="0" w:line="145" w:lineRule="exact"/>
        <w:rPr>
          <w:sz w:val="20"/>
          <w:szCs w:val="20"/>
          <w:color w:val="auto"/>
        </w:rPr>
      </w:pPr>
    </w:p>
    <w:p>
      <w:pPr>
        <w:ind w:left="540" w:hanging="331"/>
        <w:spacing w:after="0"/>
        <w:tabs>
          <w:tab w:leader="none" w:pos="540" w:val="left"/>
        </w:tabs>
        <w:numPr>
          <w:ilvl w:val="0"/>
          <w:numId w:val="65"/>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base salary (designed to atract and retain executves over tme);</w:t>
      </w:r>
    </w:p>
    <w:p>
      <w:pPr>
        <w:spacing w:after="0" w:line="23" w:lineRule="exact"/>
        <w:rPr>
          <w:rFonts w:ascii="Times New Roman" w:cs="Times New Roman" w:eastAsia="Times New Roman" w:hAnsi="Times New Roman"/>
          <w:sz w:val="18"/>
          <w:szCs w:val="18"/>
          <w:color w:val="AF0000"/>
        </w:rPr>
      </w:pPr>
    </w:p>
    <w:p>
      <w:pPr>
        <w:ind w:left="540" w:right="339" w:hanging="331"/>
        <w:spacing w:after="0" w:line="223" w:lineRule="auto"/>
        <w:tabs>
          <w:tab w:leader="none" w:pos="540" w:val="left"/>
        </w:tabs>
        <w:numPr>
          <w:ilvl w:val="0"/>
          <w:numId w:val="65"/>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annual performance-based cash bonus (designed to focus on business objectves established by the Compensaton Commitee for a partcular year);</w:t>
      </w:r>
    </w:p>
    <w:p>
      <w:pPr>
        <w:spacing w:after="0" w:line="1" w:lineRule="exact"/>
        <w:rPr>
          <w:rFonts w:ascii="Times New Roman" w:cs="Times New Roman" w:eastAsia="Times New Roman" w:hAnsi="Times New Roman"/>
          <w:sz w:val="18"/>
          <w:szCs w:val="18"/>
          <w:color w:val="AF0000"/>
        </w:rPr>
      </w:pPr>
    </w:p>
    <w:p>
      <w:pPr>
        <w:ind w:left="540" w:right="239" w:hanging="331"/>
        <w:spacing w:after="0" w:line="235" w:lineRule="auto"/>
        <w:tabs>
          <w:tab w:leader="none" w:pos="540" w:val="left"/>
        </w:tabs>
        <w:numPr>
          <w:ilvl w:val="0"/>
          <w:numId w:val="65"/>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long-term equity-based incentve compensaton in the form of stock optons, PSUs and, in the case of our CEO, long-term cash-based incentve compensaton (designed to align NEO pay with long-term performance);</w:t>
      </w:r>
    </w:p>
    <w:p>
      <w:pPr>
        <w:ind w:left="540" w:hanging="331"/>
        <w:spacing w:after="0" w:line="235" w:lineRule="auto"/>
        <w:tabs>
          <w:tab w:leader="none" w:pos="540" w:val="left"/>
        </w:tabs>
        <w:numPr>
          <w:ilvl w:val="0"/>
          <w:numId w:val="65"/>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broad-based employee retrement, welfare and fringe benefts programs, and other personal benefts; and</w:t>
      </w:r>
    </w:p>
    <w:p>
      <w:pPr>
        <w:spacing w:after="0" w:line="24" w:lineRule="exact"/>
        <w:rPr>
          <w:rFonts w:ascii="Times New Roman" w:cs="Times New Roman" w:eastAsia="Times New Roman" w:hAnsi="Times New Roman"/>
          <w:sz w:val="18"/>
          <w:szCs w:val="18"/>
          <w:color w:val="AF0000"/>
        </w:rPr>
      </w:pPr>
    </w:p>
    <w:p>
      <w:pPr>
        <w:ind w:left="540" w:hanging="331"/>
        <w:spacing w:after="0" w:line="210" w:lineRule="auto"/>
        <w:tabs>
          <w:tab w:leader="none" w:pos="540" w:val="left"/>
        </w:tabs>
        <w:numPr>
          <w:ilvl w:val="0"/>
          <w:numId w:val="65"/>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executve deferred compensaton.</w:t>
      </w:r>
    </w:p>
    <w:p>
      <w:pPr>
        <w:spacing w:after="0" w:line="145"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Executve Pay Mix Summary</w:t>
      </w:r>
    </w:p>
    <w:p>
      <w:pPr>
        <w:spacing w:after="0" w:line="13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2023 Target Compensaton</w:t>
      </w:r>
    </w:p>
    <w:p>
      <w:pPr>
        <w:spacing w:after="0" w:line="145"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The following charts show the targeted mix of compensaton for our named executve ofcers in 2023:</w:t>
      </w:r>
    </w:p>
    <w:p>
      <w:pPr>
        <w:spacing w:after="0" w:line="239" w:lineRule="exact"/>
        <w:rPr>
          <w:sz w:val="20"/>
          <w:szCs w:val="20"/>
          <w:color w:val="auto"/>
        </w:rPr>
      </w:pPr>
    </w:p>
    <w:p>
      <w:pPr>
        <w:ind w:left="2100"/>
        <w:spacing w:after="0"/>
        <w:tabs>
          <w:tab w:leader="none" w:pos="5640" w:val="left"/>
        </w:tabs>
        <w:rPr>
          <w:sz w:val="20"/>
          <w:szCs w:val="20"/>
          <w:color w:val="auto"/>
        </w:rPr>
      </w:pPr>
      <w:r>
        <w:rPr>
          <w:rFonts w:ascii="Calibri" w:cs="Calibri" w:eastAsia="Calibri" w:hAnsi="Calibri"/>
          <w:sz w:val="18"/>
          <w:szCs w:val="18"/>
          <w:b w:val="1"/>
          <w:bCs w:val="1"/>
          <w:color w:val="auto"/>
        </w:rPr>
        <w:t>CEO</w:t>
      </w:r>
      <w:r>
        <w:rPr>
          <w:sz w:val="20"/>
          <w:szCs w:val="20"/>
          <w:color w:val="auto"/>
        </w:rPr>
        <w:tab/>
      </w:r>
      <w:r>
        <w:rPr>
          <w:rFonts w:ascii="Calibri" w:cs="Calibri" w:eastAsia="Calibri" w:hAnsi="Calibri"/>
          <w:sz w:val="18"/>
          <w:szCs w:val="18"/>
          <w:b w:val="1"/>
          <w:bCs w:val="1"/>
          <w:color w:val="auto"/>
        </w:rPr>
        <w:t>AVERAGE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83185</wp:posOffset>
            </wp:positionV>
            <wp:extent cx="5323205" cy="2074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2320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42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46" w:name="page47"/>
    <w:bookmarkEnd w:id="46"/>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EXECUTIVE COMPENSATION AND RELATED MATTERS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2023 Compensaton</w:t>
      </w:r>
    </w:p>
    <w:p>
      <w:pPr>
        <w:spacing w:after="0" w:line="136" w:lineRule="exact"/>
        <w:rPr>
          <w:sz w:val="20"/>
          <w:szCs w:val="20"/>
          <w:color w:val="auto"/>
        </w:rPr>
      </w:pPr>
    </w:p>
    <w:p>
      <w:pPr>
        <w:ind w:left="200" w:right="379"/>
        <w:spacing w:after="0" w:line="235" w:lineRule="auto"/>
        <w:rPr>
          <w:sz w:val="20"/>
          <w:szCs w:val="20"/>
          <w:color w:val="auto"/>
        </w:rPr>
      </w:pPr>
      <w:r>
        <w:rPr>
          <w:rFonts w:ascii="Calibri" w:cs="Calibri" w:eastAsia="Calibri" w:hAnsi="Calibri"/>
          <w:sz w:val="18"/>
          <w:szCs w:val="18"/>
          <w:color w:val="auto"/>
        </w:rPr>
        <w:t>The Compensaton Commitee considered the following factors, among others, when establishing the amounts of fxed and variable compensaton paid to our NEOs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135255</wp:posOffset>
            </wp:positionV>
            <wp:extent cx="5452110"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52110" cy="205740"/>
                    </a:xfrm>
                    <a:prstGeom prst="rect">
                      <a:avLst/>
                    </a:prstGeom>
                    <a:noFill/>
                  </pic:spPr>
                </pic:pic>
              </a:graphicData>
            </a:graphic>
          </wp:anchor>
        </w:drawing>
      </w:r>
    </w:p>
    <w:p>
      <w:pPr>
        <w:spacing w:after="0" w:line="220"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color w:val="FFFFFF"/>
        </w:rPr>
        <w:t>Fred P. Lampropoulos</w:t>
      </w:r>
    </w:p>
    <w:p>
      <w:pPr>
        <w:spacing w:after="0" w:line="177" w:lineRule="exact"/>
        <w:rPr>
          <w:sz w:val="20"/>
          <w:szCs w:val="20"/>
          <w:color w:val="auto"/>
        </w:rPr>
      </w:pPr>
    </w:p>
    <w:p>
      <w:pPr>
        <w:ind w:left="640" w:right="679" w:hanging="332"/>
        <w:spacing w:after="0" w:line="245" w:lineRule="auto"/>
        <w:tabs>
          <w:tab w:leader="none" w:pos="640" w:val="left"/>
        </w:tabs>
        <w:numPr>
          <w:ilvl w:val="0"/>
          <w:numId w:val="66"/>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achievement of the fnancial and operatng performance targets established pursuant to the Foundatons for Growth Program for the three-year period ended December 31, 2023;</w:t>
      </w:r>
    </w:p>
    <w:p>
      <w:pPr>
        <w:spacing w:after="0" w:line="158" w:lineRule="exact"/>
        <w:rPr>
          <w:rFonts w:ascii="Times New Roman" w:cs="Times New Roman" w:eastAsia="Times New Roman" w:hAnsi="Times New Roman"/>
          <w:sz w:val="18"/>
          <w:szCs w:val="18"/>
          <w:color w:val="AF0000"/>
        </w:rPr>
      </w:pPr>
    </w:p>
    <w:p>
      <w:pPr>
        <w:ind w:left="640" w:right="459" w:hanging="332"/>
        <w:spacing w:after="0" w:line="235" w:lineRule="auto"/>
        <w:tabs>
          <w:tab w:leader="none" w:pos="640" w:val="left"/>
        </w:tabs>
        <w:numPr>
          <w:ilvl w:val="0"/>
          <w:numId w:val="66"/>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oversight of operatng efciency initatves, including our Foundatons for Growth initatves, designed to reduce operatng expenses and increase proftability;</w:t>
      </w:r>
    </w:p>
    <w:p>
      <w:pPr>
        <w:spacing w:after="0" w:line="136" w:lineRule="exact"/>
        <w:rPr>
          <w:rFonts w:ascii="Times New Roman" w:cs="Times New Roman" w:eastAsia="Times New Roman" w:hAnsi="Times New Roman"/>
          <w:sz w:val="18"/>
          <w:szCs w:val="18"/>
          <w:color w:val="AF0000"/>
        </w:rPr>
      </w:pPr>
    </w:p>
    <w:p>
      <w:pPr>
        <w:ind w:left="640" w:right="499" w:hanging="332"/>
        <w:spacing w:after="0" w:line="245" w:lineRule="auto"/>
        <w:tabs>
          <w:tab w:leader="none" w:pos="640" w:val="left"/>
        </w:tabs>
        <w:numPr>
          <w:ilvl w:val="0"/>
          <w:numId w:val="66"/>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completon of the ofering of $747.5 million aggregate principal amount of 3.00% Convertble Senior Notes due 2029;</w:t>
      </w:r>
    </w:p>
    <w:p>
      <w:pPr>
        <w:spacing w:after="0" w:line="145" w:lineRule="exact"/>
        <w:rPr>
          <w:rFonts w:ascii="Times New Roman" w:cs="Times New Roman" w:eastAsia="Times New Roman" w:hAnsi="Times New Roman"/>
          <w:sz w:val="18"/>
          <w:szCs w:val="18"/>
          <w:color w:val="AF0000"/>
        </w:rPr>
      </w:pPr>
    </w:p>
    <w:p>
      <w:pPr>
        <w:ind w:left="640" w:right="559" w:hanging="332"/>
        <w:spacing w:after="0" w:line="245" w:lineRule="auto"/>
        <w:tabs>
          <w:tab w:leader="none" w:pos="640" w:val="left"/>
        </w:tabs>
        <w:numPr>
          <w:ilvl w:val="0"/>
          <w:numId w:val="66"/>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acquisitons of a dialysis catheter portolio and the BioSentry Biopsy Tract Sealant System from AngioDynamics and the Surfacer Inside-Out Access Catheter System from Bluegrass;</w:t>
      </w:r>
    </w:p>
    <w:p>
      <w:pPr>
        <w:spacing w:after="0" w:line="158" w:lineRule="exact"/>
        <w:rPr>
          <w:rFonts w:ascii="Times New Roman" w:cs="Times New Roman" w:eastAsia="Times New Roman" w:hAnsi="Times New Roman"/>
          <w:sz w:val="18"/>
          <w:szCs w:val="18"/>
          <w:color w:val="AF0000"/>
        </w:rPr>
      </w:pPr>
    </w:p>
    <w:p>
      <w:pPr>
        <w:ind w:left="640" w:right="1059" w:hanging="332"/>
        <w:spacing w:after="0" w:line="235" w:lineRule="auto"/>
        <w:tabs>
          <w:tab w:leader="none" w:pos="640" w:val="left"/>
        </w:tabs>
        <w:numPr>
          <w:ilvl w:val="0"/>
          <w:numId w:val="66"/>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operatonal management, product development, internatonal expansion, subsidiary development, risk management, and manufacturing capacity planning;</w:t>
      </w:r>
    </w:p>
    <w:p>
      <w:pPr>
        <w:spacing w:after="0" w:line="131" w:lineRule="exact"/>
        <w:rPr>
          <w:rFonts w:ascii="Times New Roman" w:cs="Times New Roman" w:eastAsia="Times New Roman" w:hAnsi="Times New Roman"/>
          <w:sz w:val="18"/>
          <w:szCs w:val="18"/>
          <w:color w:val="AF0000"/>
        </w:rPr>
      </w:pPr>
    </w:p>
    <w:p>
      <w:pPr>
        <w:ind w:left="640" w:hanging="332"/>
        <w:spacing w:after="0"/>
        <w:tabs>
          <w:tab w:leader="none" w:pos="640" w:val="left"/>
        </w:tabs>
        <w:numPr>
          <w:ilvl w:val="0"/>
          <w:numId w:val="66"/>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strategic business development, and management development and oversight; and</w:t>
      </w:r>
    </w:p>
    <w:p>
      <w:pPr>
        <w:spacing w:after="0" w:line="131" w:lineRule="exact"/>
        <w:rPr>
          <w:rFonts w:ascii="Times New Roman" w:cs="Times New Roman" w:eastAsia="Times New Roman" w:hAnsi="Times New Roman"/>
          <w:sz w:val="18"/>
          <w:szCs w:val="18"/>
          <w:color w:val="AF0000"/>
        </w:rPr>
      </w:pPr>
    </w:p>
    <w:p>
      <w:pPr>
        <w:ind w:left="640" w:hanging="332"/>
        <w:spacing w:after="0"/>
        <w:tabs>
          <w:tab w:leader="none" w:pos="640" w:val="left"/>
        </w:tabs>
        <w:numPr>
          <w:ilvl w:val="0"/>
          <w:numId w:val="66"/>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shareholder and fnancial community relatons.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5452110"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52110" cy="205740"/>
                    </a:xfrm>
                    <a:prstGeom prst="rect">
                      <a:avLst/>
                    </a:prstGeom>
                    <a:noFill/>
                  </pic:spPr>
                </pic:pic>
              </a:graphicData>
            </a:graphic>
          </wp:anchor>
        </w:drawing>
      </w:r>
    </w:p>
    <w:p>
      <w:pPr>
        <w:spacing w:after="0" w:line="206"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color w:val="FFFFFF"/>
        </w:rPr>
        <w:t>Raul Parra</w:t>
      </w:r>
    </w:p>
    <w:p>
      <w:pPr>
        <w:spacing w:after="0" w:line="177" w:lineRule="exact"/>
        <w:rPr>
          <w:sz w:val="20"/>
          <w:szCs w:val="20"/>
          <w:color w:val="auto"/>
        </w:rPr>
      </w:pPr>
    </w:p>
    <w:p>
      <w:pPr>
        <w:ind w:left="640" w:right="679" w:hanging="332"/>
        <w:spacing w:after="0" w:line="245" w:lineRule="auto"/>
        <w:tabs>
          <w:tab w:leader="none" w:pos="640" w:val="left"/>
        </w:tabs>
        <w:numPr>
          <w:ilvl w:val="0"/>
          <w:numId w:val="67"/>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achievement of the fnancial and operatng performance targets established pursuant to the Foundatons for Growth Program for the three-year period ended December 31, 2023;</w:t>
      </w:r>
    </w:p>
    <w:p>
      <w:pPr>
        <w:spacing w:after="0" w:line="145" w:lineRule="exact"/>
        <w:rPr>
          <w:rFonts w:ascii="Times New Roman" w:cs="Times New Roman" w:eastAsia="Times New Roman" w:hAnsi="Times New Roman"/>
          <w:sz w:val="18"/>
          <w:szCs w:val="18"/>
          <w:color w:val="AF0000"/>
        </w:rPr>
      </w:pPr>
    </w:p>
    <w:p>
      <w:pPr>
        <w:ind w:left="640" w:right="499" w:hanging="332"/>
        <w:spacing w:after="0" w:line="245" w:lineRule="auto"/>
        <w:tabs>
          <w:tab w:leader="none" w:pos="640" w:val="left"/>
        </w:tabs>
        <w:numPr>
          <w:ilvl w:val="0"/>
          <w:numId w:val="67"/>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completon of the ofering of $747.5 million aggregate principal amount of 3.00% Convertble Senior Notes due 2029;</w:t>
      </w:r>
    </w:p>
    <w:p>
      <w:pPr>
        <w:spacing w:after="0" w:line="154" w:lineRule="exact"/>
        <w:rPr>
          <w:rFonts w:ascii="Times New Roman" w:cs="Times New Roman" w:eastAsia="Times New Roman" w:hAnsi="Times New Roman"/>
          <w:sz w:val="18"/>
          <w:szCs w:val="18"/>
          <w:color w:val="AF0000"/>
        </w:rPr>
      </w:pPr>
    </w:p>
    <w:p>
      <w:pPr>
        <w:ind w:left="640" w:hanging="332"/>
        <w:spacing w:after="0"/>
        <w:tabs>
          <w:tab w:leader="none" w:pos="640" w:val="left"/>
        </w:tabs>
        <w:numPr>
          <w:ilvl w:val="0"/>
          <w:numId w:val="67"/>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responsibility for the fnancial and accountng afairs of an increasingly large and complex global organizaton;</w:t>
      </w:r>
    </w:p>
    <w:p>
      <w:pPr>
        <w:spacing w:after="0" w:line="149" w:lineRule="exact"/>
        <w:rPr>
          <w:rFonts w:ascii="Times New Roman" w:cs="Times New Roman" w:eastAsia="Times New Roman" w:hAnsi="Times New Roman"/>
          <w:sz w:val="18"/>
          <w:szCs w:val="18"/>
          <w:color w:val="AF0000"/>
        </w:rPr>
      </w:pPr>
    </w:p>
    <w:p>
      <w:pPr>
        <w:ind w:left="640" w:right="339" w:hanging="332"/>
        <w:spacing w:after="0" w:line="235" w:lineRule="auto"/>
        <w:tabs>
          <w:tab w:leader="none" w:pos="640" w:val="left"/>
        </w:tabs>
        <w:numPr>
          <w:ilvl w:val="0"/>
          <w:numId w:val="67"/>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oversight of our cash fow, including a substantal increase in the amount of our free cash fow, and budgetng practces; and</w:t>
      </w:r>
    </w:p>
    <w:p>
      <w:pPr>
        <w:spacing w:after="0" w:line="158" w:lineRule="exact"/>
        <w:rPr>
          <w:rFonts w:ascii="Times New Roman" w:cs="Times New Roman" w:eastAsia="Times New Roman" w:hAnsi="Times New Roman"/>
          <w:sz w:val="18"/>
          <w:szCs w:val="18"/>
          <w:color w:val="AF0000"/>
        </w:rPr>
      </w:pPr>
    </w:p>
    <w:p>
      <w:pPr>
        <w:ind w:left="640" w:hanging="332"/>
        <w:spacing w:after="0"/>
        <w:tabs>
          <w:tab w:leader="none" w:pos="640" w:val="left"/>
        </w:tabs>
        <w:numPr>
          <w:ilvl w:val="0"/>
          <w:numId w:val="67"/>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shareholder and fnancial community relatons.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135255</wp:posOffset>
            </wp:positionV>
            <wp:extent cx="5452110"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52110" cy="205740"/>
                    </a:xfrm>
                    <a:prstGeom prst="rect">
                      <a:avLst/>
                    </a:prstGeom>
                    <a:noFill/>
                  </pic:spPr>
                </pic:pic>
              </a:graphicData>
            </a:graphic>
          </wp:anchor>
        </w:drawing>
      </w:r>
    </w:p>
    <w:p>
      <w:pPr>
        <w:spacing w:after="0" w:line="219"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color w:val="FFFFFF"/>
        </w:rPr>
        <w:t>Joseph C. Wright</w:t>
      </w:r>
    </w:p>
    <w:p>
      <w:pPr>
        <w:spacing w:after="0" w:line="204" w:lineRule="exact"/>
        <w:rPr>
          <w:sz w:val="20"/>
          <w:szCs w:val="20"/>
          <w:color w:val="auto"/>
        </w:rPr>
      </w:pPr>
    </w:p>
    <w:p>
      <w:pPr>
        <w:ind w:left="640" w:right="679" w:hanging="332"/>
        <w:spacing w:after="0" w:line="235" w:lineRule="auto"/>
        <w:tabs>
          <w:tab w:leader="none" w:pos="640" w:val="left"/>
        </w:tabs>
        <w:numPr>
          <w:ilvl w:val="0"/>
          <w:numId w:val="6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achievement of the fnancial and operatng performance targets established pursuant to the Foundatons for Growth Program for the three-year period ended December 31, 2023;</w:t>
      </w:r>
    </w:p>
    <w:p>
      <w:pPr>
        <w:spacing w:after="0" w:line="163" w:lineRule="exact"/>
        <w:rPr>
          <w:rFonts w:ascii="Times New Roman" w:cs="Times New Roman" w:eastAsia="Times New Roman" w:hAnsi="Times New Roman"/>
          <w:sz w:val="18"/>
          <w:szCs w:val="18"/>
          <w:color w:val="AF0000"/>
        </w:rPr>
      </w:pPr>
    </w:p>
    <w:p>
      <w:pPr>
        <w:ind w:left="640" w:right="759" w:hanging="332"/>
        <w:spacing w:after="0" w:line="245" w:lineRule="auto"/>
        <w:tabs>
          <w:tab w:leader="none" w:pos="640" w:val="left"/>
        </w:tabs>
        <w:numPr>
          <w:ilvl w:val="0"/>
          <w:numId w:val="6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leadership and development of our commercial organizaton and actvites in all regions of the world during 2023;</w:t>
      </w:r>
    </w:p>
    <w:p>
      <w:pPr>
        <w:spacing w:after="0" w:line="194" w:lineRule="exact"/>
        <w:rPr>
          <w:rFonts w:ascii="Times New Roman" w:cs="Times New Roman" w:eastAsia="Times New Roman" w:hAnsi="Times New Roman"/>
          <w:sz w:val="18"/>
          <w:szCs w:val="18"/>
          <w:color w:val="AF0000"/>
        </w:rPr>
      </w:pPr>
    </w:p>
    <w:p>
      <w:pPr>
        <w:ind w:left="640" w:hanging="332"/>
        <w:spacing w:after="0"/>
        <w:tabs>
          <w:tab w:leader="none" w:pos="640" w:val="left"/>
        </w:tabs>
        <w:numPr>
          <w:ilvl w:val="0"/>
          <w:numId w:val="6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implementaton of sales strategies and performance goals for our worldwide commercial organizaton; and</w:t>
      </w:r>
    </w:p>
    <w:p>
      <w:pPr>
        <w:spacing w:after="0" w:line="158" w:lineRule="exact"/>
        <w:rPr>
          <w:rFonts w:ascii="Times New Roman" w:cs="Times New Roman" w:eastAsia="Times New Roman" w:hAnsi="Times New Roman"/>
          <w:sz w:val="18"/>
          <w:szCs w:val="18"/>
          <w:color w:val="AF0000"/>
        </w:rPr>
      </w:pPr>
    </w:p>
    <w:p>
      <w:pPr>
        <w:ind w:left="640" w:hanging="332"/>
        <w:spacing w:after="0"/>
        <w:tabs>
          <w:tab w:leader="none" w:pos="640" w:val="left"/>
        </w:tabs>
        <w:numPr>
          <w:ilvl w:val="0"/>
          <w:numId w:val="6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budget management for our global commercial operatons.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47" w:name="page48"/>
    <w:bookmarkEnd w:id="47"/>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5452110"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52110" cy="205740"/>
                    </a:xfrm>
                    <a:prstGeom prst="rect">
                      <a:avLst/>
                    </a:prstGeom>
                    <a:noFill/>
                  </pic:spPr>
                </pic:pic>
              </a:graphicData>
            </a:graphic>
          </wp:anchor>
        </w:drawing>
      </w:r>
    </w:p>
    <w:p>
      <w:pPr>
        <w:spacing w:after="0" w:line="165"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color w:val="FFFFFF"/>
        </w:rPr>
        <w:t>Neil W. Peterson</w:t>
      </w:r>
    </w:p>
    <w:p>
      <w:pPr>
        <w:spacing w:after="0" w:line="217" w:lineRule="exact"/>
        <w:rPr>
          <w:sz w:val="20"/>
          <w:szCs w:val="20"/>
          <w:color w:val="auto"/>
        </w:rPr>
      </w:pPr>
    </w:p>
    <w:p>
      <w:pPr>
        <w:ind w:left="640" w:right="679" w:hanging="332"/>
        <w:spacing w:after="0" w:line="245" w:lineRule="auto"/>
        <w:tabs>
          <w:tab w:leader="none" w:pos="640" w:val="left"/>
        </w:tabs>
        <w:numPr>
          <w:ilvl w:val="0"/>
          <w:numId w:val="69"/>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achievement of the fnancial and operatng performance targets established pursuant to the Foundatons for Growth Program for the three-year period ended December 31, 2023;</w:t>
      </w:r>
    </w:p>
    <w:p>
      <w:pPr>
        <w:spacing w:after="0" w:line="194" w:lineRule="exact"/>
        <w:rPr>
          <w:rFonts w:ascii="Times New Roman" w:cs="Times New Roman" w:eastAsia="Times New Roman" w:hAnsi="Times New Roman"/>
          <w:sz w:val="18"/>
          <w:szCs w:val="18"/>
          <w:color w:val="AF0000"/>
        </w:rPr>
      </w:pPr>
    </w:p>
    <w:p>
      <w:pPr>
        <w:ind w:left="640" w:hanging="332"/>
        <w:spacing w:after="0"/>
        <w:tabs>
          <w:tab w:leader="none" w:pos="640" w:val="left"/>
        </w:tabs>
        <w:numPr>
          <w:ilvl w:val="0"/>
          <w:numId w:val="69"/>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responsibility for the conduct of our worldwide operatons within the budget established by the Board;</w:t>
      </w:r>
    </w:p>
    <w:p>
      <w:pPr>
        <w:spacing w:after="0" w:line="163" w:lineRule="exact"/>
        <w:rPr>
          <w:rFonts w:ascii="Times New Roman" w:cs="Times New Roman" w:eastAsia="Times New Roman" w:hAnsi="Times New Roman"/>
          <w:sz w:val="18"/>
          <w:szCs w:val="18"/>
          <w:color w:val="AF0000"/>
        </w:rPr>
      </w:pPr>
    </w:p>
    <w:p>
      <w:pPr>
        <w:ind w:left="640" w:right="1139" w:hanging="332"/>
        <w:spacing w:after="0" w:line="235" w:lineRule="auto"/>
        <w:tabs>
          <w:tab w:leader="none" w:pos="640" w:val="left"/>
        </w:tabs>
        <w:numPr>
          <w:ilvl w:val="0"/>
          <w:numId w:val="69"/>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implementaton of operatng efciency initatves designed to reduce operatng expenses and increase proftability, consistent with our Foundatons for Growth Program;</w:t>
      </w:r>
    </w:p>
    <w:p>
      <w:pPr>
        <w:spacing w:after="0" w:line="150" w:lineRule="exact"/>
        <w:rPr>
          <w:rFonts w:ascii="Times New Roman" w:cs="Times New Roman" w:eastAsia="Times New Roman" w:hAnsi="Times New Roman"/>
          <w:sz w:val="18"/>
          <w:szCs w:val="18"/>
          <w:color w:val="AF0000"/>
        </w:rPr>
      </w:pPr>
    </w:p>
    <w:p>
      <w:pPr>
        <w:ind w:left="640" w:right="359" w:hanging="332"/>
        <w:spacing w:after="0" w:line="248" w:lineRule="auto"/>
        <w:tabs>
          <w:tab w:leader="none" w:pos="640" w:val="left"/>
        </w:tabs>
        <w:numPr>
          <w:ilvl w:val="0"/>
          <w:numId w:val="69"/>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integraton of the operatons associated with the dialysis catheter portolio and the BioSentry Biopsy Tract Sealant System acquired from AngioDynamics and the Surfacer Inside-Out Access Catheter System acquired from Bluegrass; and</w:t>
      </w:r>
    </w:p>
    <w:p>
      <w:pPr>
        <w:spacing w:after="0" w:line="205" w:lineRule="exact"/>
        <w:rPr>
          <w:rFonts w:ascii="Times New Roman" w:cs="Times New Roman" w:eastAsia="Times New Roman" w:hAnsi="Times New Roman"/>
          <w:sz w:val="18"/>
          <w:szCs w:val="18"/>
          <w:color w:val="AF0000"/>
        </w:rPr>
      </w:pPr>
    </w:p>
    <w:p>
      <w:pPr>
        <w:ind w:left="640" w:hanging="332"/>
        <w:spacing w:after="0"/>
        <w:tabs>
          <w:tab w:leader="none" w:pos="640" w:val="left"/>
        </w:tabs>
        <w:numPr>
          <w:ilvl w:val="0"/>
          <w:numId w:val="69"/>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oversight of our eforts to reduce our environmental footprint and promote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168910</wp:posOffset>
            </wp:positionV>
            <wp:extent cx="5452110"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52110" cy="205740"/>
                    </a:xfrm>
                    <a:prstGeom prst="rect">
                      <a:avLst/>
                    </a:prstGeom>
                    <a:noFill/>
                  </pic:spPr>
                </pic:pic>
              </a:graphicData>
            </a:graphic>
          </wp:anchor>
        </w:drawing>
      </w:r>
    </w:p>
    <w:p>
      <w:pPr>
        <w:spacing w:after="0" w:line="273"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color w:val="FFFFFF"/>
        </w:rPr>
        <w:t>Brian G. Lloyd</w:t>
      </w:r>
    </w:p>
    <w:p>
      <w:pPr>
        <w:spacing w:after="0" w:line="217" w:lineRule="exact"/>
        <w:rPr>
          <w:sz w:val="20"/>
          <w:szCs w:val="20"/>
          <w:color w:val="auto"/>
        </w:rPr>
      </w:pPr>
    </w:p>
    <w:p>
      <w:pPr>
        <w:ind w:left="640" w:right="679" w:hanging="332"/>
        <w:spacing w:after="0" w:line="235" w:lineRule="auto"/>
        <w:tabs>
          <w:tab w:leader="none" w:pos="640" w:val="left"/>
        </w:tabs>
        <w:numPr>
          <w:ilvl w:val="0"/>
          <w:numId w:val="70"/>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achievement of the fnancial and operatng performance targets established pursuant to the Foundatons for Growth Program for the three-year period ended December 31, 2023;</w:t>
      </w:r>
    </w:p>
    <w:p>
      <w:pPr>
        <w:spacing w:after="0" w:line="145" w:lineRule="exact"/>
        <w:rPr>
          <w:rFonts w:ascii="Times New Roman" w:cs="Times New Roman" w:eastAsia="Times New Roman" w:hAnsi="Times New Roman"/>
          <w:sz w:val="18"/>
          <w:szCs w:val="18"/>
          <w:color w:val="AF0000"/>
        </w:rPr>
      </w:pPr>
    </w:p>
    <w:p>
      <w:pPr>
        <w:ind w:left="640" w:hanging="332"/>
        <w:spacing w:after="0"/>
        <w:tabs>
          <w:tab w:leader="none" w:pos="640" w:val="left"/>
        </w:tabs>
        <w:numPr>
          <w:ilvl w:val="0"/>
          <w:numId w:val="70"/>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corporate counsel and support of the Board in fulflling its corporate governance obligatons;</w:t>
      </w:r>
    </w:p>
    <w:p>
      <w:pPr>
        <w:spacing w:after="0" w:line="163" w:lineRule="exact"/>
        <w:rPr>
          <w:rFonts w:ascii="Times New Roman" w:cs="Times New Roman" w:eastAsia="Times New Roman" w:hAnsi="Times New Roman"/>
          <w:sz w:val="18"/>
          <w:szCs w:val="18"/>
          <w:color w:val="AF0000"/>
        </w:rPr>
      </w:pPr>
    </w:p>
    <w:p>
      <w:pPr>
        <w:ind w:left="640" w:right="499" w:hanging="332"/>
        <w:spacing w:after="0" w:line="235" w:lineRule="auto"/>
        <w:tabs>
          <w:tab w:leader="none" w:pos="640" w:val="left"/>
        </w:tabs>
        <w:numPr>
          <w:ilvl w:val="0"/>
          <w:numId w:val="70"/>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completon of the ofering of $747.5 million aggregate principal amount of 3.00% Convertble Senior Notes due 2029;</w:t>
      </w:r>
    </w:p>
    <w:p>
      <w:pPr>
        <w:spacing w:after="0" w:line="163" w:lineRule="exact"/>
        <w:rPr>
          <w:rFonts w:ascii="Times New Roman" w:cs="Times New Roman" w:eastAsia="Times New Roman" w:hAnsi="Times New Roman"/>
          <w:sz w:val="18"/>
          <w:szCs w:val="18"/>
          <w:color w:val="AF0000"/>
        </w:rPr>
      </w:pPr>
    </w:p>
    <w:p>
      <w:pPr>
        <w:ind w:left="640" w:right="559" w:hanging="332"/>
        <w:spacing w:after="0" w:line="235" w:lineRule="auto"/>
        <w:tabs>
          <w:tab w:leader="none" w:pos="640" w:val="left"/>
        </w:tabs>
        <w:numPr>
          <w:ilvl w:val="0"/>
          <w:numId w:val="70"/>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acquisitons of a dialysis catheter portolio and the BioSentry Biopsy Tract Sealant System from AngioDynamics and the Surfacer Inside-Out Access Catheter System from Bluegrass, Inc.; and</w:t>
      </w:r>
    </w:p>
    <w:p>
      <w:pPr>
        <w:spacing w:after="0" w:line="150" w:lineRule="exact"/>
        <w:rPr>
          <w:rFonts w:ascii="Times New Roman" w:cs="Times New Roman" w:eastAsia="Times New Roman" w:hAnsi="Times New Roman"/>
          <w:sz w:val="18"/>
          <w:szCs w:val="18"/>
          <w:color w:val="AF0000"/>
        </w:rPr>
      </w:pPr>
    </w:p>
    <w:p>
      <w:pPr>
        <w:ind w:left="640" w:right="919" w:hanging="332"/>
        <w:spacing w:after="0" w:line="235" w:lineRule="auto"/>
        <w:tabs>
          <w:tab w:leader="none" w:pos="640" w:val="left"/>
        </w:tabs>
        <w:numPr>
          <w:ilvl w:val="0"/>
          <w:numId w:val="70"/>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oversight and coordinaton of signifcant litgaton and other disputes, as well as acquisiton and fnancing transactons.</w:t>
      </w:r>
    </w:p>
    <w:p>
      <w:pPr>
        <w:spacing w:after="0" w:line="206"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Fixed Compensaton</w:t>
      </w:r>
    </w:p>
    <w:p>
      <w:pPr>
        <w:spacing w:after="0" w:line="141"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Base Salary</w:t>
      </w:r>
    </w:p>
    <w:p>
      <w:pPr>
        <w:spacing w:after="0" w:line="177" w:lineRule="exact"/>
        <w:rPr>
          <w:sz w:val="20"/>
          <w:szCs w:val="20"/>
          <w:color w:val="auto"/>
        </w:rPr>
      </w:pPr>
    </w:p>
    <w:p>
      <w:pPr>
        <w:ind w:left="200" w:right="259"/>
        <w:spacing w:after="0" w:line="248" w:lineRule="auto"/>
        <w:rPr>
          <w:sz w:val="20"/>
          <w:szCs w:val="20"/>
          <w:color w:val="auto"/>
        </w:rPr>
      </w:pPr>
      <w:r>
        <w:rPr>
          <w:rFonts w:ascii="Calibri" w:cs="Calibri" w:eastAsia="Calibri" w:hAnsi="Calibri"/>
          <w:sz w:val="17"/>
          <w:szCs w:val="17"/>
          <w:color w:val="auto"/>
        </w:rPr>
        <w:t>The Compensaton Commitee does not use a specifc formula for evaluatng individual performance of the NEOs. The performance of the NEOs other than the CEO is assessed by the Compensaton Commitee taking into account the CEO’s input regarding each NEO’s contributons to our performance for the applicable year. The CEO’s performance is assessed by the Compensaton Commitee following formal and informal meetngs with the CEO, and fnal determinatons are made by the Compensaton Commitee. The criteria used in setng the base salary for each NEO, including the CEO, vary depending on the NEO’s functon, but generally include the Compensaton Commitee’s assessment of the NEO’s:</w:t>
      </w:r>
    </w:p>
    <w:p>
      <w:pPr>
        <w:spacing w:after="0" w:line="180" w:lineRule="exact"/>
        <w:rPr>
          <w:sz w:val="20"/>
          <w:szCs w:val="20"/>
          <w:color w:val="auto"/>
        </w:rPr>
      </w:pPr>
    </w:p>
    <w:p>
      <w:pPr>
        <w:ind w:left="540" w:hanging="331"/>
        <w:spacing w:after="0"/>
        <w:tabs>
          <w:tab w:leader="none" w:pos="540" w:val="left"/>
        </w:tabs>
        <w:numPr>
          <w:ilvl w:val="0"/>
          <w:numId w:val="7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advancement of our interests with shareholders and customers and in other strategic business relatonships;</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7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achievement of our fnancial results, positon and experience (in an efort to avoid gender or age discriminaton);</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7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leadership inside and outside the Company;</w:t>
      </w:r>
    </w:p>
    <w:p>
      <w:pPr>
        <w:spacing w:after="0" w:line="190" w:lineRule="exact"/>
        <w:rPr>
          <w:rFonts w:ascii="Times New Roman" w:cs="Times New Roman" w:eastAsia="Times New Roman" w:hAnsi="Times New Roman"/>
          <w:sz w:val="18"/>
          <w:szCs w:val="18"/>
          <w:color w:val="AF0000"/>
        </w:rPr>
      </w:pPr>
    </w:p>
    <w:p>
      <w:pPr>
        <w:ind w:left="540" w:right="659" w:hanging="331"/>
        <w:spacing w:after="0" w:line="235" w:lineRule="auto"/>
        <w:tabs>
          <w:tab w:leader="none" w:pos="540" w:val="left"/>
        </w:tabs>
        <w:numPr>
          <w:ilvl w:val="0"/>
          <w:numId w:val="7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contributon to specifc Company initatves, such as our Foundatons for Growth initatves, expense reducton eforts, product quality and development and environmental and social objectves; and</w:t>
      </w:r>
    </w:p>
    <w:p>
      <w:pPr>
        <w:spacing w:after="0" w:line="172"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7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advancement in skills and responsibility.</w:t>
      </w: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44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48" w:name="page49"/>
    <w:bookmarkEnd w:id="48"/>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5080"/>
        <w:spacing w:after="0"/>
        <w:rPr>
          <w:sz w:val="20"/>
          <w:szCs w:val="20"/>
          <w:color w:val="auto"/>
        </w:rPr>
      </w:pPr>
      <w:r>
        <w:rPr>
          <w:rFonts w:ascii="Calibri" w:cs="Calibri" w:eastAsia="Calibri" w:hAnsi="Calibri"/>
          <w:sz w:val="17"/>
          <w:szCs w:val="17"/>
          <w:color w:val="auto"/>
        </w:rPr>
        <w:t>EXECUTIVE COMPENSATION AND RELATED MATTERS</w:t>
      </w:r>
    </w:p>
    <w:p>
      <w:pPr>
        <w:spacing w:after="0" w:line="184" w:lineRule="exact"/>
        <w:rPr>
          <w:sz w:val="20"/>
          <w:szCs w:val="20"/>
          <w:color w:val="auto"/>
        </w:rPr>
      </w:pPr>
    </w:p>
    <w:p>
      <w:pPr>
        <w:ind w:left="200" w:right="279"/>
        <w:spacing w:after="0" w:line="233" w:lineRule="auto"/>
        <w:rPr>
          <w:sz w:val="20"/>
          <w:szCs w:val="20"/>
          <w:color w:val="auto"/>
        </w:rPr>
      </w:pPr>
      <w:r>
        <w:rPr>
          <w:rFonts w:ascii="Calibri" w:cs="Calibri" w:eastAsia="Calibri" w:hAnsi="Calibri"/>
          <w:sz w:val="18"/>
          <w:szCs w:val="18"/>
          <w:color w:val="auto"/>
        </w:rPr>
        <w:t>Given the subjectve nature of the criteria identfed above, the Compensaton Commitee has not atempted to develop numeric measurements in determining base salaries for the NEOs. Instead, the Compensaton Commitee establishes base salaries at levels commensurate with the Compensaton Commitee’s evaluaton of each NEO’s contributon to our business success. The Compensaton Commitee has also consulted with Pearl Meyer to assess the levels of base salary and other compensaton paid to the CEO and other NEOs, relatve to the Company’s peers. In partcular, the Compensaton Commitee has set the base salary and incentve cash bonus of the CEO at levels which are higher than the aggregate amount of base salary and incentve bonus paid to the principal executve ofcers of a number of our peers. Because the CEO is a founder of the Company and owns a substantal number of shares of Common Stock, the Compensaton Commitee believes his personal interests are more aligned with the interests of our shareholders than our other NEOs. Therefore, the Compensaton Commitee believes that adjustng his compensaton mix to include a greater proporton of cash payments, rather than issuing additonal equity awards, serves to increase the alignment of our CEO’s interests with the interests of our shareholders.</w:t>
      </w:r>
    </w:p>
    <w:p>
      <w:pPr>
        <w:spacing w:after="0" w:line="181" w:lineRule="exact"/>
        <w:rPr>
          <w:sz w:val="20"/>
          <w:szCs w:val="20"/>
          <w:color w:val="auto"/>
        </w:rPr>
      </w:pPr>
    </w:p>
    <w:p>
      <w:pPr>
        <w:jc w:val="both"/>
        <w:ind w:left="200" w:right="599"/>
        <w:spacing w:after="0" w:line="235" w:lineRule="auto"/>
        <w:rPr>
          <w:sz w:val="20"/>
          <w:szCs w:val="20"/>
          <w:color w:val="auto"/>
        </w:rPr>
      </w:pPr>
      <w:r>
        <w:rPr>
          <w:rFonts w:ascii="Calibri" w:cs="Calibri" w:eastAsia="Calibri" w:hAnsi="Calibri"/>
          <w:sz w:val="18"/>
          <w:szCs w:val="18"/>
          <w:color w:val="auto"/>
        </w:rPr>
        <w:t>Based on its evaluaton, the Compensaton Commitee approved the following NEO base salaries for the year ended December 31, 2023, which are also refected in the Summary Compensaton Table under “Executve Compensaton Tables” below.</w:t>
      </w:r>
    </w:p>
    <w:p>
      <w:pPr>
        <w:spacing w:after="0" w:line="181" w:lineRule="exact"/>
        <w:rPr>
          <w:sz w:val="20"/>
          <w:szCs w:val="20"/>
          <w:color w:val="auto"/>
        </w:rPr>
      </w:pPr>
    </w:p>
    <w:tbl>
      <w:tblPr>
        <w:tblLayout w:type="fixed"/>
        <w:tblInd w:w="1080" w:type="dxa"/>
        <w:tblCellMar>
          <w:top w:w="0" w:type="dxa"/>
          <w:left w:w="0" w:type="dxa"/>
          <w:bottom w:w="0" w:type="dxa"/>
          <w:right w:w="0" w:type="dxa"/>
        </w:tblCellMar>
      </w:tblPr>
      <w:tr>
        <w:trPr>
          <w:trHeight w:val="250"/>
        </w:trPr>
        <w:tc>
          <w:tcPr>
            <w:tcW w:w="3680" w:type="dxa"/>
            <w:vAlign w:val="bottom"/>
            <w:tcBorders>
              <w:top w:val="single" w:sz="8" w:color="AF0000"/>
              <w:bottom w:val="single" w:sz="8" w:color="AF0000"/>
            </w:tcBorders>
          </w:tcPr>
          <w:p>
            <w:pPr>
              <w:ind w:left="80"/>
              <w:spacing w:after="0"/>
              <w:rPr>
                <w:sz w:val="20"/>
                <w:szCs w:val="20"/>
                <w:color w:val="auto"/>
              </w:rPr>
            </w:pPr>
            <w:r>
              <w:rPr>
                <w:rFonts w:ascii="Calibri" w:cs="Calibri" w:eastAsia="Calibri" w:hAnsi="Calibri"/>
                <w:sz w:val="18"/>
                <w:szCs w:val="18"/>
                <w:b w:val="1"/>
                <w:bCs w:val="1"/>
                <w:color w:val="auto"/>
              </w:rPr>
              <w:t>Named Executve Ofcer</w:t>
            </w:r>
          </w:p>
        </w:tc>
        <w:tc>
          <w:tcPr>
            <w:tcW w:w="1920" w:type="dxa"/>
            <w:vAlign w:val="bottom"/>
            <w:tcBorders>
              <w:top w:val="single" w:sz="8" w:color="AF0000"/>
              <w:bottom w:val="single" w:sz="8" w:color="AF0000"/>
            </w:tcBorders>
          </w:tcPr>
          <w:p>
            <w:pPr>
              <w:spacing w:after="0"/>
              <w:rPr>
                <w:sz w:val="21"/>
                <w:szCs w:val="21"/>
                <w:color w:val="auto"/>
              </w:rPr>
            </w:pPr>
          </w:p>
        </w:tc>
        <w:tc>
          <w:tcPr>
            <w:tcW w:w="1260" w:type="dxa"/>
            <w:vAlign w:val="bottom"/>
            <w:tcBorders>
              <w:top w:val="single" w:sz="8" w:color="AF0000"/>
              <w:bottom w:val="single" w:sz="8" w:color="AF0000"/>
            </w:tcBorders>
          </w:tcPr>
          <w:p>
            <w:pPr>
              <w:jc w:val="right"/>
              <w:ind w:right="90"/>
              <w:spacing w:after="0" w:line="243" w:lineRule="exact"/>
              <w:rPr>
                <w:sz w:val="20"/>
                <w:szCs w:val="20"/>
                <w:color w:val="auto"/>
              </w:rPr>
            </w:pPr>
            <w:r>
              <w:rPr>
                <w:rFonts w:ascii="Calibri" w:cs="Calibri" w:eastAsia="Calibri" w:hAnsi="Calibri"/>
                <w:sz w:val="18"/>
                <w:szCs w:val="18"/>
                <w:b w:val="1"/>
                <w:bCs w:val="1"/>
                <w:color w:val="auto"/>
                <w:w w:val="97"/>
              </w:rPr>
              <w:t xml:space="preserve">Base Salary </w:t>
            </w:r>
            <w:r>
              <w:rPr>
                <w:rFonts w:ascii="Calibri" w:cs="Calibri" w:eastAsia="Calibri" w:hAnsi="Calibri"/>
                <w:sz w:val="26"/>
                <w:szCs w:val="26"/>
                <w:b w:val="1"/>
                <w:bCs w:val="1"/>
                <w:color w:val="AF0000"/>
                <w:w w:val="97"/>
                <w:vertAlign w:val="superscript"/>
              </w:rPr>
              <w:t>(1)</w:t>
            </w:r>
          </w:p>
        </w:tc>
      </w:tr>
      <w:tr>
        <w:trPr>
          <w:trHeight w:val="215"/>
        </w:trPr>
        <w:tc>
          <w:tcPr>
            <w:tcW w:w="368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Fred P. Lampropoulos</w:t>
            </w:r>
          </w:p>
        </w:tc>
        <w:tc>
          <w:tcPr>
            <w:tcW w:w="192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6A6A6"/>
            </w:tcBorders>
          </w:tcPr>
          <w:p>
            <w:pPr>
              <w:jc w:val="right"/>
              <w:ind w:right="210"/>
              <w:spacing w:after="0" w:line="215" w:lineRule="exact"/>
              <w:rPr>
                <w:sz w:val="20"/>
                <w:szCs w:val="20"/>
                <w:color w:val="auto"/>
              </w:rPr>
            </w:pPr>
            <w:r>
              <w:rPr>
                <w:rFonts w:ascii="Calibri" w:cs="Calibri" w:eastAsia="Calibri" w:hAnsi="Calibri"/>
                <w:sz w:val="18"/>
                <w:szCs w:val="18"/>
                <w:color w:val="auto"/>
              </w:rPr>
              <w:t>1,890,000</w:t>
            </w:r>
          </w:p>
        </w:tc>
      </w:tr>
      <w:tr>
        <w:trPr>
          <w:trHeight w:val="209"/>
        </w:trPr>
        <w:tc>
          <w:tcPr>
            <w:tcW w:w="368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Joseph C. Wright</w:t>
            </w:r>
          </w:p>
        </w:tc>
        <w:tc>
          <w:tcPr>
            <w:tcW w:w="1920" w:type="dxa"/>
            <w:vAlign w:val="bottom"/>
            <w:tcBorders>
              <w:bottom w:val="single" w:sz="8" w:color="A6A6A6"/>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6A6A6"/>
            </w:tcBorders>
          </w:tcPr>
          <w:p>
            <w:pPr>
              <w:jc w:val="right"/>
              <w:ind w:right="210"/>
              <w:spacing w:after="0" w:line="209" w:lineRule="exact"/>
              <w:rPr>
                <w:sz w:val="20"/>
                <w:szCs w:val="20"/>
                <w:color w:val="auto"/>
              </w:rPr>
            </w:pPr>
            <w:r>
              <w:rPr>
                <w:rFonts w:ascii="Calibri" w:cs="Calibri" w:eastAsia="Calibri" w:hAnsi="Calibri"/>
                <w:sz w:val="18"/>
                <w:szCs w:val="18"/>
                <w:color w:val="auto"/>
              </w:rPr>
              <w:t>700,000</w:t>
            </w:r>
          </w:p>
        </w:tc>
      </w:tr>
      <w:tr>
        <w:trPr>
          <w:trHeight w:val="210"/>
        </w:trPr>
        <w:tc>
          <w:tcPr>
            <w:tcW w:w="368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Raul Parra</w:t>
            </w:r>
          </w:p>
        </w:tc>
        <w:tc>
          <w:tcPr>
            <w:tcW w:w="1920" w:type="dxa"/>
            <w:vAlign w:val="bottom"/>
            <w:tcBorders>
              <w:bottom w:val="single" w:sz="8" w:color="A6A6A6"/>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6A6A6"/>
            </w:tcBorders>
          </w:tcPr>
          <w:p>
            <w:pPr>
              <w:jc w:val="right"/>
              <w:ind w:right="210"/>
              <w:spacing w:after="0" w:line="209" w:lineRule="exact"/>
              <w:rPr>
                <w:sz w:val="20"/>
                <w:szCs w:val="20"/>
                <w:color w:val="auto"/>
              </w:rPr>
            </w:pPr>
            <w:r>
              <w:rPr>
                <w:rFonts w:ascii="Calibri" w:cs="Calibri" w:eastAsia="Calibri" w:hAnsi="Calibri"/>
                <w:sz w:val="18"/>
                <w:szCs w:val="18"/>
                <w:color w:val="auto"/>
              </w:rPr>
              <w:t>630,000</w:t>
            </w:r>
          </w:p>
        </w:tc>
      </w:tr>
      <w:tr>
        <w:trPr>
          <w:trHeight w:val="209"/>
        </w:trPr>
        <w:tc>
          <w:tcPr>
            <w:tcW w:w="368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Neil W. Peterson</w:t>
            </w:r>
          </w:p>
        </w:tc>
        <w:tc>
          <w:tcPr>
            <w:tcW w:w="1920" w:type="dxa"/>
            <w:vAlign w:val="bottom"/>
            <w:tcBorders>
              <w:bottom w:val="single" w:sz="8" w:color="A6A6A6"/>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6A6A6"/>
            </w:tcBorders>
          </w:tcPr>
          <w:p>
            <w:pPr>
              <w:jc w:val="right"/>
              <w:ind w:right="210"/>
              <w:spacing w:after="0" w:line="209" w:lineRule="exact"/>
              <w:rPr>
                <w:sz w:val="20"/>
                <w:szCs w:val="20"/>
                <w:color w:val="auto"/>
              </w:rPr>
            </w:pPr>
            <w:r>
              <w:rPr>
                <w:rFonts w:ascii="Calibri" w:cs="Calibri" w:eastAsia="Calibri" w:hAnsi="Calibri"/>
                <w:sz w:val="18"/>
                <w:szCs w:val="18"/>
                <w:color w:val="auto"/>
              </w:rPr>
              <w:t>630,000</w:t>
            </w:r>
          </w:p>
        </w:tc>
      </w:tr>
      <w:tr>
        <w:trPr>
          <w:trHeight w:val="217"/>
        </w:trPr>
        <w:tc>
          <w:tcPr>
            <w:tcW w:w="3680" w:type="dxa"/>
            <w:vAlign w:val="bottom"/>
            <w:tcBorders>
              <w:bottom w:val="single" w:sz="8" w:color="AF0000"/>
            </w:tcBorders>
          </w:tcPr>
          <w:p>
            <w:pPr>
              <w:ind w:left="80"/>
              <w:spacing w:after="0" w:line="209" w:lineRule="exact"/>
              <w:rPr>
                <w:sz w:val="20"/>
                <w:szCs w:val="20"/>
                <w:color w:val="auto"/>
              </w:rPr>
            </w:pPr>
            <w:r>
              <w:rPr>
                <w:rFonts w:ascii="Calibri" w:cs="Calibri" w:eastAsia="Calibri" w:hAnsi="Calibri"/>
                <w:sz w:val="18"/>
                <w:szCs w:val="18"/>
                <w:color w:val="auto"/>
              </w:rPr>
              <w:t>Brian G. Lloyd</w:t>
            </w:r>
          </w:p>
        </w:tc>
        <w:tc>
          <w:tcPr>
            <w:tcW w:w="1920" w:type="dxa"/>
            <w:vAlign w:val="bottom"/>
            <w:tcBorders>
              <w:bottom w:val="single" w:sz="8" w:color="AF0000"/>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F0000"/>
            </w:tcBorders>
          </w:tcPr>
          <w:p>
            <w:pPr>
              <w:jc w:val="right"/>
              <w:ind w:right="210"/>
              <w:spacing w:after="0" w:line="209" w:lineRule="exact"/>
              <w:rPr>
                <w:sz w:val="20"/>
                <w:szCs w:val="20"/>
                <w:color w:val="auto"/>
              </w:rPr>
            </w:pPr>
            <w:r>
              <w:rPr>
                <w:rFonts w:ascii="Calibri" w:cs="Calibri" w:eastAsia="Calibri" w:hAnsi="Calibri"/>
                <w:sz w:val="18"/>
                <w:szCs w:val="18"/>
                <w:color w:val="auto"/>
              </w:rPr>
              <w:t>630,000</w:t>
            </w:r>
          </w:p>
        </w:tc>
      </w:tr>
    </w:tbl>
    <w:p>
      <w:pPr>
        <w:spacing w:after="0" w:line="89" w:lineRule="exact"/>
        <w:rPr>
          <w:sz w:val="20"/>
          <w:szCs w:val="20"/>
          <w:color w:val="auto"/>
        </w:rPr>
      </w:pPr>
    </w:p>
    <w:p>
      <w:pPr>
        <w:ind w:left="880" w:right="439" w:hanging="320"/>
        <w:spacing w:after="0" w:line="239" w:lineRule="auto"/>
        <w:tabs>
          <w:tab w:leader="none" w:pos="880" w:val="left"/>
        </w:tabs>
        <w:numPr>
          <w:ilvl w:val="0"/>
          <w:numId w:val="72"/>
        </w:numPr>
        <w:rPr>
          <w:rFonts w:ascii="Calibri" w:cs="Calibri" w:eastAsia="Calibri" w:hAnsi="Calibri"/>
          <w:sz w:val="16"/>
          <w:szCs w:val="16"/>
          <w:color w:val="AF0000"/>
        </w:rPr>
      </w:pPr>
      <w:r>
        <w:rPr>
          <w:rFonts w:ascii="Calibri" w:cs="Calibri" w:eastAsia="Calibri" w:hAnsi="Calibri"/>
          <w:sz w:val="16"/>
          <w:szCs w:val="16"/>
          <w:color w:val="auto"/>
        </w:rPr>
        <w:t>The annual base salary amounts for fscal year 2024 as approved by the Compensaton Commitee and the Board are: Mr. Lampropoulos, $1,890,000; Mr. Wright, $700,000; Mr. Parra, $630,000; Mr. Peterson, $630,000; and Mr. Lloyd, $630,000.</w:t>
      </w:r>
    </w:p>
    <w:p>
      <w:pPr>
        <w:spacing w:after="0" w:line="184"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Long-Term Incentve Compensaton</w:t>
      </w:r>
    </w:p>
    <w:p>
      <w:pPr>
        <w:spacing w:after="0" w:line="146" w:lineRule="exact"/>
        <w:rPr>
          <w:sz w:val="20"/>
          <w:szCs w:val="20"/>
          <w:color w:val="auto"/>
        </w:rPr>
      </w:pPr>
    </w:p>
    <w:p>
      <w:pPr>
        <w:ind w:left="200" w:right="239"/>
        <w:spacing w:after="0" w:line="247" w:lineRule="auto"/>
        <w:rPr>
          <w:sz w:val="20"/>
          <w:szCs w:val="20"/>
          <w:color w:val="auto"/>
        </w:rPr>
      </w:pPr>
      <w:r>
        <w:rPr>
          <w:rFonts w:ascii="Calibri" w:cs="Calibri" w:eastAsia="Calibri" w:hAnsi="Calibri"/>
          <w:sz w:val="17"/>
          <w:szCs w:val="17"/>
          <w:color w:val="auto"/>
        </w:rPr>
        <w:t>Historically, long-term equity awards, in the form of stock optons, have been granted at the discreton of the Board and Compensaton Commitee to the NEOs annually in an efort to provide long-term performance-based compensaton, to encourage the NEOs to contnue their engagement with the Company throughout the vestng periods, and to align management and shareholder interests. Beginning with our 2019 fscal year, long-term equity awards were made under the 2018 Incentve Plan, and the Compensaton Commitee antcipates such awards will contnue to be made under the 2018 Incentve Plan. Although we have traditonally made long-term equity incentve awards to our NEOs solely in the form of stock optons, during 2019, the Compensaton Commitee developed a program, which was implemented in 2020 and contnued through 2023, to grant to the Company’s executve ofcers long-term equity awards in the form of stock optons and PSUs, with the objectve of more closely aligning management and shareholder interests. For 2023, the Board and Compensaton Commitee awarded stock optons to each NEO at a level of approximately 40% of the total target long-term incentve compensaton amount for each NEO, with the remaining porton (approximately 60%) of the NEO’s long-term incentve compensaton amount awarded in the form of PSUs.</w:t>
      </w:r>
    </w:p>
    <w:p>
      <w:pPr>
        <w:spacing w:after="0" w:line="178" w:lineRule="exact"/>
        <w:rPr>
          <w:sz w:val="20"/>
          <w:szCs w:val="20"/>
          <w:color w:val="auto"/>
        </w:rPr>
      </w:pPr>
    </w:p>
    <w:p>
      <w:pPr>
        <w:ind w:left="200" w:right="279"/>
        <w:spacing w:after="0" w:line="235" w:lineRule="auto"/>
        <w:rPr>
          <w:sz w:val="20"/>
          <w:szCs w:val="20"/>
          <w:color w:val="auto"/>
        </w:rPr>
      </w:pPr>
      <w:r>
        <w:rPr>
          <w:rFonts w:ascii="Calibri" w:cs="Calibri" w:eastAsia="Calibri" w:hAnsi="Calibri"/>
          <w:sz w:val="18"/>
          <w:szCs w:val="18"/>
          <w:color w:val="auto"/>
        </w:rPr>
        <w:t>In making awards under our 2018 Incentve Plan, the Board and Compensaton Commitee consider grant size, the appropriate combinaton of equity-based awards, the impact of the grant on our fnancial performance (as determined in accordance with the requirements of the Financial Accountng Standards Board ASC Topic 718 (</w:t>
      </w:r>
      <w:r>
        <w:rPr>
          <w:rFonts w:ascii="Calibri" w:cs="Calibri" w:eastAsia="Calibri" w:hAnsi="Calibri"/>
          <w:sz w:val="18"/>
          <w:szCs w:val="18"/>
          <w:u w:val="single" w:color="auto"/>
          <w:color w:val="AF0000"/>
        </w:rPr>
        <w:t>ASC Topic 718</w:t>
      </w:r>
      <w:r>
        <w:rPr>
          <w:rFonts w:ascii="Calibri" w:cs="Calibri" w:eastAsia="Calibri" w:hAnsi="Calibri"/>
          <w:sz w:val="18"/>
          <w:szCs w:val="18"/>
          <w:color w:val="auto"/>
        </w:rPr>
        <w:t>)), and the corresponding compensaton value used by the Company in determining the amount of the awards (which may vary from the ASC Topic 718 expense).</w:t>
      </w:r>
    </w:p>
    <w:p>
      <w:pPr>
        <w:spacing w:after="0" w:line="180" w:lineRule="exact"/>
        <w:rPr>
          <w:sz w:val="20"/>
          <w:szCs w:val="20"/>
          <w:color w:val="auto"/>
        </w:rPr>
      </w:pPr>
    </w:p>
    <w:p>
      <w:pPr>
        <w:ind w:left="200" w:right="299"/>
        <w:spacing w:after="0" w:line="235" w:lineRule="auto"/>
        <w:rPr>
          <w:sz w:val="20"/>
          <w:szCs w:val="20"/>
          <w:color w:val="auto"/>
        </w:rPr>
      </w:pPr>
      <w:r>
        <w:rPr>
          <w:rFonts w:ascii="Calibri" w:cs="Calibri" w:eastAsia="Calibri" w:hAnsi="Calibri"/>
          <w:sz w:val="18"/>
          <w:szCs w:val="18"/>
          <w:color w:val="auto"/>
        </w:rPr>
        <w:t>Generally, the amount of long-term equity awards granted to the NEOs has been based upon the Compensaton Commitee’s assessment of each NEO’s expected future contributons to the Company and other factors. The amount or existence of those awards may also be infuenced by external factors such as general economic or industry-specifc conditons. The Compensaton Commitee generally grants long-term equity awards at its</w:t>
      </w:r>
    </w:p>
    <w:p>
      <w:pPr>
        <w:spacing w:after="0" w:line="200" w:lineRule="exact"/>
        <w:rPr>
          <w:sz w:val="20"/>
          <w:szCs w:val="20"/>
          <w:color w:val="auto"/>
        </w:rPr>
      </w:pPr>
    </w:p>
    <w:p>
      <w:pPr>
        <w:spacing w:after="0" w:line="222"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49" w:name="page50"/>
    <w:bookmarkEnd w:id="49"/>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36"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regularly-scheduled meetng held in February or March of each year but may vary the date of grant from year to year.</w:t>
      </w:r>
    </w:p>
    <w:p>
      <w:pPr>
        <w:spacing w:after="0" w:line="179"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Performance Stock Units (PSUs)</w:t>
      </w:r>
    </w:p>
    <w:p>
      <w:pPr>
        <w:spacing w:after="0" w:line="190" w:lineRule="exact"/>
        <w:rPr>
          <w:sz w:val="20"/>
          <w:szCs w:val="20"/>
          <w:color w:val="auto"/>
        </w:rPr>
      </w:pPr>
    </w:p>
    <w:p>
      <w:pPr>
        <w:ind w:left="200" w:right="259"/>
        <w:spacing w:after="0" w:line="233" w:lineRule="auto"/>
        <w:rPr>
          <w:sz w:val="20"/>
          <w:szCs w:val="20"/>
          <w:color w:val="auto"/>
        </w:rPr>
      </w:pPr>
      <w:r>
        <w:rPr>
          <w:rFonts w:ascii="Calibri" w:cs="Calibri" w:eastAsia="Calibri" w:hAnsi="Calibri"/>
          <w:sz w:val="18"/>
          <w:szCs w:val="18"/>
          <w:color w:val="auto"/>
        </w:rPr>
        <w:t>During 2019, the Compensaton Commitee, in consultaton with Pearl Meyer, developed a program to grant to the Company’s executve ofcers equity awards under our 2018 Incentve Plan consistng in part of PSUs, with the objectve of more closely aligning management and shareholder interests. Subject to the terms and conditons of PSU award agreements executed with the Company’s executve ofcers, each executve ofcer is enttled to receive a payment in shares of Common Stock based upon the target number of shares, as determined by the Compensaton Commitee and set forth in the executve’s PSU award agreement (</w:t>
      </w:r>
      <w:r>
        <w:rPr>
          <w:rFonts w:ascii="Calibri" w:cs="Calibri" w:eastAsia="Calibri" w:hAnsi="Calibri"/>
          <w:sz w:val="18"/>
          <w:szCs w:val="18"/>
          <w:u w:val="single" w:color="auto"/>
          <w:color w:val="AF0000"/>
        </w:rPr>
        <w:t>Target PSU Shares</w:t>
      </w:r>
      <w:r>
        <w:rPr>
          <w:rFonts w:ascii="Calibri" w:cs="Calibri" w:eastAsia="Calibri" w:hAnsi="Calibri"/>
          <w:sz w:val="18"/>
          <w:szCs w:val="18"/>
          <w:color w:val="auto"/>
        </w:rPr>
        <w:t>), and the Company’s performance during the applicable performance period with respect to the achievement of (a) free cash fow (</w:t>
      </w:r>
      <w:r>
        <w:rPr>
          <w:rFonts w:ascii="Calibri" w:cs="Calibri" w:eastAsia="Calibri" w:hAnsi="Calibri"/>
          <w:sz w:val="18"/>
          <w:szCs w:val="18"/>
          <w:u w:val="single" w:color="auto"/>
          <w:color w:val="AF0000"/>
        </w:rPr>
        <w:t>FCF</w:t>
      </w:r>
      <w:r>
        <w:rPr>
          <w:rFonts w:ascii="Calibri" w:cs="Calibri" w:eastAsia="Calibri" w:hAnsi="Calibri"/>
          <w:sz w:val="18"/>
          <w:szCs w:val="18"/>
          <w:color w:val="auto"/>
        </w:rPr>
        <w:t>) targets (Free Cash Flow is calculated as GAAP operatng cash fow less GAAP capital expenditures, adjusted for the cash efect of any non-GAAP adjustments to the Company’s fnancial statements, as further defned in the PSU award agreements) and (b) targeted levels of the Company’s relatve total shareholder return (</w:t>
      </w:r>
      <w:r>
        <w:rPr>
          <w:rFonts w:ascii="Calibri" w:cs="Calibri" w:eastAsia="Calibri" w:hAnsi="Calibri"/>
          <w:sz w:val="18"/>
          <w:szCs w:val="18"/>
          <w:u w:val="single" w:color="auto"/>
          <w:color w:val="AF0000"/>
        </w:rPr>
        <w:t>rTSR</w:t>
      </w:r>
      <w:r>
        <w:rPr>
          <w:rFonts w:ascii="Calibri" w:cs="Calibri" w:eastAsia="Calibri" w:hAnsi="Calibri"/>
          <w:sz w:val="18"/>
          <w:szCs w:val="18"/>
          <w:color w:val="auto"/>
        </w:rPr>
        <w:t xml:space="preserve">) compared to the Russell 2000 index as further defned in the PSU award agreements (collectvely, the </w:t>
      </w:r>
      <w:r>
        <w:rPr>
          <w:rFonts w:ascii="Calibri" w:cs="Calibri" w:eastAsia="Calibri" w:hAnsi="Calibri"/>
          <w:sz w:val="18"/>
          <w:szCs w:val="18"/>
          <w:u w:val="single" w:color="auto"/>
          <w:color w:val="AF0000"/>
        </w:rPr>
        <w:t>Performance Goals</w:t>
      </w:r>
      <w:r>
        <w:rPr>
          <w:rFonts w:ascii="Calibri" w:cs="Calibri" w:eastAsia="Calibri" w:hAnsi="Calibri"/>
          <w:sz w:val="18"/>
          <w:szCs w:val="18"/>
          <w:color w:val="auto"/>
        </w:rPr>
        <w:t>).</w:t>
      </w:r>
    </w:p>
    <w:p>
      <w:pPr>
        <w:spacing w:after="0" w:line="178" w:lineRule="exact"/>
        <w:rPr>
          <w:sz w:val="20"/>
          <w:szCs w:val="20"/>
          <w:color w:val="auto"/>
        </w:rPr>
      </w:pPr>
    </w:p>
    <w:p>
      <w:pPr>
        <w:ind w:left="200" w:right="259"/>
        <w:spacing w:after="0" w:line="235" w:lineRule="auto"/>
        <w:rPr>
          <w:sz w:val="20"/>
          <w:szCs w:val="20"/>
          <w:color w:val="auto"/>
        </w:rPr>
      </w:pPr>
      <w:r>
        <w:rPr>
          <w:rFonts w:ascii="Calibri" w:cs="Calibri" w:eastAsia="Calibri" w:hAnsi="Calibri"/>
          <w:sz w:val="18"/>
          <w:szCs w:val="18"/>
          <w:color w:val="auto"/>
        </w:rPr>
        <w:t>To reward NEOs for long-term performance, the program developed by the Compensaton Commitee aims to only grant PSUs with a three-year performance period. However, during the frst two years of this new program (2020 and 2021), PSUs with one- and two-year performance periods were granted to help transiton into this long-term approach of having PSUs with only a three-year performance period. Commencing in 2022, PSUs awarded to the NEOs have had three-year performance periods.</w:t>
      </w:r>
    </w:p>
    <w:p>
      <w:pPr>
        <w:spacing w:after="0" w:line="180" w:lineRule="exact"/>
        <w:rPr>
          <w:sz w:val="20"/>
          <w:szCs w:val="20"/>
          <w:color w:val="auto"/>
        </w:rPr>
      </w:pPr>
    </w:p>
    <w:p>
      <w:pPr>
        <w:ind w:left="200" w:right="279"/>
        <w:spacing w:after="0" w:line="234" w:lineRule="auto"/>
        <w:rPr>
          <w:sz w:val="20"/>
          <w:szCs w:val="20"/>
          <w:color w:val="auto"/>
        </w:rPr>
      </w:pPr>
      <w:r>
        <w:rPr>
          <w:rFonts w:ascii="Calibri" w:cs="Calibri" w:eastAsia="Calibri" w:hAnsi="Calibri"/>
          <w:sz w:val="18"/>
          <w:szCs w:val="18"/>
          <w:color w:val="auto"/>
        </w:rPr>
        <w:t>The actual number of shares of Common Stock to be issued to each executve ofcer under their PSUs will be determined at the end of each performance period by the Compensaton Commitee by multplying (i) the Target PSU Shares for that performance period by (ii) the applicable FCF multplier, which may then be adjusted by the applicable rTSR multplier, based on the Company’s performance during the applicable performance period. The Compensaton Commitee has the sole authority and discreton to determine the achievement level with respect to the number of shares of Common Stock earned at the end of each performance period. The Compensaton Commitee consulted with Pearl Meyer in determining the target long-term incentve compensaton levels for the NEOs, from which the Compensaton Commitee established the target number of shares of Common Stock subject to the PSU awards granted to each of the NEOs in 2023.</w:t>
      </w:r>
    </w:p>
    <w:p>
      <w:pPr>
        <w:spacing w:after="0" w:line="173"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During 2023, the NEOs were granted PSUs with the following Target PSU Shares:</w:t>
      </w:r>
    </w:p>
    <w:p>
      <w:pPr>
        <w:spacing w:after="0" w:line="192" w:lineRule="exact"/>
        <w:rPr>
          <w:sz w:val="20"/>
          <w:szCs w:val="20"/>
          <w:color w:val="auto"/>
        </w:rPr>
      </w:pPr>
    </w:p>
    <w:tbl>
      <w:tblPr>
        <w:tblLayout w:type="fixed"/>
        <w:tblInd w:w="1200" w:type="dxa"/>
        <w:tblCellMar>
          <w:top w:w="0" w:type="dxa"/>
          <w:left w:w="0" w:type="dxa"/>
          <w:bottom w:w="0" w:type="dxa"/>
          <w:right w:w="0" w:type="dxa"/>
        </w:tblCellMar>
      </w:tblPr>
      <w:tr>
        <w:trPr>
          <w:trHeight w:val="221"/>
        </w:trPr>
        <w:tc>
          <w:tcPr>
            <w:tcW w:w="2160" w:type="dxa"/>
            <w:vAlign w:val="bottom"/>
            <w:tcBorders>
              <w:top w:val="single" w:sz="8" w:color="AF0000"/>
            </w:tcBorders>
          </w:tcPr>
          <w:p>
            <w:pPr>
              <w:spacing w:after="0"/>
              <w:rPr>
                <w:sz w:val="19"/>
                <w:szCs w:val="19"/>
                <w:color w:val="auto"/>
              </w:rPr>
            </w:pPr>
          </w:p>
        </w:tc>
        <w:tc>
          <w:tcPr>
            <w:tcW w:w="1920" w:type="dxa"/>
            <w:vAlign w:val="bottom"/>
            <w:tcBorders>
              <w:top w:val="single" w:sz="8" w:color="AF0000"/>
            </w:tcBorders>
          </w:tcPr>
          <w:p>
            <w:pPr>
              <w:jc w:val="center"/>
              <w:ind w:left="10"/>
              <w:spacing w:after="0"/>
              <w:rPr>
                <w:sz w:val="20"/>
                <w:szCs w:val="20"/>
                <w:color w:val="auto"/>
              </w:rPr>
            </w:pPr>
            <w:r>
              <w:rPr>
                <w:rFonts w:ascii="Calibri" w:cs="Calibri" w:eastAsia="Calibri" w:hAnsi="Calibri"/>
                <w:sz w:val="18"/>
                <w:szCs w:val="18"/>
                <w:b w:val="1"/>
                <w:bCs w:val="1"/>
                <w:color w:val="auto"/>
                <w:w w:val="95"/>
              </w:rPr>
              <w:t>Target PSU Shares</w:t>
            </w:r>
          </w:p>
        </w:tc>
        <w:tc>
          <w:tcPr>
            <w:tcW w:w="2540" w:type="dxa"/>
            <w:vAlign w:val="bottom"/>
            <w:tcBorders>
              <w:top w:val="single" w:sz="8" w:color="AF0000"/>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1920" w:type="dxa"/>
            <w:vAlign w:val="bottom"/>
          </w:tcPr>
          <w:p>
            <w:pPr>
              <w:ind w:left="580"/>
              <w:spacing w:after="0" w:line="215" w:lineRule="exact"/>
              <w:rPr>
                <w:sz w:val="20"/>
                <w:szCs w:val="20"/>
                <w:color w:val="auto"/>
              </w:rPr>
            </w:pPr>
            <w:r>
              <w:rPr>
                <w:rFonts w:ascii="Calibri" w:cs="Calibri" w:eastAsia="Calibri" w:hAnsi="Calibri"/>
                <w:sz w:val="18"/>
                <w:szCs w:val="18"/>
                <w:b w:val="1"/>
                <w:bCs w:val="1"/>
                <w:color w:val="auto"/>
              </w:rPr>
              <w:t>Three-Year</w:t>
            </w:r>
          </w:p>
        </w:tc>
        <w:tc>
          <w:tcPr>
            <w:tcW w:w="254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5"/>
              </w:rPr>
              <w:t>Total Grant Date Fair Value of</w:t>
            </w:r>
          </w:p>
        </w:tc>
        <w:tc>
          <w:tcPr>
            <w:tcW w:w="0" w:type="dxa"/>
            <w:vAlign w:val="bottom"/>
          </w:tcPr>
          <w:p>
            <w:pPr>
              <w:spacing w:after="0"/>
              <w:rPr>
                <w:sz w:val="1"/>
                <w:szCs w:val="1"/>
                <w:color w:val="auto"/>
              </w:rPr>
            </w:pPr>
          </w:p>
        </w:tc>
      </w:tr>
      <w:tr>
        <w:trPr>
          <w:trHeight w:val="204"/>
        </w:trPr>
        <w:tc>
          <w:tcPr>
            <w:tcW w:w="2160" w:type="dxa"/>
            <w:vAlign w:val="bottom"/>
          </w:tcPr>
          <w:p>
            <w:pPr>
              <w:spacing w:after="0"/>
              <w:rPr>
                <w:sz w:val="17"/>
                <w:szCs w:val="17"/>
                <w:color w:val="auto"/>
              </w:rPr>
            </w:pPr>
          </w:p>
        </w:tc>
        <w:tc>
          <w:tcPr>
            <w:tcW w:w="1920" w:type="dxa"/>
            <w:vAlign w:val="bottom"/>
          </w:tcPr>
          <w:p>
            <w:pPr>
              <w:jc w:val="center"/>
              <w:spacing w:after="0" w:line="204" w:lineRule="exact"/>
              <w:rPr>
                <w:sz w:val="20"/>
                <w:szCs w:val="20"/>
                <w:color w:val="auto"/>
              </w:rPr>
            </w:pPr>
            <w:r>
              <w:rPr>
                <w:rFonts w:ascii="Calibri" w:cs="Calibri" w:eastAsia="Calibri" w:hAnsi="Calibri"/>
                <w:sz w:val="18"/>
                <w:szCs w:val="18"/>
                <w:b w:val="1"/>
                <w:bCs w:val="1"/>
                <w:color w:val="auto"/>
                <w:w w:val="96"/>
              </w:rPr>
              <w:t>Performance Period</w:t>
            </w: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160" w:type="dxa"/>
            <w:vAlign w:val="bottom"/>
            <w:tcBorders>
              <w:bottom w:val="single" w:sz="8" w:color="AF0000"/>
            </w:tcBorders>
          </w:tcPr>
          <w:p>
            <w:pPr>
              <w:ind w:left="100"/>
              <w:spacing w:after="0" w:line="215" w:lineRule="exact"/>
              <w:rPr>
                <w:sz w:val="20"/>
                <w:szCs w:val="20"/>
                <w:color w:val="auto"/>
              </w:rPr>
            </w:pPr>
            <w:r>
              <w:rPr>
                <w:rFonts w:ascii="Calibri" w:cs="Calibri" w:eastAsia="Calibri" w:hAnsi="Calibri"/>
                <w:sz w:val="18"/>
                <w:szCs w:val="18"/>
                <w:b w:val="1"/>
                <w:bCs w:val="1"/>
                <w:color w:val="auto"/>
              </w:rPr>
              <w:t>Named Executve Ofcer</w:t>
            </w:r>
          </w:p>
        </w:tc>
        <w:tc>
          <w:tcPr>
            <w:tcW w:w="1920" w:type="dxa"/>
            <w:vAlign w:val="bottom"/>
            <w:tcBorders>
              <w:bottom w:val="single" w:sz="8" w:color="AF0000"/>
            </w:tcBorders>
          </w:tcPr>
          <w:p>
            <w:pPr>
              <w:jc w:val="center"/>
              <w:spacing w:after="0"/>
              <w:rPr>
                <w:sz w:val="20"/>
                <w:szCs w:val="20"/>
                <w:color w:val="auto"/>
              </w:rPr>
            </w:pPr>
            <w:r>
              <w:rPr>
                <w:rFonts w:ascii="Calibri" w:cs="Calibri" w:eastAsia="Calibri" w:hAnsi="Calibri"/>
                <w:sz w:val="18"/>
                <w:szCs w:val="18"/>
                <w:b w:val="1"/>
                <w:bCs w:val="1"/>
                <w:color w:val="auto"/>
                <w:w w:val="97"/>
              </w:rPr>
              <w:t>(2023-2025)</w:t>
            </w:r>
          </w:p>
        </w:tc>
        <w:tc>
          <w:tcPr>
            <w:tcW w:w="2540" w:type="dxa"/>
            <w:vAlign w:val="bottom"/>
            <w:tcBorders>
              <w:bottom w:val="single" w:sz="8" w:color="AF0000"/>
            </w:tcBorders>
          </w:tcPr>
          <w:p>
            <w:pPr>
              <w:jc w:val="center"/>
              <w:spacing w:after="0" w:line="215" w:lineRule="exact"/>
              <w:rPr>
                <w:sz w:val="20"/>
                <w:szCs w:val="20"/>
                <w:color w:val="auto"/>
              </w:rPr>
            </w:pPr>
            <w:r>
              <w:rPr>
                <w:rFonts w:ascii="Calibri" w:cs="Calibri" w:eastAsia="Calibri" w:hAnsi="Calibri"/>
                <w:sz w:val="18"/>
                <w:szCs w:val="18"/>
                <w:b w:val="1"/>
                <w:bCs w:val="1"/>
                <w:color w:val="auto"/>
                <w:w w:val="96"/>
              </w:rPr>
              <w:t>Target PSU Shares ($)</w:t>
            </w:r>
          </w:p>
        </w:tc>
        <w:tc>
          <w:tcPr>
            <w:tcW w:w="0" w:type="dxa"/>
            <w:vAlign w:val="bottom"/>
          </w:tcPr>
          <w:p>
            <w:pPr>
              <w:spacing w:after="0"/>
              <w:rPr>
                <w:sz w:val="1"/>
                <w:szCs w:val="1"/>
                <w:color w:val="auto"/>
              </w:rPr>
            </w:pPr>
          </w:p>
        </w:tc>
      </w:tr>
      <w:tr>
        <w:trPr>
          <w:trHeight w:val="215"/>
        </w:trPr>
        <w:tc>
          <w:tcPr>
            <w:tcW w:w="2160" w:type="dxa"/>
            <w:vAlign w:val="bottom"/>
            <w:tcBorders>
              <w:bottom w:val="single" w:sz="8" w:color="A6A6A6"/>
            </w:tcBorders>
          </w:tcPr>
          <w:p>
            <w:pPr>
              <w:ind w:left="100"/>
              <w:spacing w:after="0" w:line="215" w:lineRule="exact"/>
              <w:rPr>
                <w:sz w:val="20"/>
                <w:szCs w:val="20"/>
                <w:color w:val="auto"/>
              </w:rPr>
            </w:pPr>
            <w:r>
              <w:rPr>
                <w:rFonts w:ascii="Calibri" w:cs="Calibri" w:eastAsia="Calibri" w:hAnsi="Calibri"/>
                <w:sz w:val="18"/>
                <w:szCs w:val="18"/>
                <w:color w:val="auto"/>
              </w:rPr>
              <w:t>Fred P. Lampropoulos</w:t>
            </w:r>
          </w:p>
        </w:tc>
        <w:tc>
          <w:tcPr>
            <w:tcW w:w="1920" w:type="dxa"/>
            <w:vAlign w:val="bottom"/>
            <w:tcBorders>
              <w:bottom w:val="single" w:sz="8" w:color="A6A6A6"/>
            </w:tcBorders>
          </w:tcPr>
          <w:p>
            <w:pPr>
              <w:jc w:val="center"/>
              <w:spacing w:after="0" w:line="215" w:lineRule="exact"/>
              <w:rPr>
                <w:sz w:val="20"/>
                <w:szCs w:val="20"/>
                <w:color w:val="auto"/>
              </w:rPr>
            </w:pPr>
            <w:r>
              <w:rPr>
                <w:rFonts w:ascii="Calibri" w:cs="Calibri" w:eastAsia="Calibri" w:hAnsi="Calibri"/>
                <w:sz w:val="18"/>
                <w:szCs w:val="18"/>
                <w:color w:val="auto"/>
                <w:w w:val="95"/>
              </w:rPr>
              <w:t>15,113</w:t>
            </w:r>
          </w:p>
        </w:tc>
        <w:tc>
          <w:tcPr>
            <w:tcW w:w="2540" w:type="dxa"/>
            <w:vAlign w:val="bottom"/>
            <w:tcBorders>
              <w:bottom w:val="single" w:sz="8" w:color="A6A6A6"/>
            </w:tcBorders>
          </w:tcPr>
          <w:p>
            <w:pPr>
              <w:jc w:val="center"/>
              <w:spacing w:after="0" w:line="215" w:lineRule="exact"/>
              <w:rPr>
                <w:sz w:val="20"/>
                <w:szCs w:val="20"/>
                <w:color w:val="auto"/>
              </w:rPr>
            </w:pPr>
            <w:r>
              <w:rPr>
                <w:rFonts w:ascii="Calibri" w:cs="Calibri" w:eastAsia="Calibri" w:hAnsi="Calibri"/>
                <w:sz w:val="18"/>
                <w:szCs w:val="18"/>
                <w:color w:val="auto"/>
                <w:w w:val="98"/>
              </w:rPr>
              <w:t>1,159,167</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A6A6A6"/>
            </w:tcBorders>
          </w:tcPr>
          <w:p>
            <w:pPr>
              <w:ind w:left="100"/>
              <w:spacing w:after="0" w:line="209" w:lineRule="exact"/>
              <w:rPr>
                <w:sz w:val="20"/>
                <w:szCs w:val="20"/>
                <w:color w:val="auto"/>
              </w:rPr>
            </w:pPr>
            <w:r>
              <w:rPr>
                <w:rFonts w:ascii="Calibri" w:cs="Calibri" w:eastAsia="Calibri" w:hAnsi="Calibri"/>
                <w:sz w:val="18"/>
                <w:szCs w:val="18"/>
                <w:color w:val="auto"/>
              </w:rPr>
              <w:t>Raul Parra</w:t>
            </w:r>
          </w:p>
        </w:tc>
        <w:tc>
          <w:tcPr>
            <w:tcW w:w="192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8,501</w:t>
            </w:r>
          </w:p>
        </w:tc>
        <w:tc>
          <w:tcPr>
            <w:tcW w:w="254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652,027</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A6A6A6"/>
            </w:tcBorders>
          </w:tcPr>
          <w:p>
            <w:pPr>
              <w:ind w:left="100"/>
              <w:spacing w:after="0" w:line="209" w:lineRule="exact"/>
              <w:rPr>
                <w:sz w:val="20"/>
                <w:szCs w:val="20"/>
                <w:color w:val="auto"/>
              </w:rPr>
            </w:pPr>
            <w:r>
              <w:rPr>
                <w:rFonts w:ascii="Calibri" w:cs="Calibri" w:eastAsia="Calibri" w:hAnsi="Calibri"/>
                <w:sz w:val="18"/>
                <w:szCs w:val="18"/>
                <w:color w:val="auto"/>
              </w:rPr>
              <w:t>Joseph C. Wright</w:t>
            </w:r>
          </w:p>
        </w:tc>
        <w:tc>
          <w:tcPr>
            <w:tcW w:w="192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8,501</w:t>
            </w:r>
          </w:p>
        </w:tc>
        <w:tc>
          <w:tcPr>
            <w:tcW w:w="254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652,027</w:t>
            </w:r>
          </w:p>
        </w:tc>
        <w:tc>
          <w:tcPr>
            <w:tcW w:w="0" w:type="dxa"/>
            <w:vAlign w:val="bottom"/>
          </w:tcPr>
          <w:p>
            <w:pPr>
              <w:spacing w:after="0"/>
              <w:rPr>
                <w:sz w:val="1"/>
                <w:szCs w:val="1"/>
                <w:color w:val="auto"/>
              </w:rPr>
            </w:pPr>
          </w:p>
        </w:tc>
      </w:tr>
      <w:tr>
        <w:trPr>
          <w:trHeight w:val="209"/>
        </w:trPr>
        <w:tc>
          <w:tcPr>
            <w:tcW w:w="2160" w:type="dxa"/>
            <w:vAlign w:val="bottom"/>
            <w:tcBorders>
              <w:bottom w:val="single" w:sz="8" w:color="A6A6A6"/>
            </w:tcBorders>
          </w:tcPr>
          <w:p>
            <w:pPr>
              <w:ind w:left="100"/>
              <w:spacing w:after="0" w:line="209" w:lineRule="exact"/>
              <w:rPr>
                <w:sz w:val="20"/>
                <w:szCs w:val="20"/>
                <w:color w:val="auto"/>
              </w:rPr>
            </w:pPr>
            <w:r>
              <w:rPr>
                <w:rFonts w:ascii="Calibri" w:cs="Calibri" w:eastAsia="Calibri" w:hAnsi="Calibri"/>
                <w:sz w:val="18"/>
                <w:szCs w:val="18"/>
                <w:color w:val="auto"/>
              </w:rPr>
              <w:t>Neil W. Peterson</w:t>
            </w:r>
          </w:p>
        </w:tc>
        <w:tc>
          <w:tcPr>
            <w:tcW w:w="192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8,501</w:t>
            </w:r>
          </w:p>
        </w:tc>
        <w:tc>
          <w:tcPr>
            <w:tcW w:w="254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652,027</w:t>
            </w:r>
          </w:p>
        </w:tc>
        <w:tc>
          <w:tcPr>
            <w:tcW w:w="0" w:type="dxa"/>
            <w:vAlign w:val="bottom"/>
          </w:tcPr>
          <w:p>
            <w:pPr>
              <w:spacing w:after="0"/>
              <w:rPr>
                <w:sz w:val="1"/>
                <w:szCs w:val="1"/>
                <w:color w:val="auto"/>
              </w:rPr>
            </w:pPr>
          </w:p>
        </w:tc>
      </w:tr>
      <w:tr>
        <w:trPr>
          <w:trHeight w:val="217"/>
        </w:trPr>
        <w:tc>
          <w:tcPr>
            <w:tcW w:w="2160" w:type="dxa"/>
            <w:vAlign w:val="bottom"/>
            <w:tcBorders>
              <w:bottom w:val="single" w:sz="8" w:color="AF0000"/>
            </w:tcBorders>
          </w:tcPr>
          <w:p>
            <w:pPr>
              <w:ind w:left="100"/>
              <w:spacing w:after="0" w:line="209" w:lineRule="exact"/>
              <w:rPr>
                <w:sz w:val="20"/>
                <w:szCs w:val="20"/>
                <w:color w:val="auto"/>
              </w:rPr>
            </w:pPr>
            <w:r>
              <w:rPr>
                <w:rFonts w:ascii="Calibri" w:cs="Calibri" w:eastAsia="Calibri" w:hAnsi="Calibri"/>
                <w:sz w:val="18"/>
                <w:szCs w:val="18"/>
                <w:color w:val="auto"/>
              </w:rPr>
              <w:t>Brian G. Lloyd</w:t>
            </w:r>
          </w:p>
        </w:tc>
        <w:tc>
          <w:tcPr>
            <w:tcW w:w="1920" w:type="dxa"/>
            <w:vAlign w:val="bottom"/>
            <w:tcBorders>
              <w:bottom w:val="single" w:sz="8" w:color="AF0000"/>
            </w:tcBorders>
          </w:tcPr>
          <w:p>
            <w:pPr>
              <w:jc w:val="center"/>
              <w:spacing w:after="0" w:line="209" w:lineRule="exact"/>
              <w:rPr>
                <w:sz w:val="20"/>
                <w:szCs w:val="20"/>
                <w:color w:val="auto"/>
              </w:rPr>
            </w:pPr>
            <w:r>
              <w:rPr>
                <w:rFonts w:ascii="Calibri" w:cs="Calibri" w:eastAsia="Calibri" w:hAnsi="Calibri"/>
                <w:sz w:val="18"/>
                <w:szCs w:val="18"/>
                <w:color w:val="auto"/>
                <w:w w:val="97"/>
              </w:rPr>
              <w:t>8,501</w:t>
            </w:r>
          </w:p>
        </w:tc>
        <w:tc>
          <w:tcPr>
            <w:tcW w:w="2540" w:type="dxa"/>
            <w:vAlign w:val="bottom"/>
            <w:tcBorders>
              <w:bottom w:val="single" w:sz="8" w:color="AF0000"/>
            </w:tcBorders>
          </w:tcPr>
          <w:p>
            <w:pPr>
              <w:jc w:val="center"/>
              <w:spacing w:after="0" w:line="209" w:lineRule="exact"/>
              <w:rPr>
                <w:sz w:val="20"/>
                <w:szCs w:val="20"/>
                <w:color w:val="auto"/>
              </w:rPr>
            </w:pPr>
            <w:r>
              <w:rPr>
                <w:rFonts w:ascii="Calibri" w:cs="Calibri" w:eastAsia="Calibri" w:hAnsi="Calibri"/>
                <w:sz w:val="18"/>
                <w:szCs w:val="18"/>
                <w:color w:val="auto"/>
                <w:w w:val="97"/>
              </w:rPr>
              <w:t>652,027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0" w:right="339"/>
        <w:spacing w:after="0" w:line="233" w:lineRule="auto"/>
        <w:rPr>
          <w:sz w:val="20"/>
          <w:szCs w:val="20"/>
          <w:color w:val="auto"/>
        </w:rPr>
      </w:pPr>
      <w:r>
        <w:rPr>
          <w:rFonts w:ascii="Calibri" w:cs="Calibri" w:eastAsia="Calibri" w:hAnsi="Calibri"/>
          <w:sz w:val="18"/>
          <w:szCs w:val="18"/>
          <w:color w:val="auto"/>
        </w:rPr>
        <w:t>The actual number of shares of Common Stock to be issued upon setlement of the PSUs depends on the Company’s level of performance during the applicable performance period. If the Company’s performance during a performance period does not meet or exceed the applicable FCF Metric Threshold, no shares of Common Stock will be issued or paid out with respect to the PSUs for such performance period. The actual number of shares of Common Stock to be issued upon setlement of the PSUs will be determined by multplying the total Target PSU Shares by the applicable FCF Multplier (determined on an interpolated linear basis if between the Threshold and Target or between the Target and Maximum) and, if the Company’s level of performance falls in either the 1st</w:t>
      </w: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46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50" w:name="page51"/>
    <w:bookmarkEnd w:id="50"/>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5080"/>
        <w:spacing w:after="0"/>
        <w:rPr>
          <w:sz w:val="20"/>
          <w:szCs w:val="20"/>
          <w:color w:val="auto"/>
        </w:rPr>
      </w:pPr>
      <w:r>
        <w:rPr>
          <w:rFonts w:ascii="Calibri" w:cs="Calibri" w:eastAsia="Calibri" w:hAnsi="Calibri"/>
          <w:sz w:val="17"/>
          <w:szCs w:val="17"/>
          <w:color w:val="auto"/>
        </w:rPr>
        <w:t>EXECUTIVE COMPENSATION AND RELATED MATTERS</w:t>
      </w:r>
    </w:p>
    <w:p>
      <w:pPr>
        <w:spacing w:after="0" w:line="184" w:lineRule="exact"/>
        <w:rPr>
          <w:sz w:val="20"/>
          <w:szCs w:val="20"/>
          <w:color w:val="auto"/>
        </w:rPr>
      </w:pPr>
    </w:p>
    <w:p>
      <w:pPr>
        <w:ind w:left="200" w:right="379"/>
        <w:spacing w:after="0" w:line="248" w:lineRule="auto"/>
        <w:rPr>
          <w:sz w:val="20"/>
          <w:szCs w:val="20"/>
          <w:color w:val="auto"/>
        </w:rPr>
      </w:pPr>
      <w:r>
        <w:rPr>
          <w:rFonts w:ascii="Calibri" w:cs="Calibri" w:eastAsia="Calibri" w:hAnsi="Calibri"/>
          <w:sz w:val="17"/>
          <w:szCs w:val="17"/>
          <w:color w:val="auto"/>
        </w:rPr>
        <w:t>(Top) or 4th (Botom) Quartle indicated below, adjustng the number of shares of Common Stock to be issued by applying the applicable rTSR Multplier from the table below. If the Company’s level of rTSR performance falls in either the 2nd or 3rd Quartle indicated below, there is no adjustment made to the number of shares of Common Stock to be issued based upon the applicaton of the applicable FCF Multplier. In no event will the number of shares of Common Stock to be issued to any NEO upon the setlement of PSUs exceed 250% of the Target PSU shares for that NEO.</w:t>
      </w:r>
    </w:p>
    <w:p>
      <w:pPr>
        <w:spacing w:after="0" w:line="16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i w:val="1"/>
          <w:iCs w:val="1"/>
          <w:color w:val="auto"/>
        </w:rPr>
        <w:t>FCF Metrics and Multpliers</w:t>
      </w:r>
    </w:p>
    <w:p>
      <w:pPr>
        <w:spacing w:after="0" w:line="233" w:lineRule="exact"/>
        <w:rPr>
          <w:sz w:val="20"/>
          <w:szCs w:val="20"/>
          <w:color w:val="auto"/>
        </w:rPr>
      </w:pPr>
    </w:p>
    <w:tbl>
      <w:tblPr>
        <w:tblLayout w:type="fixed"/>
        <w:tblInd w:w="2040" w:type="dxa"/>
        <w:tblCellMar>
          <w:top w:w="0" w:type="dxa"/>
          <w:left w:w="0" w:type="dxa"/>
          <w:bottom w:w="0" w:type="dxa"/>
          <w:right w:w="0" w:type="dxa"/>
        </w:tblCellMar>
      </w:tblPr>
      <w:tr>
        <w:trPr>
          <w:trHeight w:val="223"/>
        </w:trPr>
        <w:tc>
          <w:tcPr>
            <w:tcW w:w="1760" w:type="dxa"/>
            <w:vAlign w:val="bottom"/>
            <w:tcBorders>
              <w:top w:val="single" w:sz="8" w:color="AF0000"/>
              <w:bottom w:val="single" w:sz="8" w:color="AF0000"/>
            </w:tcBorders>
            <w:gridSpan w:val="2"/>
          </w:tcPr>
          <w:p>
            <w:pPr>
              <w:ind w:left="80"/>
              <w:spacing w:after="0"/>
              <w:rPr>
                <w:sz w:val="20"/>
                <w:szCs w:val="20"/>
                <w:color w:val="auto"/>
              </w:rPr>
            </w:pPr>
            <w:r>
              <w:rPr>
                <w:rFonts w:ascii="Calibri" w:cs="Calibri" w:eastAsia="Calibri" w:hAnsi="Calibri"/>
                <w:sz w:val="16"/>
                <w:szCs w:val="16"/>
                <w:b w:val="1"/>
                <w:bCs w:val="1"/>
                <w:color w:val="auto"/>
              </w:rPr>
              <w:t>FCF Metric Level</w:t>
            </w:r>
          </w:p>
        </w:tc>
        <w:tc>
          <w:tcPr>
            <w:tcW w:w="1480" w:type="dxa"/>
            <w:vAlign w:val="bottom"/>
            <w:tcBorders>
              <w:top w:val="single" w:sz="8" w:color="AF0000"/>
              <w:bottom w:val="single" w:sz="8" w:color="AF0000"/>
            </w:tcBorders>
          </w:tcPr>
          <w:p>
            <w:pPr>
              <w:jc w:val="center"/>
              <w:spacing w:after="0"/>
              <w:rPr>
                <w:sz w:val="20"/>
                <w:szCs w:val="20"/>
                <w:color w:val="auto"/>
              </w:rPr>
            </w:pPr>
            <w:r>
              <w:rPr>
                <w:rFonts w:ascii="Calibri" w:cs="Calibri" w:eastAsia="Calibri" w:hAnsi="Calibri"/>
                <w:sz w:val="16"/>
                <w:szCs w:val="16"/>
                <w:b w:val="1"/>
                <w:bCs w:val="1"/>
                <w:color w:val="auto"/>
                <w:w w:val="99"/>
              </w:rPr>
              <w:t>FCF Metric Amount</w:t>
            </w:r>
          </w:p>
        </w:tc>
        <w:tc>
          <w:tcPr>
            <w:tcW w:w="1700" w:type="dxa"/>
            <w:vAlign w:val="bottom"/>
            <w:tcBorders>
              <w:top w:val="single" w:sz="8" w:color="AF0000"/>
              <w:bottom w:val="single" w:sz="8" w:color="AF0000"/>
            </w:tcBorders>
            <w:gridSpan w:val="2"/>
          </w:tcPr>
          <w:p>
            <w:pPr>
              <w:ind w:left="440"/>
              <w:spacing w:after="0"/>
              <w:rPr>
                <w:sz w:val="20"/>
                <w:szCs w:val="20"/>
                <w:color w:val="auto"/>
              </w:rPr>
            </w:pPr>
            <w:r>
              <w:rPr>
                <w:rFonts w:ascii="Calibri" w:cs="Calibri" w:eastAsia="Calibri" w:hAnsi="Calibri"/>
                <w:sz w:val="16"/>
                <w:szCs w:val="16"/>
                <w:b w:val="1"/>
                <w:bCs w:val="1"/>
                <w:color w:val="auto"/>
              </w:rPr>
              <w:t>FCF Multplier</w:t>
            </w:r>
          </w:p>
        </w:tc>
        <w:tc>
          <w:tcPr>
            <w:tcW w:w="0" w:type="dxa"/>
            <w:vAlign w:val="bottom"/>
          </w:tcPr>
          <w:p>
            <w:pPr>
              <w:spacing w:after="0"/>
              <w:rPr>
                <w:sz w:val="1"/>
                <w:szCs w:val="1"/>
                <w:color w:val="auto"/>
              </w:rPr>
            </w:pPr>
          </w:p>
        </w:tc>
      </w:tr>
      <w:tr>
        <w:trPr>
          <w:trHeight w:val="194"/>
        </w:trPr>
        <w:tc>
          <w:tcPr>
            <w:tcW w:w="1760" w:type="dxa"/>
            <w:vAlign w:val="bottom"/>
            <w:gridSpan w:val="2"/>
            <w:vMerge w:val="restart"/>
          </w:tcPr>
          <w:p>
            <w:pPr>
              <w:ind w:left="80"/>
              <w:spacing w:after="0"/>
              <w:rPr>
                <w:sz w:val="20"/>
                <w:szCs w:val="20"/>
                <w:color w:val="auto"/>
              </w:rPr>
            </w:pPr>
            <w:r>
              <w:rPr>
                <w:rFonts w:ascii="Calibri" w:cs="Calibri" w:eastAsia="Calibri" w:hAnsi="Calibri"/>
                <w:sz w:val="18"/>
                <w:szCs w:val="18"/>
                <w:color w:val="auto"/>
              </w:rPr>
              <w:t>Maximum</w:t>
            </w:r>
          </w:p>
        </w:tc>
        <w:tc>
          <w:tcPr>
            <w:tcW w:w="1480" w:type="dxa"/>
            <w:vAlign w:val="bottom"/>
          </w:tcPr>
          <w:p>
            <w:pPr>
              <w:jc w:val="center"/>
              <w:spacing w:after="0" w:line="194" w:lineRule="exact"/>
              <w:rPr>
                <w:sz w:val="20"/>
                <w:szCs w:val="20"/>
                <w:color w:val="auto"/>
              </w:rPr>
            </w:pPr>
            <w:r>
              <w:rPr>
                <w:rFonts w:ascii="Calibri" w:cs="Calibri" w:eastAsia="Calibri" w:hAnsi="Calibri"/>
                <w:sz w:val="18"/>
                <w:szCs w:val="18"/>
                <w:color w:val="auto"/>
                <w:w w:val="97"/>
              </w:rPr>
              <w:t>$390,000,000</w:t>
            </w:r>
          </w:p>
        </w:tc>
        <w:tc>
          <w:tcPr>
            <w:tcW w:w="1380" w:type="dxa"/>
            <w:vAlign w:val="bottom"/>
            <w:vMerge w:val="restart"/>
          </w:tcPr>
          <w:p>
            <w:pPr>
              <w:jc w:val="center"/>
              <w:ind w:left="372"/>
              <w:spacing w:after="0"/>
              <w:rPr>
                <w:sz w:val="20"/>
                <w:szCs w:val="20"/>
                <w:color w:val="auto"/>
              </w:rPr>
            </w:pPr>
            <w:r>
              <w:rPr>
                <w:rFonts w:ascii="Calibri" w:cs="Calibri" w:eastAsia="Calibri" w:hAnsi="Calibri"/>
                <w:sz w:val="18"/>
                <w:szCs w:val="18"/>
                <w:color w:val="auto"/>
                <w:w w:val="99"/>
              </w:rPr>
              <w:t>200%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760" w:type="dxa"/>
            <w:vAlign w:val="bottom"/>
            <w:gridSpan w:val="2"/>
            <w:vMerge w:val="continue"/>
          </w:tcPr>
          <w:p>
            <w:pPr>
              <w:spacing w:after="0"/>
              <w:rPr>
                <w:sz w:val="9"/>
                <w:szCs w:val="9"/>
                <w:color w:val="auto"/>
              </w:rPr>
            </w:pPr>
          </w:p>
        </w:tc>
        <w:tc>
          <w:tcPr>
            <w:tcW w:w="1480" w:type="dxa"/>
            <w:vAlign w:val="bottom"/>
            <w:vMerge w:val="restart"/>
          </w:tcPr>
          <w:p>
            <w:pPr>
              <w:jc w:val="center"/>
              <w:spacing w:after="0" w:line="215" w:lineRule="exact"/>
              <w:rPr>
                <w:sz w:val="20"/>
                <w:szCs w:val="20"/>
                <w:color w:val="auto"/>
              </w:rPr>
            </w:pPr>
            <w:r>
              <w:rPr>
                <w:rFonts w:ascii="Calibri" w:cs="Calibri" w:eastAsia="Calibri" w:hAnsi="Calibri"/>
                <w:sz w:val="18"/>
                <w:szCs w:val="18"/>
                <w:color w:val="auto"/>
                <w:w w:val="95"/>
              </w:rPr>
              <w:t>(120% of Target)</w:t>
            </w:r>
          </w:p>
        </w:tc>
        <w:tc>
          <w:tcPr>
            <w:tcW w:w="13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20" w:type="dxa"/>
            <w:vAlign w:val="bottom"/>
            <w:tcBorders>
              <w:bottom w:val="single" w:sz="8" w:color="A6A6A6"/>
            </w:tcBorders>
          </w:tcPr>
          <w:p>
            <w:pPr>
              <w:spacing w:after="0"/>
              <w:rPr>
                <w:sz w:val="2"/>
                <w:szCs w:val="2"/>
                <w:color w:val="auto"/>
              </w:rPr>
            </w:pPr>
          </w:p>
        </w:tc>
        <w:tc>
          <w:tcPr>
            <w:tcW w:w="1440" w:type="dxa"/>
            <w:vAlign w:val="bottom"/>
            <w:tcBorders>
              <w:bottom w:val="single" w:sz="8" w:color="A6A6A6"/>
            </w:tcBorders>
          </w:tcPr>
          <w:p>
            <w:pPr>
              <w:spacing w:after="0"/>
              <w:rPr>
                <w:sz w:val="2"/>
                <w:szCs w:val="2"/>
                <w:color w:val="auto"/>
              </w:rPr>
            </w:pPr>
          </w:p>
        </w:tc>
        <w:tc>
          <w:tcPr>
            <w:tcW w:w="1480" w:type="dxa"/>
            <w:vAlign w:val="bottom"/>
            <w:tcBorders>
              <w:bottom w:val="single" w:sz="8" w:color="A6A6A6"/>
            </w:tcBorders>
          </w:tcPr>
          <w:p>
            <w:pPr>
              <w:spacing w:after="0"/>
              <w:rPr>
                <w:sz w:val="2"/>
                <w:szCs w:val="2"/>
                <w:color w:val="auto"/>
              </w:rPr>
            </w:pPr>
          </w:p>
        </w:tc>
        <w:tc>
          <w:tcPr>
            <w:tcW w:w="1380" w:type="dxa"/>
            <w:vAlign w:val="bottom"/>
            <w:tcBorders>
              <w:bottom w:val="single" w:sz="8" w:color="A6A6A6"/>
            </w:tcBorders>
          </w:tcPr>
          <w:p>
            <w:pPr>
              <w:spacing w:after="0"/>
              <w:rPr>
                <w:sz w:val="2"/>
                <w:szCs w:val="2"/>
                <w:color w:val="auto"/>
              </w:rPr>
            </w:pPr>
          </w:p>
        </w:tc>
        <w:tc>
          <w:tcPr>
            <w:tcW w:w="32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760" w:type="dxa"/>
            <w:vAlign w:val="bottom"/>
            <w:gridSpan w:val="2"/>
            <w:vMerge w:val="restart"/>
          </w:tcPr>
          <w:p>
            <w:pPr>
              <w:ind w:left="80"/>
              <w:spacing w:after="0"/>
              <w:rPr>
                <w:sz w:val="20"/>
                <w:szCs w:val="20"/>
                <w:color w:val="auto"/>
              </w:rPr>
            </w:pPr>
            <w:r>
              <w:rPr>
                <w:rFonts w:ascii="Calibri" w:cs="Calibri" w:eastAsia="Calibri" w:hAnsi="Calibri"/>
                <w:sz w:val="18"/>
                <w:szCs w:val="18"/>
                <w:color w:val="auto"/>
              </w:rPr>
              <w:t>Target</w:t>
            </w:r>
          </w:p>
        </w:tc>
        <w:tc>
          <w:tcPr>
            <w:tcW w:w="1480" w:type="dxa"/>
            <w:vAlign w:val="bottom"/>
          </w:tcPr>
          <w:p>
            <w:pPr>
              <w:jc w:val="center"/>
              <w:spacing w:after="0" w:line="187" w:lineRule="exact"/>
              <w:rPr>
                <w:sz w:val="20"/>
                <w:szCs w:val="20"/>
                <w:color w:val="auto"/>
              </w:rPr>
            </w:pPr>
            <w:r>
              <w:rPr>
                <w:rFonts w:ascii="Calibri" w:cs="Calibri" w:eastAsia="Calibri" w:hAnsi="Calibri"/>
                <w:sz w:val="18"/>
                <w:szCs w:val="18"/>
                <w:color w:val="auto"/>
                <w:w w:val="97"/>
              </w:rPr>
              <w:t>$325,000,000</w:t>
            </w:r>
          </w:p>
        </w:tc>
        <w:tc>
          <w:tcPr>
            <w:tcW w:w="1380" w:type="dxa"/>
            <w:vAlign w:val="bottom"/>
            <w:vMerge w:val="restart"/>
          </w:tcPr>
          <w:p>
            <w:pPr>
              <w:jc w:val="center"/>
              <w:ind w:left="372"/>
              <w:spacing w:after="0"/>
              <w:rPr>
                <w:sz w:val="20"/>
                <w:szCs w:val="20"/>
                <w:color w:val="auto"/>
              </w:rPr>
            </w:pPr>
            <w:r>
              <w:rPr>
                <w:rFonts w:ascii="Calibri" w:cs="Calibri" w:eastAsia="Calibri" w:hAnsi="Calibri"/>
                <w:sz w:val="18"/>
                <w:szCs w:val="18"/>
                <w:color w:val="auto"/>
                <w:w w:val="99"/>
              </w:rPr>
              <w:t>100%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760" w:type="dxa"/>
            <w:vAlign w:val="bottom"/>
            <w:gridSpan w:val="2"/>
            <w:vMerge w:val="continue"/>
          </w:tcPr>
          <w:p>
            <w:pPr>
              <w:spacing w:after="0"/>
              <w:rPr>
                <w:sz w:val="9"/>
                <w:szCs w:val="9"/>
                <w:color w:val="auto"/>
              </w:rPr>
            </w:pPr>
          </w:p>
        </w:tc>
        <w:tc>
          <w:tcPr>
            <w:tcW w:w="1480" w:type="dxa"/>
            <w:vAlign w:val="bottom"/>
            <w:vMerge w:val="restart"/>
          </w:tcPr>
          <w:p>
            <w:pPr>
              <w:jc w:val="center"/>
              <w:spacing w:after="0" w:line="215" w:lineRule="exact"/>
              <w:rPr>
                <w:sz w:val="20"/>
                <w:szCs w:val="20"/>
                <w:color w:val="auto"/>
              </w:rPr>
            </w:pPr>
            <w:r>
              <w:rPr>
                <w:rFonts w:ascii="Calibri" w:cs="Calibri" w:eastAsia="Calibri" w:hAnsi="Calibri"/>
                <w:sz w:val="18"/>
                <w:szCs w:val="18"/>
                <w:color w:val="auto"/>
                <w:w w:val="95"/>
              </w:rPr>
              <w:t>(100% of Target)</w:t>
            </w:r>
          </w:p>
        </w:tc>
        <w:tc>
          <w:tcPr>
            <w:tcW w:w="13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20" w:type="dxa"/>
            <w:vAlign w:val="bottom"/>
            <w:tcBorders>
              <w:bottom w:val="single" w:sz="8" w:color="A6A6A6"/>
            </w:tcBorders>
          </w:tcPr>
          <w:p>
            <w:pPr>
              <w:spacing w:after="0"/>
              <w:rPr>
                <w:sz w:val="2"/>
                <w:szCs w:val="2"/>
                <w:color w:val="auto"/>
              </w:rPr>
            </w:pPr>
          </w:p>
        </w:tc>
        <w:tc>
          <w:tcPr>
            <w:tcW w:w="1440" w:type="dxa"/>
            <w:vAlign w:val="bottom"/>
            <w:tcBorders>
              <w:bottom w:val="single" w:sz="8" w:color="A6A6A6"/>
            </w:tcBorders>
          </w:tcPr>
          <w:p>
            <w:pPr>
              <w:spacing w:after="0"/>
              <w:rPr>
                <w:sz w:val="2"/>
                <w:szCs w:val="2"/>
                <w:color w:val="auto"/>
              </w:rPr>
            </w:pPr>
          </w:p>
        </w:tc>
        <w:tc>
          <w:tcPr>
            <w:tcW w:w="1480" w:type="dxa"/>
            <w:vAlign w:val="bottom"/>
            <w:tcBorders>
              <w:bottom w:val="single" w:sz="8" w:color="A6A6A6"/>
            </w:tcBorders>
          </w:tcPr>
          <w:p>
            <w:pPr>
              <w:spacing w:after="0"/>
              <w:rPr>
                <w:sz w:val="2"/>
                <w:szCs w:val="2"/>
                <w:color w:val="auto"/>
              </w:rPr>
            </w:pPr>
          </w:p>
        </w:tc>
        <w:tc>
          <w:tcPr>
            <w:tcW w:w="1380" w:type="dxa"/>
            <w:vAlign w:val="bottom"/>
            <w:tcBorders>
              <w:bottom w:val="single" w:sz="8" w:color="A6A6A6"/>
            </w:tcBorders>
          </w:tcPr>
          <w:p>
            <w:pPr>
              <w:spacing w:after="0"/>
              <w:rPr>
                <w:sz w:val="2"/>
                <w:szCs w:val="2"/>
                <w:color w:val="auto"/>
              </w:rPr>
            </w:pPr>
          </w:p>
        </w:tc>
        <w:tc>
          <w:tcPr>
            <w:tcW w:w="32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760" w:type="dxa"/>
            <w:vAlign w:val="bottom"/>
            <w:gridSpan w:val="2"/>
            <w:vMerge w:val="restart"/>
          </w:tcPr>
          <w:p>
            <w:pPr>
              <w:ind w:left="80"/>
              <w:spacing w:after="0"/>
              <w:rPr>
                <w:sz w:val="20"/>
                <w:szCs w:val="20"/>
                <w:color w:val="auto"/>
              </w:rPr>
            </w:pPr>
            <w:r>
              <w:rPr>
                <w:rFonts w:ascii="Calibri" w:cs="Calibri" w:eastAsia="Calibri" w:hAnsi="Calibri"/>
                <w:sz w:val="18"/>
                <w:szCs w:val="18"/>
                <w:color w:val="auto"/>
              </w:rPr>
              <w:t>Threshold</w:t>
            </w:r>
          </w:p>
        </w:tc>
        <w:tc>
          <w:tcPr>
            <w:tcW w:w="1480" w:type="dxa"/>
            <w:vAlign w:val="bottom"/>
          </w:tcPr>
          <w:p>
            <w:pPr>
              <w:jc w:val="center"/>
              <w:spacing w:after="0" w:line="187" w:lineRule="exact"/>
              <w:rPr>
                <w:sz w:val="20"/>
                <w:szCs w:val="20"/>
                <w:color w:val="auto"/>
              </w:rPr>
            </w:pPr>
            <w:r>
              <w:rPr>
                <w:rFonts w:ascii="Calibri" w:cs="Calibri" w:eastAsia="Calibri" w:hAnsi="Calibri"/>
                <w:sz w:val="18"/>
                <w:szCs w:val="18"/>
                <w:color w:val="auto"/>
                <w:w w:val="97"/>
              </w:rPr>
              <w:t>$260,000,000</w:t>
            </w:r>
          </w:p>
        </w:tc>
        <w:tc>
          <w:tcPr>
            <w:tcW w:w="1380" w:type="dxa"/>
            <w:vAlign w:val="bottom"/>
            <w:vMerge w:val="restart"/>
          </w:tcPr>
          <w:p>
            <w:pPr>
              <w:jc w:val="center"/>
              <w:ind w:left="372"/>
              <w:spacing w:after="0"/>
              <w:rPr>
                <w:sz w:val="20"/>
                <w:szCs w:val="20"/>
                <w:color w:val="auto"/>
              </w:rPr>
            </w:pPr>
            <w:r>
              <w:rPr>
                <w:rFonts w:ascii="Calibri" w:cs="Calibri" w:eastAsia="Calibri" w:hAnsi="Calibri"/>
                <w:sz w:val="18"/>
                <w:szCs w:val="18"/>
                <w:color w:val="auto"/>
              </w:rPr>
              <w:t>50%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760" w:type="dxa"/>
            <w:vAlign w:val="bottom"/>
            <w:gridSpan w:val="2"/>
            <w:vMerge w:val="continue"/>
          </w:tcPr>
          <w:p>
            <w:pPr>
              <w:spacing w:after="0"/>
              <w:rPr>
                <w:sz w:val="9"/>
                <w:szCs w:val="9"/>
                <w:color w:val="auto"/>
              </w:rPr>
            </w:pPr>
          </w:p>
        </w:tc>
        <w:tc>
          <w:tcPr>
            <w:tcW w:w="1480" w:type="dxa"/>
            <w:vAlign w:val="bottom"/>
            <w:vMerge w:val="restart"/>
          </w:tcPr>
          <w:p>
            <w:pPr>
              <w:jc w:val="center"/>
              <w:spacing w:after="0" w:line="215" w:lineRule="exact"/>
              <w:rPr>
                <w:sz w:val="20"/>
                <w:szCs w:val="20"/>
                <w:color w:val="auto"/>
              </w:rPr>
            </w:pPr>
            <w:r>
              <w:rPr>
                <w:rFonts w:ascii="Calibri" w:cs="Calibri" w:eastAsia="Calibri" w:hAnsi="Calibri"/>
                <w:sz w:val="18"/>
                <w:szCs w:val="18"/>
                <w:color w:val="auto"/>
                <w:w w:val="96"/>
              </w:rPr>
              <w:t>(80% of Target)</w:t>
            </w:r>
          </w:p>
        </w:tc>
        <w:tc>
          <w:tcPr>
            <w:tcW w:w="13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20" w:type="dxa"/>
            <w:vAlign w:val="bottom"/>
            <w:tcBorders>
              <w:bottom w:val="single" w:sz="8" w:color="AF0000"/>
            </w:tcBorders>
          </w:tcPr>
          <w:p>
            <w:pPr>
              <w:spacing w:after="0"/>
              <w:rPr>
                <w:sz w:val="2"/>
                <w:szCs w:val="2"/>
                <w:color w:val="auto"/>
              </w:rPr>
            </w:pPr>
          </w:p>
        </w:tc>
        <w:tc>
          <w:tcPr>
            <w:tcW w:w="4300" w:type="dxa"/>
            <w:vAlign w:val="bottom"/>
            <w:tcBorders>
              <w:bottom w:val="single" w:sz="8" w:color="AF0000"/>
            </w:tcBorders>
            <w:gridSpan w:val="3"/>
          </w:tcPr>
          <w:p>
            <w:pPr>
              <w:spacing w:after="0"/>
              <w:rPr>
                <w:sz w:val="2"/>
                <w:szCs w:val="2"/>
                <w:color w:val="auto"/>
              </w:rPr>
            </w:pPr>
          </w:p>
        </w:tc>
        <w:tc>
          <w:tcPr>
            <w:tcW w:w="320" w:type="dxa"/>
            <w:vAlign w:val="bottom"/>
            <w:tcBorders>
              <w:bottom w:val="single" w:sz="8" w:color="AF0000"/>
            </w:tcBorders>
          </w:tcPr>
          <w:p>
            <w:pPr>
              <w:spacing w:after="0"/>
              <w:rPr>
                <w:sz w:val="2"/>
                <w:szCs w:val="2"/>
                <w:color w:val="auto"/>
              </w:rPr>
            </w:pPr>
          </w:p>
        </w:tc>
        <w:tc>
          <w:tcPr>
            <w:tcW w:w="0" w:type="dxa"/>
            <w:vAlign w:val="bottom"/>
          </w:tcPr>
          <w:p>
            <w:pPr>
              <w:spacing w:after="0"/>
              <w:rPr>
                <w:sz w:val="1"/>
                <w:szCs w:val="1"/>
                <w:color w:val="auto"/>
              </w:rPr>
            </w:pPr>
          </w:p>
        </w:tc>
      </w:tr>
      <w:tr>
        <w:trPr>
          <w:trHeight w:val="409"/>
        </w:trPr>
        <w:tc>
          <w:tcPr>
            <w:tcW w:w="320" w:type="dxa"/>
            <w:vAlign w:val="bottom"/>
          </w:tcPr>
          <w:p>
            <w:pPr>
              <w:spacing w:after="0"/>
              <w:rPr>
                <w:sz w:val="24"/>
                <w:szCs w:val="24"/>
                <w:color w:val="auto"/>
              </w:rPr>
            </w:pPr>
          </w:p>
        </w:tc>
        <w:tc>
          <w:tcPr>
            <w:tcW w:w="4620" w:type="dxa"/>
            <w:vAlign w:val="bottom"/>
            <w:gridSpan w:val="4"/>
          </w:tcPr>
          <w:p>
            <w:pPr>
              <w:ind w:left="1220"/>
              <w:spacing w:after="0"/>
              <w:rPr>
                <w:sz w:val="20"/>
                <w:szCs w:val="20"/>
                <w:color w:val="auto"/>
              </w:rPr>
            </w:pPr>
            <w:r>
              <w:rPr>
                <w:rFonts w:ascii="Calibri" w:cs="Calibri" w:eastAsia="Calibri" w:hAnsi="Calibri"/>
                <w:sz w:val="18"/>
                <w:szCs w:val="18"/>
                <w:i w:val="1"/>
                <w:iCs w:val="1"/>
                <w:color w:val="auto"/>
              </w:rPr>
              <w:t>rTSR Metric and Multplier</w:t>
            </w:r>
          </w:p>
        </w:tc>
        <w:tc>
          <w:tcPr>
            <w:tcW w:w="0" w:type="dxa"/>
            <w:vAlign w:val="bottom"/>
          </w:tcPr>
          <w:p>
            <w:pPr>
              <w:spacing w:after="0"/>
              <w:rPr>
                <w:sz w:val="1"/>
                <w:szCs w:val="1"/>
                <w:color w:val="auto"/>
              </w:rPr>
            </w:pPr>
          </w:p>
        </w:tc>
      </w:tr>
      <w:tr>
        <w:trPr>
          <w:trHeight w:val="246"/>
        </w:trPr>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7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440" w:type="dxa"/>
            <w:vAlign w:val="bottom"/>
            <w:tcBorders>
              <w:top w:val="single" w:sz="8" w:color="AF0000"/>
              <w:bottom w:val="single" w:sz="8" w:color="AF0000"/>
            </w:tcBorders>
          </w:tcPr>
          <w:p>
            <w:pPr>
              <w:ind w:left="100"/>
              <w:spacing w:after="0" w:line="193" w:lineRule="exact"/>
              <w:rPr>
                <w:sz w:val="20"/>
                <w:szCs w:val="20"/>
                <w:color w:val="auto"/>
              </w:rPr>
            </w:pPr>
            <w:r>
              <w:rPr>
                <w:rFonts w:ascii="Calibri" w:cs="Calibri" w:eastAsia="Calibri" w:hAnsi="Calibri"/>
                <w:sz w:val="16"/>
                <w:szCs w:val="16"/>
                <w:b w:val="1"/>
                <w:bCs w:val="1"/>
                <w:color w:val="auto"/>
              </w:rPr>
              <w:t>rTSR Metric Level</w:t>
            </w:r>
          </w:p>
        </w:tc>
        <w:tc>
          <w:tcPr>
            <w:tcW w:w="1480" w:type="dxa"/>
            <w:vAlign w:val="bottom"/>
            <w:tcBorders>
              <w:top w:val="single" w:sz="8" w:color="AF0000"/>
              <w:bottom w:val="single" w:sz="8" w:color="AF0000"/>
            </w:tcBorders>
          </w:tcPr>
          <w:p>
            <w:pPr>
              <w:spacing w:after="0"/>
              <w:rPr>
                <w:sz w:val="18"/>
                <w:szCs w:val="18"/>
                <w:color w:val="auto"/>
              </w:rPr>
            </w:pPr>
          </w:p>
        </w:tc>
        <w:tc>
          <w:tcPr>
            <w:tcW w:w="1380" w:type="dxa"/>
            <w:vAlign w:val="bottom"/>
            <w:tcBorders>
              <w:top w:val="single" w:sz="8" w:color="AF0000"/>
              <w:bottom w:val="single" w:sz="8" w:color="AF0000"/>
            </w:tcBorders>
          </w:tcPr>
          <w:p>
            <w:pPr>
              <w:ind w:left="40"/>
              <w:spacing w:after="0" w:line="193" w:lineRule="exact"/>
              <w:rPr>
                <w:sz w:val="20"/>
                <w:szCs w:val="20"/>
                <w:color w:val="auto"/>
              </w:rPr>
            </w:pPr>
            <w:r>
              <w:rPr>
                <w:rFonts w:ascii="Calibri" w:cs="Calibri" w:eastAsia="Calibri" w:hAnsi="Calibri"/>
                <w:sz w:val="16"/>
                <w:szCs w:val="16"/>
                <w:b w:val="1"/>
                <w:bCs w:val="1"/>
                <w:color w:val="auto"/>
              </w:rPr>
              <w:t>rTSR Multplier</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40" w:type="dxa"/>
            <w:vAlign w:val="bottom"/>
            <w:tcBorders>
              <w:bottom w:val="single" w:sz="8" w:color="A6A6A6"/>
            </w:tcBorders>
          </w:tcPr>
          <w:p>
            <w:pPr>
              <w:ind w:left="100"/>
              <w:spacing w:after="0" w:line="216" w:lineRule="exact"/>
              <w:rPr>
                <w:sz w:val="20"/>
                <w:szCs w:val="20"/>
                <w:color w:val="auto"/>
              </w:rPr>
            </w:pPr>
            <w:r>
              <w:rPr>
                <w:rFonts w:ascii="Calibri" w:cs="Calibri" w:eastAsia="Calibri" w:hAnsi="Calibri"/>
                <w:sz w:val="16"/>
                <w:szCs w:val="16"/>
                <w:color w:val="auto"/>
              </w:rPr>
              <w:t>1</w:t>
            </w:r>
            <w:r>
              <w:rPr>
                <w:rFonts w:ascii="Calibri" w:cs="Calibri" w:eastAsia="Calibri" w:hAnsi="Calibri"/>
                <w:sz w:val="23"/>
                <w:szCs w:val="23"/>
                <w:color w:val="auto"/>
                <w:vertAlign w:val="superscript"/>
              </w:rPr>
              <w:t>st</w:t>
            </w:r>
            <w:r>
              <w:rPr>
                <w:rFonts w:ascii="Calibri" w:cs="Calibri" w:eastAsia="Calibri" w:hAnsi="Calibri"/>
                <w:sz w:val="16"/>
                <w:szCs w:val="16"/>
                <w:color w:val="auto"/>
              </w:rPr>
              <w:t xml:space="preserve"> (Top) Quartle</w:t>
            </w:r>
          </w:p>
        </w:tc>
        <w:tc>
          <w:tcPr>
            <w:tcW w:w="1480" w:type="dxa"/>
            <w:vAlign w:val="bottom"/>
            <w:tcBorders>
              <w:bottom w:val="single" w:sz="8" w:color="A6A6A6"/>
            </w:tcBorders>
          </w:tcPr>
          <w:p>
            <w:pPr>
              <w:spacing w:after="0"/>
              <w:rPr>
                <w:sz w:val="18"/>
                <w:szCs w:val="18"/>
                <w:color w:val="auto"/>
              </w:rPr>
            </w:pPr>
          </w:p>
        </w:tc>
        <w:tc>
          <w:tcPr>
            <w:tcW w:w="1380" w:type="dxa"/>
            <w:vAlign w:val="bottom"/>
            <w:tcBorders>
              <w:bottom w:val="single" w:sz="8" w:color="A6A6A6"/>
            </w:tcBorders>
          </w:tcPr>
          <w:p>
            <w:pPr>
              <w:jc w:val="center"/>
              <w:ind w:right="192"/>
              <w:spacing w:after="0" w:line="215" w:lineRule="exact"/>
              <w:rPr>
                <w:sz w:val="20"/>
                <w:szCs w:val="20"/>
                <w:color w:val="auto"/>
              </w:rPr>
            </w:pPr>
            <w:r>
              <w:rPr>
                <w:rFonts w:ascii="Calibri" w:cs="Calibri" w:eastAsia="Calibri" w:hAnsi="Calibri"/>
                <w:sz w:val="18"/>
                <w:szCs w:val="18"/>
                <w:color w:val="auto"/>
                <w:w w:val="94"/>
              </w:rPr>
              <w:t>125%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440" w:type="dxa"/>
            <w:vAlign w:val="bottom"/>
            <w:tcBorders>
              <w:bottom w:val="single" w:sz="8" w:color="A6A6A6"/>
            </w:tcBorders>
          </w:tcPr>
          <w:p>
            <w:pPr>
              <w:ind w:left="100"/>
              <w:spacing w:after="0" w:line="210" w:lineRule="exact"/>
              <w:rPr>
                <w:sz w:val="20"/>
                <w:szCs w:val="20"/>
                <w:color w:val="auto"/>
              </w:rPr>
            </w:pPr>
            <w:r>
              <w:rPr>
                <w:rFonts w:ascii="Calibri" w:cs="Calibri" w:eastAsia="Calibri" w:hAnsi="Calibri"/>
                <w:sz w:val="16"/>
                <w:szCs w:val="16"/>
                <w:color w:val="auto"/>
              </w:rPr>
              <w:t>2</w:t>
            </w:r>
            <w:r>
              <w:rPr>
                <w:rFonts w:ascii="Calibri" w:cs="Calibri" w:eastAsia="Calibri" w:hAnsi="Calibri"/>
                <w:sz w:val="22"/>
                <w:szCs w:val="22"/>
                <w:color w:val="auto"/>
                <w:vertAlign w:val="superscript"/>
              </w:rPr>
              <w:t>nd</w:t>
            </w:r>
            <w:r>
              <w:rPr>
                <w:rFonts w:ascii="Calibri" w:cs="Calibri" w:eastAsia="Calibri" w:hAnsi="Calibri"/>
                <w:sz w:val="16"/>
                <w:szCs w:val="16"/>
                <w:color w:val="auto"/>
              </w:rPr>
              <w:t xml:space="preserve"> Quartle</w:t>
            </w:r>
          </w:p>
        </w:tc>
        <w:tc>
          <w:tcPr>
            <w:tcW w:w="1480" w:type="dxa"/>
            <w:vAlign w:val="bottom"/>
            <w:tcBorders>
              <w:bottom w:val="single" w:sz="8" w:color="A6A6A6"/>
            </w:tcBorders>
          </w:tcPr>
          <w:p>
            <w:pPr>
              <w:spacing w:after="0"/>
              <w:rPr>
                <w:sz w:val="18"/>
                <w:szCs w:val="18"/>
                <w:color w:val="auto"/>
              </w:rPr>
            </w:pPr>
          </w:p>
        </w:tc>
        <w:tc>
          <w:tcPr>
            <w:tcW w:w="1380" w:type="dxa"/>
            <w:vAlign w:val="bottom"/>
            <w:tcBorders>
              <w:bottom w:val="single" w:sz="8" w:color="A6A6A6"/>
            </w:tcBorders>
          </w:tcPr>
          <w:p>
            <w:pPr>
              <w:jc w:val="center"/>
              <w:ind w:right="192"/>
              <w:spacing w:after="0" w:line="209" w:lineRule="exact"/>
              <w:rPr>
                <w:sz w:val="20"/>
                <w:szCs w:val="20"/>
                <w:color w:val="auto"/>
              </w:rPr>
            </w:pPr>
            <w:r>
              <w:rPr>
                <w:rFonts w:ascii="Calibri" w:cs="Calibri" w:eastAsia="Calibri" w:hAnsi="Calibri"/>
                <w:sz w:val="18"/>
                <w:szCs w:val="18"/>
                <w:color w:val="auto"/>
                <w:w w:val="94"/>
              </w:rPr>
              <w:t>100%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440" w:type="dxa"/>
            <w:vAlign w:val="bottom"/>
            <w:tcBorders>
              <w:bottom w:val="single" w:sz="8" w:color="A6A6A6"/>
            </w:tcBorders>
          </w:tcPr>
          <w:p>
            <w:pPr>
              <w:ind w:left="100"/>
              <w:spacing w:after="0" w:line="210" w:lineRule="exact"/>
              <w:rPr>
                <w:sz w:val="20"/>
                <w:szCs w:val="20"/>
                <w:color w:val="auto"/>
              </w:rPr>
            </w:pPr>
            <w:r>
              <w:rPr>
                <w:rFonts w:ascii="Calibri" w:cs="Calibri" w:eastAsia="Calibri" w:hAnsi="Calibri"/>
                <w:sz w:val="16"/>
                <w:szCs w:val="16"/>
                <w:color w:val="auto"/>
              </w:rPr>
              <w:t>3</w:t>
            </w:r>
            <w:r>
              <w:rPr>
                <w:rFonts w:ascii="Calibri" w:cs="Calibri" w:eastAsia="Calibri" w:hAnsi="Calibri"/>
                <w:sz w:val="22"/>
                <w:szCs w:val="22"/>
                <w:color w:val="auto"/>
                <w:vertAlign w:val="superscript"/>
              </w:rPr>
              <w:t>rd</w:t>
            </w:r>
            <w:r>
              <w:rPr>
                <w:rFonts w:ascii="Calibri" w:cs="Calibri" w:eastAsia="Calibri" w:hAnsi="Calibri"/>
                <w:sz w:val="16"/>
                <w:szCs w:val="16"/>
                <w:color w:val="auto"/>
              </w:rPr>
              <w:t xml:space="preserve"> Quartle</w:t>
            </w:r>
          </w:p>
        </w:tc>
        <w:tc>
          <w:tcPr>
            <w:tcW w:w="1480" w:type="dxa"/>
            <w:vAlign w:val="bottom"/>
            <w:tcBorders>
              <w:bottom w:val="single" w:sz="8" w:color="A6A6A6"/>
            </w:tcBorders>
          </w:tcPr>
          <w:p>
            <w:pPr>
              <w:spacing w:after="0"/>
              <w:rPr>
                <w:sz w:val="18"/>
                <w:szCs w:val="18"/>
                <w:color w:val="auto"/>
              </w:rPr>
            </w:pPr>
          </w:p>
        </w:tc>
        <w:tc>
          <w:tcPr>
            <w:tcW w:w="1380" w:type="dxa"/>
            <w:vAlign w:val="bottom"/>
            <w:tcBorders>
              <w:bottom w:val="single" w:sz="8" w:color="A6A6A6"/>
            </w:tcBorders>
          </w:tcPr>
          <w:p>
            <w:pPr>
              <w:jc w:val="center"/>
              <w:ind w:right="192"/>
              <w:spacing w:after="0" w:line="209" w:lineRule="exact"/>
              <w:rPr>
                <w:sz w:val="20"/>
                <w:szCs w:val="20"/>
                <w:color w:val="auto"/>
              </w:rPr>
            </w:pPr>
            <w:r>
              <w:rPr>
                <w:rFonts w:ascii="Calibri" w:cs="Calibri" w:eastAsia="Calibri" w:hAnsi="Calibri"/>
                <w:sz w:val="18"/>
                <w:szCs w:val="18"/>
                <w:color w:val="auto"/>
                <w:w w:val="94"/>
              </w:rPr>
              <w:t>100%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920" w:type="dxa"/>
            <w:vAlign w:val="bottom"/>
            <w:tcBorders>
              <w:bottom w:val="single" w:sz="8" w:color="AF0000"/>
            </w:tcBorders>
            <w:gridSpan w:val="2"/>
          </w:tcPr>
          <w:p>
            <w:pPr>
              <w:ind w:left="100"/>
              <w:spacing w:after="0" w:line="210" w:lineRule="exact"/>
              <w:rPr>
                <w:sz w:val="20"/>
                <w:szCs w:val="20"/>
                <w:color w:val="auto"/>
              </w:rPr>
            </w:pPr>
            <w:r>
              <w:rPr>
                <w:rFonts w:ascii="Calibri" w:cs="Calibri" w:eastAsia="Calibri" w:hAnsi="Calibri"/>
                <w:sz w:val="16"/>
                <w:szCs w:val="16"/>
                <w:color w:val="auto"/>
              </w:rPr>
              <w:t>4</w:t>
            </w:r>
            <w:r>
              <w:rPr>
                <w:rFonts w:ascii="Calibri" w:cs="Calibri" w:eastAsia="Calibri" w:hAnsi="Calibri"/>
                <w:sz w:val="22"/>
                <w:szCs w:val="22"/>
                <w:color w:val="auto"/>
                <w:vertAlign w:val="superscript"/>
              </w:rPr>
              <w:t>th</w:t>
            </w:r>
            <w:r>
              <w:rPr>
                <w:rFonts w:ascii="Calibri" w:cs="Calibri" w:eastAsia="Calibri" w:hAnsi="Calibri"/>
                <w:sz w:val="16"/>
                <w:szCs w:val="16"/>
                <w:color w:val="auto"/>
              </w:rPr>
              <w:t xml:space="preserve"> (Botom) Quartle</w:t>
            </w:r>
          </w:p>
        </w:tc>
        <w:tc>
          <w:tcPr>
            <w:tcW w:w="1380" w:type="dxa"/>
            <w:vAlign w:val="bottom"/>
            <w:tcBorders>
              <w:bottom w:val="single" w:sz="8" w:color="AF0000"/>
            </w:tcBorders>
          </w:tcPr>
          <w:p>
            <w:pPr>
              <w:jc w:val="center"/>
              <w:ind w:right="192"/>
              <w:spacing w:after="0" w:line="209" w:lineRule="exact"/>
              <w:rPr>
                <w:sz w:val="20"/>
                <w:szCs w:val="20"/>
                <w:color w:val="auto"/>
              </w:rPr>
            </w:pPr>
            <w:r>
              <w:rPr>
                <w:rFonts w:ascii="Calibri" w:cs="Calibri" w:eastAsia="Calibri" w:hAnsi="Calibri"/>
                <w:sz w:val="18"/>
                <w:szCs w:val="18"/>
                <w:color w:val="auto"/>
                <w:w w:val="96"/>
              </w:rPr>
              <w:t>75%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0" w:right="239"/>
        <w:spacing w:after="0" w:line="233" w:lineRule="auto"/>
        <w:rPr>
          <w:sz w:val="20"/>
          <w:szCs w:val="20"/>
          <w:color w:val="auto"/>
        </w:rPr>
      </w:pPr>
      <w:r>
        <w:rPr>
          <w:rFonts w:ascii="Calibri" w:cs="Calibri" w:eastAsia="Calibri" w:hAnsi="Calibri"/>
          <w:sz w:val="18"/>
          <w:szCs w:val="18"/>
          <w:color w:val="auto"/>
        </w:rPr>
        <w:t xml:space="preserve">Because our CEO is a substantal shareholder of the Company and, by virtue of his ownership of Common Stock, the Compensaton Commitee believes his fnancial interests are closely aligned with the interests of other Company shareholders, the Compensaton Commitee determined to provide in his PSU award agreements that approximately 55% of the targeted award amount, if any, earned by him at the end of the applicable performance periods would be paid in cash in lieu of the issuance of a porton of the shares of Common Stock that otherwise would have been awarded under his PSU award agreements. Accordingly, the PSUs awarded to our CEO also include a feature providing for the payment of a long-term cash award based on the degree of atainment of the same designated Performance Goals that apply to the award and issuance of shares of Common Stock under the PSUs (each a </w:t>
      </w:r>
      <w:r>
        <w:rPr>
          <w:rFonts w:ascii="Calibri" w:cs="Calibri" w:eastAsia="Calibri" w:hAnsi="Calibri"/>
          <w:sz w:val="18"/>
          <w:szCs w:val="18"/>
          <w:u w:val="single" w:color="auto"/>
          <w:color w:val="AF0000"/>
        </w:rPr>
        <w:t>PSU Cash Incentve</w:t>
      </w:r>
      <w:r>
        <w:rPr>
          <w:rFonts w:ascii="Calibri" w:cs="Calibri" w:eastAsia="Calibri" w:hAnsi="Calibri"/>
          <w:sz w:val="18"/>
          <w:szCs w:val="18"/>
          <w:color w:val="auto"/>
        </w:rPr>
        <w:t>). The actual amount of a PSU Cash Incentve to be paid is determined by multplying the Target Cash Incentve provided in the PSU award agreement (</w:t>
      </w:r>
      <w:r>
        <w:rPr>
          <w:rFonts w:ascii="Calibri" w:cs="Calibri" w:eastAsia="Calibri" w:hAnsi="Calibri"/>
          <w:sz w:val="18"/>
          <w:szCs w:val="18"/>
          <w:u w:val="single" w:color="auto"/>
          <w:color w:val="AF0000"/>
        </w:rPr>
        <w:t>Target Cash Incentve</w:t>
      </w:r>
      <w:r>
        <w:rPr>
          <w:rFonts w:ascii="Calibri" w:cs="Calibri" w:eastAsia="Calibri" w:hAnsi="Calibri"/>
          <w:sz w:val="18"/>
          <w:szCs w:val="18"/>
          <w:color w:val="auto"/>
        </w:rPr>
        <w:t>) by the same FCF Multplier and rTSR Multplier that are used to determine the number of shares of Common Stock issued under the PSUs (from the tables above). The Target Cash Incentve included in the CEO’s PSU award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163195</wp:posOffset>
            </wp:positionV>
            <wp:extent cx="133731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237" w:lineRule="exact"/>
        <w:rPr>
          <w:sz w:val="20"/>
          <w:szCs w:val="20"/>
          <w:color w:val="auto"/>
        </w:rPr>
      </w:pPr>
    </w:p>
    <w:p>
      <w:pPr>
        <w:ind w:left="3740"/>
        <w:spacing w:after="0"/>
        <w:rPr>
          <w:sz w:val="20"/>
          <w:szCs w:val="20"/>
          <w:color w:val="auto"/>
        </w:rPr>
      </w:pPr>
      <w:r>
        <w:rPr>
          <w:rFonts w:ascii="Calibri" w:cs="Calibri" w:eastAsia="Calibri" w:hAnsi="Calibri"/>
          <w:sz w:val="18"/>
          <w:szCs w:val="18"/>
          <w:b w:val="1"/>
          <w:bCs w:val="1"/>
          <w:color w:val="auto"/>
        </w:rPr>
        <w:t>Target Cash Incentve</w:t>
      </w:r>
    </w:p>
    <w:p>
      <w:pPr>
        <w:ind w:left="4100"/>
        <w:spacing w:after="0" w:line="235" w:lineRule="auto"/>
        <w:rPr>
          <w:sz w:val="20"/>
          <w:szCs w:val="20"/>
          <w:color w:val="auto"/>
        </w:rPr>
      </w:pPr>
      <w:r>
        <w:rPr>
          <w:rFonts w:ascii="Calibri" w:cs="Calibri" w:eastAsia="Calibri" w:hAnsi="Calibri"/>
          <w:sz w:val="18"/>
          <w:szCs w:val="18"/>
          <w:b w:val="1"/>
          <w:bCs w:val="1"/>
          <w:color w:val="auto"/>
        </w:rPr>
        <w:t>Three-Year</w:t>
      </w:r>
    </w:p>
    <w:p>
      <w:pPr>
        <w:ind w:left="3780"/>
        <w:spacing w:after="0" w:line="236" w:lineRule="auto"/>
        <w:rPr>
          <w:sz w:val="20"/>
          <w:szCs w:val="20"/>
          <w:color w:val="auto"/>
        </w:rPr>
      </w:pPr>
      <w:r>
        <w:rPr>
          <w:rFonts w:ascii="Calibri" w:cs="Calibri" w:eastAsia="Calibri" w:hAnsi="Calibri"/>
          <w:sz w:val="18"/>
          <w:szCs w:val="18"/>
          <w:b w:val="1"/>
          <w:bCs w:val="1"/>
          <w:color w:val="auto"/>
        </w:rPr>
        <w:t>Performance Period</w:t>
      </w:r>
    </w:p>
    <w:p>
      <w:pPr>
        <w:ind w:left="4060"/>
        <w:spacing w:after="0" w:line="222" w:lineRule="auto"/>
        <w:rPr>
          <w:sz w:val="20"/>
          <w:szCs w:val="20"/>
          <w:color w:val="auto"/>
        </w:rPr>
      </w:pPr>
      <w:r>
        <w:rPr>
          <w:rFonts w:ascii="Calibri" w:cs="Calibri" w:eastAsia="Calibri" w:hAnsi="Calibri"/>
          <w:sz w:val="18"/>
          <w:szCs w:val="18"/>
          <w:b w:val="1"/>
          <w:bCs w:val="1"/>
          <w:color w:val="auto"/>
        </w:rPr>
        <w:t>(2023-2025)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15240</wp:posOffset>
            </wp:positionV>
            <wp:extent cx="133731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3" w:lineRule="exact"/>
        <w:rPr>
          <w:sz w:val="20"/>
          <w:szCs w:val="20"/>
          <w:color w:val="auto"/>
        </w:rPr>
      </w:pPr>
    </w:p>
    <w:p>
      <w:pPr>
        <w:ind w:left="4100"/>
        <w:spacing w:after="0"/>
        <w:rPr>
          <w:sz w:val="20"/>
          <w:szCs w:val="20"/>
          <w:color w:val="auto"/>
        </w:rPr>
      </w:pPr>
      <w:r>
        <w:rPr>
          <w:rFonts w:ascii="Calibri" w:cs="Calibri" w:eastAsia="Calibri" w:hAnsi="Calibri"/>
          <w:sz w:val="18"/>
          <w:szCs w:val="18"/>
          <w:color w:val="auto"/>
        </w:rPr>
        <w:t>$1,333,333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14605</wp:posOffset>
            </wp:positionV>
            <wp:extent cx="133731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224" w:lineRule="exact"/>
        <w:rPr>
          <w:sz w:val="20"/>
          <w:szCs w:val="20"/>
          <w:color w:val="auto"/>
        </w:rPr>
      </w:pPr>
    </w:p>
    <w:p>
      <w:pPr>
        <w:ind w:left="200" w:right="339"/>
        <w:spacing w:after="0" w:line="235" w:lineRule="auto"/>
        <w:rPr>
          <w:sz w:val="20"/>
          <w:szCs w:val="20"/>
          <w:color w:val="auto"/>
        </w:rPr>
      </w:pPr>
      <w:r>
        <w:rPr>
          <w:rFonts w:ascii="Calibri" w:cs="Calibri" w:eastAsia="Calibri" w:hAnsi="Calibri"/>
          <w:sz w:val="18"/>
          <w:szCs w:val="18"/>
          <w:color w:val="auto"/>
        </w:rPr>
        <w:t>If the Company’s performance during a performance period does not meet or exceed the FCF Metric Threshold, no PSU Cash Incentve will be paid with respect to the CEO’s PSUs for such performance period.</w:t>
      </w:r>
    </w:p>
    <w:p>
      <w:pPr>
        <w:spacing w:after="0" w:line="177" w:lineRule="exact"/>
        <w:rPr>
          <w:sz w:val="20"/>
          <w:szCs w:val="20"/>
          <w:color w:val="auto"/>
        </w:rPr>
      </w:pPr>
    </w:p>
    <w:p>
      <w:pPr>
        <w:ind w:left="200" w:right="219"/>
        <w:spacing w:after="0" w:line="231" w:lineRule="auto"/>
        <w:rPr>
          <w:sz w:val="20"/>
          <w:szCs w:val="20"/>
          <w:color w:val="auto"/>
        </w:rPr>
      </w:pPr>
      <w:r>
        <w:rPr>
          <w:rFonts w:ascii="Calibri" w:cs="Calibri" w:eastAsia="Calibri" w:hAnsi="Calibri"/>
          <w:sz w:val="18"/>
          <w:szCs w:val="18"/>
          <w:color w:val="auto"/>
        </w:rPr>
        <w:t>To be eligible to receive any shares of Common Stock or, if applicable, payment of a PSU Cash Incentve under the PSUs, the executve in queston must remain employed by the Company untl the second day of the calendar year following the end of the applicable performance period (</w:t>
      </w:r>
      <w:r>
        <w:rPr>
          <w:rFonts w:ascii="Calibri" w:cs="Calibri" w:eastAsia="Calibri" w:hAnsi="Calibri"/>
          <w:sz w:val="18"/>
          <w:szCs w:val="18"/>
          <w:u w:val="single" w:color="auto"/>
          <w:color w:val="AF0000"/>
        </w:rPr>
        <w:t>Vestng Date</w:t>
      </w:r>
      <w:r>
        <w:rPr>
          <w:rFonts w:ascii="Calibri" w:cs="Calibri" w:eastAsia="Calibri" w:hAnsi="Calibri"/>
          <w:sz w:val="18"/>
          <w:szCs w:val="18"/>
          <w:color w:val="auto"/>
        </w:rPr>
        <w:t>). However, a pro rata porton may be paid afer the end of the applicable performance period if, before the Vestng Date and at least one year afer the PSU</w:t>
      </w:r>
    </w:p>
    <w:p>
      <w:pPr>
        <w:spacing w:after="0" w:line="200" w:lineRule="exact"/>
        <w:rPr>
          <w:sz w:val="20"/>
          <w:szCs w:val="20"/>
          <w:color w:val="auto"/>
        </w:rPr>
      </w:pPr>
    </w:p>
    <w:p>
      <w:pPr>
        <w:spacing w:after="0" w:line="237"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51" w:name="page52"/>
    <w:bookmarkEnd w:id="51"/>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36" w:lineRule="exact"/>
        <w:rPr>
          <w:sz w:val="20"/>
          <w:szCs w:val="20"/>
          <w:color w:val="auto"/>
        </w:rPr>
      </w:pPr>
    </w:p>
    <w:p>
      <w:pPr>
        <w:jc w:val="both"/>
        <w:ind w:left="200" w:right="259"/>
        <w:spacing w:after="0" w:line="235" w:lineRule="auto"/>
        <w:rPr>
          <w:sz w:val="20"/>
          <w:szCs w:val="20"/>
          <w:color w:val="auto"/>
        </w:rPr>
      </w:pPr>
      <w:r>
        <w:rPr>
          <w:rFonts w:ascii="Calibri" w:cs="Calibri" w:eastAsia="Calibri" w:hAnsi="Calibri"/>
          <w:sz w:val="18"/>
          <w:szCs w:val="18"/>
          <w:color w:val="auto"/>
        </w:rPr>
        <w:t>grant date, the executve (i) ceases employment on account of his or her death or disability (as defned in the PSU award agreements), (ii) is involuntarily terminated from employment without Cause (as defned in the PSU award agreements), or (iii) resigns from employment for Good Reason (as defned in the PSU award agreements).</w:t>
      </w:r>
    </w:p>
    <w:p>
      <w:pPr>
        <w:spacing w:after="0" w:line="178" w:lineRule="exact"/>
        <w:rPr>
          <w:sz w:val="20"/>
          <w:szCs w:val="20"/>
          <w:color w:val="auto"/>
        </w:rPr>
      </w:pPr>
    </w:p>
    <w:p>
      <w:pPr>
        <w:ind w:left="200" w:right="339"/>
        <w:spacing w:after="0" w:line="254" w:lineRule="auto"/>
        <w:rPr>
          <w:sz w:val="20"/>
          <w:szCs w:val="20"/>
          <w:color w:val="auto"/>
        </w:rPr>
      </w:pPr>
      <w:r>
        <w:rPr>
          <w:rFonts w:ascii="Calibri" w:cs="Calibri" w:eastAsia="Calibri" w:hAnsi="Calibri"/>
          <w:sz w:val="17"/>
          <w:szCs w:val="17"/>
          <w:color w:val="auto"/>
        </w:rPr>
        <w:t>If the Company experiences a Change in Control (as defned in the PSU award agreements), the NEOs shall receive the total Target PSU Shares (and the CEO shall also receive the Target Cash Incentve) within thirty (30) days of such Change in Control regardless of the level of interim performance atained with respect to the applicable Performance Goals.</w:t>
      </w:r>
    </w:p>
    <w:p>
      <w:pPr>
        <w:spacing w:after="0" w:line="160"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2023 PSU Award Determinatons</w:t>
      </w:r>
    </w:p>
    <w:p>
      <w:pPr>
        <w:spacing w:after="0" w:line="177" w:lineRule="exact"/>
        <w:rPr>
          <w:sz w:val="20"/>
          <w:szCs w:val="20"/>
          <w:color w:val="auto"/>
        </w:rPr>
      </w:pPr>
    </w:p>
    <w:p>
      <w:pPr>
        <w:ind w:left="200" w:right="279"/>
        <w:spacing w:after="0" w:line="235" w:lineRule="auto"/>
        <w:rPr>
          <w:sz w:val="20"/>
          <w:szCs w:val="20"/>
          <w:color w:val="auto"/>
        </w:rPr>
      </w:pPr>
      <w:r>
        <w:rPr>
          <w:rFonts w:ascii="Calibri" w:cs="Calibri" w:eastAsia="Calibri" w:hAnsi="Calibri"/>
          <w:sz w:val="18"/>
          <w:szCs w:val="18"/>
          <w:color w:val="auto"/>
        </w:rPr>
        <w:t>The Compensaton Commitee and the Board determined that the maximum level for the FCF Metric had been met with respect to the Three-Year Performance Period for the PSUs granted in 2021, as summarized below:</w:t>
      </w:r>
    </w:p>
    <w:p>
      <w:pPr>
        <w:spacing w:after="0" w:line="193" w:lineRule="exact"/>
        <w:rPr>
          <w:sz w:val="20"/>
          <w:szCs w:val="20"/>
          <w:color w:val="auto"/>
        </w:rPr>
      </w:pPr>
    </w:p>
    <w:tbl>
      <w:tblPr>
        <w:tblLayout w:type="fixed"/>
        <w:tblInd w:w="1180" w:type="dxa"/>
        <w:tblCellMar>
          <w:top w:w="0" w:type="dxa"/>
          <w:left w:w="0" w:type="dxa"/>
          <w:bottom w:w="0" w:type="dxa"/>
          <w:right w:w="0" w:type="dxa"/>
        </w:tblCellMar>
      </w:tblPr>
      <w:tr>
        <w:trPr>
          <w:trHeight w:val="198"/>
        </w:trPr>
        <w:tc>
          <w:tcPr>
            <w:tcW w:w="1580" w:type="dxa"/>
            <w:vAlign w:val="bottom"/>
            <w:tcBorders>
              <w:top w:val="single" w:sz="8" w:color="AF0000"/>
            </w:tcBorders>
          </w:tcPr>
          <w:p>
            <w:pPr>
              <w:spacing w:after="0"/>
              <w:rPr>
                <w:sz w:val="17"/>
                <w:szCs w:val="17"/>
                <w:color w:val="auto"/>
              </w:rPr>
            </w:pPr>
          </w:p>
        </w:tc>
        <w:tc>
          <w:tcPr>
            <w:tcW w:w="1820" w:type="dxa"/>
            <w:vAlign w:val="bottom"/>
            <w:tcBorders>
              <w:top w:val="single" w:sz="8" w:color="AF0000"/>
            </w:tcBorders>
          </w:tcPr>
          <w:p>
            <w:pPr>
              <w:jc w:val="center"/>
              <w:ind w:left="34"/>
              <w:spacing w:after="0"/>
              <w:rPr>
                <w:sz w:val="20"/>
                <w:szCs w:val="20"/>
                <w:color w:val="auto"/>
              </w:rPr>
            </w:pPr>
            <w:r>
              <w:rPr>
                <w:rFonts w:ascii="Calibri" w:cs="Calibri" w:eastAsia="Calibri" w:hAnsi="Calibri"/>
                <w:sz w:val="16"/>
                <w:szCs w:val="16"/>
                <w:b w:val="1"/>
                <w:bCs w:val="1"/>
                <w:color w:val="auto"/>
              </w:rPr>
              <w:t>2021 PSU grants -</w:t>
            </w:r>
          </w:p>
        </w:tc>
        <w:tc>
          <w:tcPr>
            <w:tcW w:w="1760" w:type="dxa"/>
            <w:vAlign w:val="bottom"/>
            <w:tcBorders>
              <w:top w:val="single" w:sz="8" w:color="AF0000"/>
            </w:tcBorders>
          </w:tcPr>
          <w:p>
            <w:pPr>
              <w:jc w:val="center"/>
              <w:spacing w:after="0"/>
              <w:rPr>
                <w:sz w:val="20"/>
                <w:szCs w:val="20"/>
                <w:color w:val="auto"/>
              </w:rPr>
            </w:pPr>
            <w:r>
              <w:rPr>
                <w:rFonts w:ascii="Calibri" w:cs="Calibri" w:eastAsia="Calibri" w:hAnsi="Calibri"/>
                <w:sz w:val="16"/>
                <w:szCs w:val="16"/>
                <w:b w:val="1"/>
                <w:bCs w:val="1"/>
                <w:color w:val="auto"/>
              </w:rPr>
              <w:t>Adjusted Non-GAAP</w:t>
            </w:r>
          </w:p>
        </w:tc>
        <w:tc>
          <w:tcPr>
            <w:tcW w:w="1480" w:type="dxa"/>
            <w:vAlign w:val="bottom"/>
            <w:tcBorders>
              <w:top w:val="single" w:sz="8" w:color="AF0000"/>
            </w:tcBorders>
          </w:tcPr>
          <w:p>
            <w:pPr>
              <w:spacing w:after="0"/>
              <w:rPr>
                <w:sz w:val="17"/>
                <w:szCs w:val="17"/>
                <w:color w:val="auto"/>
              </w:rPr>
            </w:pPr>
          </w:p>
        </w:tc>
      </w:tr>
      <w:tr>
        <w:trPr>
          <w:trHeight w:val="193"/>
        </w:trPr>
        <w:tc>
          <w:tcPr>
            <w:tcW w:w="1580" w:type="dxa"/>
            <w:vAlign w:val="bottom"/>
          </w:tcPr>
          <w:p>
            <w:pPr>
              <w:ind w:left="100"/>
              <w:spacing w:after="0" w:line="193" w:lineRule="exact"/>
              <w:rPr>
                <w:sz w:val="20"/>
                <w:szCs w:val="20"/>
                <w:color w:val="auto"/>
              </w:rPr>
            </w:pPr>
            <w:r>
              <w:rPr>
                <w:rFonts w:ascii="Calibri" w:cs="Calibri" w:eastAsia="Calibri" w:hAnsi="Calibri"/>
                <w:sz w:val="16"/>
                <w:szCs w:val="16"/>
                <w:b w:val="1"/>
                <w:bCs w:val="1"/>
                <w:color w:val="auto"/>
              </w:rPr>
              <w:t>FCF Metric Level</w:t>
            </w:r>
          </w:p>
        </w:tc>
        <w:tc>
          <w:tcPr>
            <w:tcW w:w="1820" w:type="dxa"/>
            <w:vAlign w:val="bottom"/>
          </w:tcPr>
          <w:p>
            <w:pPr>
              <w:jc w:val="center"/>
              <w:ind w:left="34"/>
              <w:spacing w:after="0" w:line="193" w:lineRule="exact"/>
              <w:rPr>
                <w:sz w:val="20"/>
                <w:szCs w:val="20"/>
                <w:color w:val="auto"/>
              </w:rPr>
            </w:pPr>
            <w:r>
              <w:rPr>
                <w:rFonts w:ascii="Calibri" w:cs="Calibri" w:eastAsia="Calibri" w:hAnsi="Calibri"/>
                <w:sz w:val="16"/>
                <w:szCs w:val="16"/>
                <w:b w:val="1"/>
                <w:bCs w:val="1"/>
                <w:color w:val="auto"/>
              </w:rPr>
              <w:t>FCF goals</w:t>
            </w:r>
          </w:p>
        </w:tc>
        <w:tc>
          <w:tcPr>
            <w:tcW w:w="176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FCF</w:t>
            </w:r>
          </w:p>
        </w:tc>
        <w:tc>
          <w:tcPr>
            <w:tcW w:w="148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FCF Multplier</w:t>
            </w:r>
          </w:p>
        </w:tc>
      </w:tr>
      <w:tr>
        <w:trPr>
          <w:trHeight w:val="223"/>
        </w:trPr>
        <w:tc>
          <w:tcPr>
            <w:tcW w:w="1580" w:type="dxa"/>
            <w:vAlign w:val="bottom"/>
            <w:tcBorders>
              <w:bottom w:val="single" w:sz="8" w:color="AF0000"/>
            </w:tcBorders>
          </w:tcPr>
          <w:p>
            <w:pPr>
              <w:spacing w:after="0"/>
              <w:rPr>
                <w:sz w:val="19"/>
                <w:szCs w:val="19"/>
                <w:color w:val="auto"/>
              </w:rPr>
            </w:pPr>
          </w:p>
        </w:tc>
        <w:tc>
          <w:tcPr>
            <w:tcW w:w="1820" w:type="dxa"/>
            <w:vAlign w:val="bottom"/>
            <w:tcBorders>
              <w:bottom w:val="single" w:sz="8" w:color="AF0000"/>
            </w:tcBorders>
          </w:tcPr>
          <w:p>
            <w:pPr>
              <w:spacing w:after="0"/>
              <w:rPr>
                <w:sz w:val="19"/>
                <w:szCs w:val="19"/>
                <w:color w:val="auto"/>
              </w:rPr>
            </w:pPr>
          </w:p>
        </w:tc>
        <w:tc>
          <w:tcPr>
            <w:tcW w:w="1760" w:type="dxa"/>
            <w:vAlign w:val="bottom"/>
            <w:tcBorders>
              <w:bottom w:val="single" w:sz="8" w:color="AF0000"/>
            </w:tcBorders>
          </w:tcPr>
          <w:p>
            <w:pPr>
              <w:jc w:val="center"/>
              <w:ind w:right="17"/>
              <w:spacing w:after="0"/>
              <w:rPr>
                <w:sz w:val="20"/>
                <w:szCs w:val="20"/>
                <w:color w:val="auto"/>
              </w:rPr>
            </w:pPr>
            <w:r>
              <w:rPr>
                <w:rFonts w:ascii="Calibri" w:cs="Calibri" w:eastAsia="Calibri" w:hAnsi="Calibri"/>
                <w:sz w:val="16"/>
                <w:szCs w:val="16"/>
                <w:b w:val="1"/>
                <w:bCs w:val="1"/>
                <w:color w:val="auto"/>
              </w:rPr>
              <w:t>Achieved</w:t>
            </w:r>
          </w:p>
        </w:tc>
        <w:tc>
          <w:tcPr>
            <w:tcW w:w="1480" w:type="dxa"/>
            <w:vAlign w:val="bottom"/>
            <w:tcBorders>
              <w:bottom w:val="single" w:sz="8" w:color="AF0000"/>
            </w:tcBorders>
          </w:tcPr>
          <w:p>
            <w:pPr>
              <w:spacing w:after="0"/>
              <w:rPr>
                <w:sz w:val="19"/>
                <w:szCs w:val="19"/>
                <w:color w:val="auto"/>
              </w:rPr>
            </w:pPr>
          </w:p>
        </w:tc>
      </w:tr>
      <w:tr>
        <w:trPr>
          <w:trHeight w:val="215"/>
        </w:trPr>
        <w:tc>
          <w:tcPr>
            <w:tcW w:w="1580" w:type="dxa"/>
            <w:vAlign w:val="bottom"/>
            <w:tcBorders>
              <w:bottom w:val="single" w:sz="8" w:color="A6A6A6"/>
            </w:tcBorders>
          </w:tcPr>
          <w:p>
            <w:pPr>
              <w:ind w:left="100"/>
              <w:spacing w:after="0" w:line="215" w:lineRule="exact"/>
              <w:rPr>
                <w:sz w:val="20"/>
                <w:szCs w:val="20"/>
                <w:color w:val="auto"/>
              </w:rPr>
            </w:pPr>
            <w:r>
              <w:rPr>
                <w:rFonts w:ascii="Calibri" w:cs="Calibri" w:eastAsia="Calibri" w:hAnsi="Calibri"/>
                <w:sz w:val="18"/>
                <w:szCs w:val="18"/>
                <w:color w:val="auto"/>
              </w:rPr>
              <w:t>Maximum</w:t>
            </w:r>
          </w:p>
        </w:tc>
        <w:tc>
          <w:tcPr>
            <w:tcW w:w="1820" w:type="dxa"/>
            <w:vAlign w:val="bottom"/>
            <w:tcBorders>
              <w:bottom w:val="single" w:sz="8" w:color="A6A6A6"/>
            </w:tcBorders>
          </w:tcPr>
          <w:p>
            <w:pPr>
              <w:jc w:val="center"/>
              <w:ind w:left="34"/>
              <w:spacing w:after="0" w:line="215" w:lineRule="exact"/>
              <w:rPr>
                <w:sz w:val="20"/>
                <w:szCs w:val="20"/>
                <w:color w:val="auto"/>
              </w:rPr>
            </w:pPr>
            <w:r>
              <w:rPr>
                <w:rFonts w:ascii="Calibri" w:cs="Calibri" w:eastAsia="Calibri" w:hAnsi="Calibri"/>
                <w:sz w:val="18"/>
                <w:szCs w:val="18"/>
                <w:color w:val="auto"/>
                <w:w w:val="97"/>
              </w:rPr>
              <w:t>$396,000,000</w:t>
            </w:r>
          </w:p>
        </w:tc>
        <w:tc>
          <w:tcPr>
            <w:tcW w:w="17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0"/>
        </w:trPr>
        <w:tc>
          <w:tcPr>
            <w:tcW w:w="1580" w:type="dxa"/>
            <w:vAlign w:val="bottom"/>
            <w:tcBorders>
              <w:bottom w:val="single" w:sz="8" w:color="A6A6A6"/>
            </w:tcBorders>
          </w:tcPr>
          <w:p>
            <w:pPr>
              <w:ind w:left="100"/>
              <w:spacing w:after="0" w:line="210" w:lineRule="exact"/>
              <w:rPr>
                <w:sz w:val="20"/>
                <w:szCs w:val="20"/>
                <w:color w:val="auto"/>
              </w:rPr>
            </w:pPr>
            <w:r>
              <w:rPr>
                <w:rFonts w:ascii="Calibri" w:cs="Calibri" w:eastAsia="Calibri" w:hAnsi="Calibri"/>
                <w:sz w:val="18"/>
                <w:szCs w:val="18"/>
                <w:color w:val="auto"/>
              </w:rPr>
              <w:t>Target</w:t>
            </w:r>
          </w:p>
        </w:tc>
        <w:tc>
          <w:tcPr>
            <w:tcW w:w="1820" w:type="dxa"/>
            <w:vAlign w:val="bottom"/>
            <w:tcBorders>
              <w:bottom w:val="single" w:sz="8" w:color="A6A6A6"/>
            </w:tcBorders>
          </w:tcPr>
          <w:p>
            <w:pPr>
              <w:jc w:val="center"/>
              <w:ind w:left="34"/>
              <w:spacing w:after="0" w:line="210" w:lineRule="exact"/>
              <w:rPr>
                <w:sz w:val="20"/>
                <w:szCs w:val="20"/>
                <w:color w:val="auto"/>
              </w:rPr>
            </w:pPr>
            <w:r>
              <w:rPr>
                <w:rFonts w:ascii="Calibri" w:cs="Calibri" w:eastAsia="Calibri" w:hAnsi="Calibri"/>
                <w:sz w:val="18"/>
                <w:szCs w:val="18"/>
                <w:color w:val="auto"/>
                <w:w w:val="97"/>
              </w:rPr>
              <w:t>$330,000,000</w:t>
            </w:r>
          </w:p>
        </w:tc>
        <w:tc>
          <w:tcPr>
            <w:tcW w:w="1760" w:type="dxa"/>
            <w:vAlign w:val="bottom"/>
          </w:tcPr>
          <w:p>
            <w:pPr>
              <w:jc w:val="center"/>
              <w:ind w:right="17"/>
              <w:spacing w:after="0" w:line="195" w:lineRule="exact"/>
              <w:rPr>
                <w:sz w:val="20"/>
                <w:szCs w:val="20"/>
                <w:color w:val="auto"/>
              </w:rPr>
            </w:pPr>
            <w:r>
              <w:rPr>
                <w:rFonts w:ascii="Calibri" w:cs="Calibri" w:eastAsia="Calibri" w:hAnsi="Calibri"/>
                <w:sz w:val="18"/>
                <w:szCs w:val="18"/>
                <w:color w:val="auto"/>
                <w:w w:val="97"/>
              </w:rPr>
              <w:t>$423,000,000</w:t>
            </w:r>
          </w:p>
        </w:tc>
        <w:tc>
          <w:tcPr>
            <w:tcW w:w="1480" w:type="dxa"/>
            <w:vAlign w:val="bottom"/>
          </w:tcPr>
          <w:p>
            <w:pPr>
              <w:jc w:val="right"/>
              <w:ind w:right="495"/>
              <w:spacing w:after="0" w:line="195" w:lineRule="exact"/>
              <w:rPr>
                <w:sz w:val="20"/>
                <w:szCs w:val="20"/>
                <w:color w:val="auto"/>
              </w:rPr>
            </w:pPr>
            <w:r>
              <w:rPr>
                <w:rFonts w:ascii="Calibri" w:cs="Calibri" w:eastAsia="Calibri" w:hAnsi="Calibri"/>
                <w:sz w:val="18"/>
                <w:szCs w:val="18"/>
                <w:color w:val="auto"/>
              </w:rPr>
              <w:t>200%</w:t>
            </w:r>
          </w:p>
        </w:tc>
      </w:tr>
      <w:tr>
        <w:trPr>
          <w:trHeight w:val="217"/>
        </w:trPr>
        <w:tc>
          <w:tcPr>
            <w:tcW w:w="1580" w:type="dxa"/>
            <w:vAlign w:val="bottom"/>
            <w:tcBorders>
              <w:bottom w:val="single" w:sz="8" w:color="AF0000"/>
            </w:tcBorders>
          </w:tcPr>
          <w:p>
            <w:pPr>
              <w:ind w:left="100"/>
              <w:spacing w:after="0" w:line="209" w:lineRule="exact"/>
              <w:rPr>
                <w:sz w:val="20"/>
                <w:szCs w:val="20"/>
                <w:color w:val="auto"/>
              </w:rPr>
            </w:pPr>
            <w:r>
              <w:rPr>
                <w:rFonts w:ascii="Calibri" w:cs="Calibri" w:eastAsia="Calibri" w:hAnsi="Calibri"/>
                <w:sz w:val="18"/>
                <w:szCs w:val="18"/>
                <w:color w:val="auto"/>
              </w:rPr>
              <w:t>Threshold</w:t>
            </w:r>
          </w:p>
        </w:tc>
        <w:tc>
          <w:tcPr>
            <w:tcW w:w="1820" w:type="dxa"/>
            <w:vAlign w:val="bottom"/>
            <w:tcBorders>
              <w:bottom w:val="single" w:sz="8" w:color="AF0000"/>
            </w:tcBorders>
          </w:tcPr>
          <w:p>
            <w:pPr>
              <w:jc w:val="center"/>
              <w:ind w:left="34"/>
              <w:spacing w:after="0" w:line="209" w:lineRule="exact"/>
              <w:rPr>
                <w:sz w:val="20"/>
                <w:szCs w:val="20"/>
                <w:color w:val="auto"/>
              </w:rPr>
            </w:pPr>
            <w:r>
              <w:rPr>
                <w:rFonts w:ascii="Calibri" w:cs="Calibri" w:eastAsia="Calibri" w:hAnsi="Calibri"/>
                <w:sz w:val="18"/>
                <w:szCs w:val="18"/>
                <w:color w:val="auto"/>
                <w:w w:val="97"/>
              </w:rPr>
              <w:t>$264,000,000</w:t>
            </w:r>
          </w:p>
        </w:tc>
        <w:tc>
          <w:tcPr>
            <w:tcW w:w="1760" w:type="dxa"/>
            <w:vAlign w:val="bottom"/>
            <w:tcBorders>
              <w:bottom w:val="single" w:sz="8" w:color="AF0000"/>
            </w:tcBorders>
          </w:tcPr>
          <w:p>
            <w:pPr>
              <w:spacing w:after="0"/>
              <w:rPr>
                <w:sz w:val="18"/>
                <w:szCs w:val="18"/>
                <w:color w:val="auto"/>
              </w:rPr>
            </w:pPr>
          </w:p>
        </w:tc>
        <w:tc>
          <w:tcPr>
            <w:tcW w:w="1480" w:type="dxa"/>
            <w:vAlign w:val="bottom"/>
            <w:tcBorders>
              <w:bottom w:val="single" w:sz="8" w:color="AF0000"/>
            </w:tcBorders>
          </w:tcPr>
          <w:p>
            <w:pPr>
              <w:spacing w:after="0"/>
              <w:rPr>
                <w:sz w:val="18"/>
                <w:szCs w:val="18"/>
                <w:color w:val="auto"/>
              </w:rPr>
            </w:pPr>
          </w:p>
        </w:tc>
      </w:tr>
    </w:tbl>
    <w:p>
      <w:pPr>
        <w:spacing w:after="0" w:line="183" w:lineRule="exact"/>
        <w:rPr>
          <w:sz w:val="20"/>
          <w:szCs w:val="20"/>
          <w:color w:val="auto"/>
        </w:rPr>
      </w:pPr>
    </w:p>
    <w:p>
      <w:pPr>
        <w:ind w:left="200" w:right="379"/>
        <w:spacing w:after="0" w:line="214" w:lineRule="auto"/>
        <w:rPr>
          <w:sz w:val="20"/>
          <w:szCs w:val="20"/>
          <w:color w:val="auto"/>
        </w:rPr>
      </w:pPr>
      <w:r>
        <w:rPr>
          <w:rFonts w:ascii="Calibri" w:cs="Calibri" w:eastAsia="Calibri" w:hAnsi="Calibri"/>
          <w:sz w:val="18"/>
          <w:szCs w:val="18"/>
          <w:color w:val="auto"/>
        </w:rPr>
        <w:t>The Compensaton Commitee and the Board further determined that the 2</w:t>
      </w:r>
      <w:r>
        <w:rPr>
          <w:rFonts w:ascii="Calibri" w:cs="Calibri" w:eastAsia="Calibri" w:hAnsi="Calibri"/>
          <w:sz w:val="26"/>
          <w:szCs w:val="26"/>
          <w:color w:val="auto"/>
          <w:vertAlign w:val="superscript"/>
        </w:rPr>
        <w:t>nd</w:t>
      </w:r>
      <w:r>
        <w:rPr>
          <w:rFonts w:ascii="Calibri" w:cs="Calibri" w:eastAsia="Calibri" w:hAnsi="Calibri"/>
          <w:sz w:val="18"/>
          <w:szCs w:val="18"/>
          <w:color w:val="auto"/>
        </w:rPr>
        <w:t xml:space="preserve"> Quartle of the rTSR Multplier had been met with respect to the Three-Year Performance Period for the PSUs granted in 2021. Accordingly, the following shares were issued to the NEOs in 2024 under the PSU agreements having three-year performance periods as follows with respect to the 2021 fscal year:</w:t>
      </w:r>
    </w:p>
    <w:p>
      <w:pPr>
        <w:spacing w:after="0" w:line="181" w:lineRule="exact"/>
        <w:rPr>
          <w:sz w:val="20"/>
          <w:szCs w:val="20"/>
          <w:color w:val="auto"/>
        </w:rPr>
      </w:pPr>
    </w:p>
    <w:tbl>
      <w:tblPr>
        <w:tblLayout w:type="fixed"/>
        <w:tblInd w:w="1080" w:type="dxa"/>
        <w:tblCellMar>
          <w:top w:w="0" w:type="dxa"/>
          <w:left w:w="0" w:type="dxa"/>
          <w:bottom w:w="0" w:type="dxa"/>
          <w:right w:w="0" w:type="dxa"/>
        </w:tblCellMar>
      </w:tblPr>
      <w:tr>
        <w:trPr>
          <w:trHeight w:val="221"/>
        </w:trPr>
        <w:tc>
          <w:tcPr>
            <w:tcW w:w="1500" w:type="dxa"/>
            <w:vAlign w:val="bottom"/>
            <w:tcBorders>
              <w:top w:val="single" w:sz="8" w:color="AF0000"/>
            </w:tcBorders>
          </w:tcPr>
          <w:p>
            <w:pPr>
              <w:spacing w:after="0"/>
              <w:rPr>
                <w:sz w:val="19"/>
                <w:szCs w:val="19"/>
                <w:color w:val="auto"/>
              </w:rPr>
            </w:pPr>
          </w:p>
        </w:tc>
        <w:tc>
          <w:tcPr>
            <w:tcW w:w="880" w:type="dxa"/>
            <w:vAlign w:val="bottom"/>
            <w:tcBorders>
              <w:top w:val="single" w:sz="8" w:color="AF0000"/>
            </w:tcBorders>
          </w:tcPr>
          <w:p>
            <w:pPr>
              <w:jc w:val="center"/>
              <w:spacing w:after="0"/>
              <w:rPr>
                <w:sz w:val="20"/>
                <w:szCs w:val="20"/>
                <w:color w:val="auto"/>
              </w:rPr>
            </w:pPr>
            <w:r>
              <w:rPr>
                <w:rFonts w:ascii="Calibri" w:cs="Calibri" w:eastAsia="Calibri" w:hAnsi="Calibri"/>
                <w:sz w:val="18"/>
                <w:szCs w:val="18"/>
                <w:b w:val="1"/>
                <w:bCs w:val="1"/>
                <w:color w:val="auto"/>
                <w:w w:val="94"/>
              </w:rPr>
              <w:t>Year</w:t>
            </w:r>
          </w:p>
        </w:tc>
        <w:tc>
          <w:tcPr>
            <w:tcW w:w="800" w:type="dxa"/>
            <w:vAlign w:val="bottom"/>
            <w:tcBorders>
              <w:top w:val="single" w:sz="8" w:color="AF0000"/>
            </w:tcBorders>
          </w:tcPr>
          <w:p>
            <w:pPr>
              <w:jc w:val="center"/>
              <w:spacing w:after="0"/>
              <w:rPr>
                <w:sz w:val="20"/>
                <w:szCs w:val="20"/>
                <w:color w:val="auto"/>
              </w:rPr>
            </w:pPr>
            <w:r>
              <w:rPr>
                <w:rFonts w:ascii="Calibri" w:cs="Calibri" w:eastAsia="Calibri" w:hAnsi="Calibri"/>
                <w:sz w:val="18"/>
                <w:szCs w:val="18"/>
                <w:b w:val="1"/>
                <w:bCs w:val="1"/>
                <w:color w:val="auto"/>
                <w:w w:val="95"/>
              </w:rPr>
              <w:t>Target</w:t>
            </w:r>
          </w:p>
        </w:tc>
        <w:tc>
          <w:tcPr>
            <w:tcW w:w="780" w:type="dxa"/>
            <w:vAlign w:val="bottom"/>
            <w:tcBorders>
              <w:top w:val="single" w:sz="8" w:color="AF0000"/>
            </w:tcBorders>
          </w:tcPr>
          <w:p>
            <w:pPr>
              <w:jc w:val="center"/>
              <w:spacing w:after="0"/>
              <w:rPr>
                <w:sz w:val="20"/>
                <w:szCs w:val="20"/>
                <w:color w:val="auto"/>
              </w:rPr>
            </w:pPr>
            <w:r>
              <w:rPr>
                <w:rFonts w:ascii="Calibri" w:cs="Calibri" w:eastAsia="Calibri" w:hAnsi="Calibri"/>
                <w:sz w:val="18"/>
                <w:szCs w:val="18"/>
                <w:b w:val="1"/>
                <w:bCs w:val="1"/>
                <w:color w:val="auto"/>
                <w:w w:val="91"/>
              </w:rPr>
              <w:t>FCF</w:t>
            </w:r>
          </w:p>
        </w:tc>
        <w:tc>
          <w:tcPr>
            <w:tcW w:w="1000" w:type="dxa"/>
            <w:vAlign w:val="bottom"/>
            <w:tcBorders>
              <w:top w:val="single" w:sz="8" w:color="AF0000"/>
            </w:tcBorders>
          </w:tcPr>
          <w:p>
            <w:pPr>
              <w:jc w:val="center"/>
              <w:spacing w:after="0"/>
              <w:rPr>
                <w:sz w:val="20"/>
                <w:szCs w:val="20"/>
                <w:color w:val="auto"/>
              </w:rPr>
            </w:pPr>
            <w:r>
              <w:rPr>
                <w:rFonts w:ascii="Calibri" w:cs="Calibri" w:eastAsia="Calibri" w:hAnsi="Calibri"/>
                <w:sz w:val="18"/>
                <w:szCs w:val="18"/>
                <w:b w:val="1"/>
                <w:bCs w:val="1"/>
                <w:color w:val="auto"/>
              </w:rPr>
              <w:t>rTSR</w:t>
            </w:r>
          </w:p>
        </w:tc>
        <w:tc>
          <w:tcPr>
            <w:tcW w:w="820" w:type="dxa"/>
            <w:vAlign w:val="bottom"/>
            <w:tcBorders>
              <w:top w:val="single" w:sz="8" w:color="AF0000"/>
            </w:tcBorders>
          </w:tcPr>
          <w:p>
            <w:pPr>
              <w:jc w:val="center"/>
              <w:spacing w:after="0"/>
              <w:rPr>
                <w:sz w:val="20"/>
                <w:szCs w:val="20"/>
                <w:color w:val="auto"/>
              </w:rPr>
            </w:pPr>
            <w:r>
              <w:rPr>
                <w:rFonts w:ascii="Calibri" w:cs="Calibri" w:eastAsia="Calibri" w:hAnsi="Calibri"/>
                <w:sz w:val="18"/>
                <w:szCs w:val="18"/>
                <w:b w:val="1"/>
                <w:bCs w:val="1"/>
                <w:color w:val="auto"/>
                <w:w w:val="94"/>
              </w:rPr>
              <w:t>Total</w:t>
            </w:r>
          </w:p>
        </w:tc>
        <w:tc>
          <w:tcPr>
            <w:tcW w:w="1080" w:type="dxa"/>
            <w:vAlign w:val="bottom"/>
            <w:tcBorders>
              <w:top w:val="single" w:sz="8" w:color="AF0000"/>
            </w:tcBorders>
          </w:tcPr>
          <w:p>
            <w:pPr>
              <w:jc w:val="center"/>
              <w:spacing w:after="0"/>
              <w:rPr>
                <w:sz w:val="20"/>
                <w:szCs w:val="20"/>
                <w:color w:val="auto"/>
              </w:rPr>
            </w:pPr>
            <w:r>
              <w:rPr>
                <w:rFonts w:ascii="Calibri" w:cs="Calibri" w:eastAsia="Calibri" w:hAnsi="Calibri"/>
                <w:sz w:val="18"/>
                <w:szCs w:val="18"/>
                <w:b w:val="1"/>
                <w:bCs w:val="1"/>
                <w:color w:val="auto"/>
                <w:w w:val="96"/>
              </w:rPr>
              <w:t>Number of</w:t>
            </w:r>
          </w:p>
        </w:tc>
      </w:tr>
      <w:tr>
        <w:trPr>
          <w:trHeight w:val="215"/>
        </w:trPr>
        <w:tc>
          <w:tcPr>
            <w:tcW w:w="1500" w:type="dxa"/>
            <w:vAlign w:val="bottom"/>
          </w:tcPr>
          <w:p>
            <w:pPr>
              <w:ind w:left="80"/>
              <w:spacing w:after="0" w:line="215" w:lineRule="exact"/>
              <w:rPr>
                <w:sz w:val="20"/>
                <w:szCs w:val="20"/>
                <w:color w:val="auto"/>
              </w:rPr>
            </w:pPr>
            <w:r>
              <w:rPr>
                <w:rFonts w:ascii="Calibri" w:cs="Calibri" w:eastAsia="Calibri" w:hAnsi="Calibri"/>
                <w:sz w:val="18"/>
                <w:szCs w:val="18"/>
                <w:b w:val="1"/>
                <w:bCs w:val="1"/>
                <w:color w:val="auto"/>
              </w:rPr>
              <w:t>Named Executve</w:t>
            </w:r>
          </w:p>
        </w:tc>
        <w:tc>
          <w:tcPr>
            <w:tcW w:w="8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Granted</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PSU</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Metric</w:t>
            </w:r>
          </w:p>
        </w:tc>
        <w:tc>
          <w:tcPr>
            <w:tcW w:w="10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Multplier</w:t>
            </w:r>
          </w:p>
        </w:tc>
        <w:tc>
          <w:tcPr>
            <w:tcW w:w="82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8"/>
              </w:rPr>
              <w:t>Payout</w:t>
            </w:r>
          </w:p>
        </w:tc>
        <w:tc>
          <w:tcPr>
            <w:tcW w:w="10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6"/>
              </w:rPr>
              <w:t>Shares</w:t>
            </w:r>
          </w:p>
        </w:tc>
      </w:tr>
      <w:tr>
        <w:trPr>
          <w:trHeight w:val="216"/>
        </w:trPr>
        <w:tc>
          <w:tcPr>
            <w:tcW w:w="1500" w:type="dxa"/>
            <w:vAlign w:val="bottom"/>
          </w:tcPr>
          <w:p>
            <w:pPr>
              <w:ind w:left="80"/>
              <w:spacing w:after="0" w:line="216" w:lineRule="exact"/>
              <w:rPr>
                <w:sz w:val="20"/>
                <w:szCs w:val="20"/>
                <w:color w:val="auto"/>
              </w:rPr>
            </w:pPr>
            <w:r>
              <w:rPr>
                <w:rFonts w:ascii="Calibri" w:cs="Calibri" w:eastAsia="Calibri" w:hAnsi="Calibri"/>
                <w:sz w:val="18"/>
                <w:szCs w:val="18"/>
                <w:b w:val="1"/>
                <w:bCs w:val="1"/>
                <w:color w:val="auto"/>
              </w:rPr>
              <w:t>Ofcer</w:t>
            </w:r>
          </w:p>
        </w:tc>
        <w:tc>
          <w:tcPr>
            <w:tcW w:w="880" w:type="dxa"/>
            <w:vAlign w:val="bottom"/>
          </w:tcPr>
          <w:p>
            <w:pPr>
              <w:spacing w:after="0"/>
              <w:rPr>
                <w:sz w:val="18"/>
                <w:szCs w:val="18"/>
                <w:color w:val="auto"/>
              </w:rPr>
            </w:pPr>
          </w:p>
        </w:tc>
        <w:tc>
          <w:tcPr>
            <w:tcW w:w="8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Shares</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1"/>
              </w:rPr>
              <w:t>%</w:t>
            </w:r>
          </w:p>
        </w:tc>
        <w:tc>
          <w:tcPr>
            <w:tcW w:w="10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w:t>
            </w:r>
          </w:p>
        </w:tc>
        <w:tc>
          <w:tcPr>
            <w:tcW w:w="8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1"/>
              </w:rPr>
              <w:t>%</w:t>
            </w:r>
          </w:p>
        </w:tc>
        <w:tc>
          <w:tcPr>
            <w:tcW w:w="10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Issued</w:t>
            </w:r>
          </w:p>
        </w:tc>
      </w:tr>
      <w:tr>
        <w:trPr>
          <w:trHeight w:val="30"/>
        </w:trPr>
        <w:tc>
          <w:tcPr>
            <w:tcW w:w="1500" w:type="dxa"/>
            <w:vAlign w:val="bottom"/>
            <w:tcBorders>
              <w:bottom w:val="single" w:sz="8" w:color="AF0000"/>
            </w:tcBorders>
          </w:tcPr>
          <w:p>
            <w:pPr>
              <w:spacing w:after="0"/>
              <w:rPr>
                <w:sz w:val="2"/>
                <w:szCs w:val="2"/>
                <w:color w:val="auto"/>
              </w:rPr>
            </w:pPr>
          </w:p>
        </w:tc>
        <w:tc>
          <w:tcPr>
            <w:tcW w:w="880" w:type="dxa"/>
            <w:vAlign w:val="bottom"/>
            <w:tcBorders>
              <w:bottom w:val="single" w:sz="8" w:color="AF0000"/>
            </w:tcBorders>
          </w:tcPr>
          <w:p>
            <w:pPr>
              <w:spacing w:after="0"/>
              <w:rPr>
                <w:sz w:val="2"/>
                <w:szCs w:val="2"/>
                <w:color w:val="auto"/>
              </w:rPr>
            </w:pPr>
          </w:p>
        </w:tc>
        <w:tc>
          <w:tcPr>
            <w:tcW w:w="800" w:type="dxa"/>
            <w:vAlign w:val="bottom"/>
            <w:tcBorders>
              <w:bottom w:val="single" w:sz="8" w:color="AF0000"/>
            </w:tcBorders>
          </w:tcPr>
          <w:p>
            <w:pPr>
              <w:spacing w:after="0"/>
              <w:rPr>
                <w:sz w:val="2"/>
                <w:szCs w:val="2"/>
                <w:color w:val="auto"/>
              </w:rPr>
            </w:pPr>
          </w:p>
        </w:tc>
        <w:tc>
          <w:tcPr>
            <w:tcW w:w="780" w:type="dxa"/>
            <w:vAlign w:val="bottom"/>
            <w:tcBorders>
              <w:bottom w:val="single" w:sz="8" w:color="AF0000"/>
            </w:tcBorders>
          </w:tcPr>
          <w:p>
            <w:pPr>
              <w:spacing w:after="0"/>
              <w:rPr>
                <w:sz w:val="2"/>
                <w:szCs w:val="2"/>
                <w:color w:val="auto"/>
              </w:rPr>
            </w:pPr>
          </w:p>
        </w:tc>
        <w:tc>
          <w:tcPr>
            <w:tcW w:w="1000" w:type="dxa"/>
            <w:vAlign w:val="bottom"/>
            <w:tcBorders>
              <w:bottom w:val="single" w:sz="8" w:color="AF0000"/>
            </w:tcBorders>
          </w:tcPr>
          <w:p>
            <w:pPr>
              <w:spacing w:after="0"/>
              <w:rPr>
                <w:sz w:val="2"/>
                <w:szCs w:val="2"/>
                <w:color w:val="auto"/>
              </w:rPr>
            </w:pPr>
          </w:p>
        </w:tc>
        <w:tc>
          <w:tcPr>
            <w:tcW w:w="820" w:type="dxa"/>
            <w:vAlign w:val="bottom"/>
            <w:tcBorders>
              <w:bottom w:val="single" w:sz="8" w:color="AF0000"/>
            </w:tcBorders>
          </w:tcPr>
          <w:p>
            <w:pPr>
              <w:spacing w:after="0"/>
              <w:rPr>
                <w:sz w:val="2"/>
                <w:szCs w:val="2"/>
                <w:color w:val="auto"/>
              </w:rPr>
            </w:pPr>
          </w:p>
        </w:tc>
        <w:tc>
          <w:tcPr>
            <w:tcW w:w="1080" w:type="dxa"/>
            <w:vAlign w:val="bottom"/>
            <w:tcBorders>
              <w:bottom w:val="single" w:sz="8" w:color="AF0000"/>
            </w:tcBorders>
          </w:tcPr>
          <w:p>
            <w:pPr>
              <w:spacing w:after="0"/>
              <w:rPr>
                <w:sz w:val="2"/>
                <w:szCs w:val="2"/>
                <w:color w:val="auto"/>
              </w:rPr>
            </w:pPr>
          </w:p>
        </w:tc>
      </w:tr>
      <w:tr>
        <w:trPr>
          <w:trHeight w:val="194"/>
        </w:trPr>
        <w:tc>
          <w:tcPr>
            <w:tcW w:w="1500" w:type="dxa"/>
            <w:vAlign w:val="bottom"/>
          </w:tcPr>
          <w:p>
            <w:pPr>
              <w:ind w:left="80"/>
              <w:spacing w:after="0" w:line="194" w:lineRule="exact"/>
              <w:rPr>
                <w:sz w:val="20"/>
                <w:szCs w:val="20"/>
                <w:color w:val="auto"/>
              </w:rPr>
            </w:pPr>
            <w:r>
              <w:rPr>
                <w:rFonts w:ascii="Calibri" w:cs="Calibri" w:eastAsia="Calibri" w:hAnsi="Calibri"/>
                <w:sz w:val="18"/>
                <w:szCs w:val="18"/>
                <w:color w:val="auto"/>
              </w:rPr>
              <w:t>Fred P.</w:t>
            </w:r>
          </w:p>
        </w:tc>
        <w:tc>
          <w:tcPr>
            <w:tcW w:w="880" w:type="dxa"/>
            <w:vAlign w:val="bottom"/>
          </w:tcPr>
          <w:p>
            <w:pPr>
              <w:jc w:val="center"/>
              <w:spacing w:after="0" w:line="194" w:lineRule="exact"/>
              <w:rPr>
                <w:sz w:val="20"/>
                <w:szCs w:val="20"/>
                <w:color w:val="auto"/>
              </w:rPr>
            </w:pPr>
            <w:r>
              <w:rPr>
                <w:rFonts w:ascii="Calibri" w:cs="Calibri" w:eastAsia="Calibri" w:hAnsi="Calibri"/>
                <w:sz w:val="18"/>
                <w:szCs w:val="18"/>
                <w:color w:val="auto"/>
                <w:w w:val="98"/>
              </w:rPr>
              <w:t>2021</w:t>
            </w:r>
          </w:p>
        </w:tc>
        <w:tc>
          <w:tcPr>
            <w:tcW w:w="800" w:type="dxa"/>
            <w:vAlign w:val="bottom"/>
          </w:tcPr>
          <w:p>
            <w:pPr>
              <w:jc w:val="center"/>
              <w:spacing w:after="0" w:line="194" w:lineRule="exact"/>
              <w:rPr>
                <w:sz w:val="20"/>
                <w:szCs w:val="20"/>
                <w:color w:val="auto"/>
              </w:rPr>
            </w:pPr>
            <w:r>
              <w:rPr>
                <w:rFonts w:ascii="Calibri" w:cs="Calibri" w:eastAsia="Calibri" w:hAnsi="Calibri"/>
                <w:sz w:val="18"/>
                <w:szCs w:val="18"/>
                <w:color w:val="auto"/>
              </w:rPr>
              <w:t>9,481</w:t>
            </w:r>
          </w:p>
        </w:tc>
        <w:tc>
          <w:tcPr>
            <w:tcW w:w="780" w:type="dxa"/>
            <w:vAlign w:val="bottom"/>
          </w:tcPr>
          <w:p>
            <w:pPr>
              <w:jc w:val="center"/>
              <w:spacing w:after="0" w:line="194" w:lineRule="exact"/>
              <w:rPr>
                <w:sz w:val="20"/>
                <w:szCs w:val="20"/>
                <w:color w:val="auto"/>
              </w:rPr>
            </w:pPr>
            <w:r>
              <w:rPr>
                <w:rFonts w:ascii="Calibri" w:cs="Calibri" w:eastAsia="Calibri" w:hAnsi="Calibri"/>
                <w:sz w:val="18"/>
                <w:szCs w:val="18"/>
                <w:color w:val="auto"/>
                <w:w w:val="99"/>
              </w:rPr>
              <w:t>200%</w:t>
            </w:r>
          </w:p>
        </w:tc>
        <w:tc>
          <w:tcPr>
            <w:tcW w:w="1000" w:type="dxa"/>
            <w:vAlign w:val="bottom"/>
          </w:tcPr>
          <w:p>
            <w:pPr>
              <w:jc w:val="center"/>
              <w:spacing w:after="0" w:line="194" w:lineRule="exact"/>
              <w:rPr>
                <w:sz w:val="20"/>
                <w:szCs w:val="20"/>
                <w:color w:val="auto"/>
              </w:rPr>
            </w:pPr>
            <w:r>
              <w:rPr>
                <w:rFonts w:ascii="Calibri" w:cs="Calibri" w:eastAsia="Calibri" w:hAnsi="Calibri"/>
                <w:sz w:val="18"/>
                <w:szCs w:val="18"/>
                <w:color w:val="auto"/>
                <w:w w:val="94"/>
              </w:rPr>
              <w:t>100%</w:t>
            </w:r>
          </w:p>
        </w:tc>
        <w:tc>
          <w:tcPr>
            <w:tcW w:w="820" w:type="dxa"/>
            <w:vAlign w:val="bottom"/>
          </w:tcPr>
          <w:p>
            <w:pPr>
              <w:jc w:val="center"/>
              <w:spacing w:after="0" w:line="194" w:lineRule="exact"/>
              <w:rPr>
                <w:sz w:val="20"/>
                <w:szCs w:val="20"/>
                <w:color w:val="auto"/>
              </w:rPr>
            </w:pPr>
            <w:r>
              <w:rPr>
                <w:rFonts w:ascii="Calibri" w:cs="Calibri" w:eastAsia="Calibri" w:hAnsi="Calibri"/>
                <w:sz w:val="18"/>
                <w:szCs w:val="18"/>
                <w:color w:val="auto"/>
                <w:w w:val="99"/>
              </w:rPr>
              <w:t>200%</w:t>
            </w:r>
          </w:p>
        </w:tc>
        <w:tc>
          <w:tcPr>
            <w:tcW w:w="1080" w:type="dxa"/>
            <w:vAlign w:val="bottom"/>
          </w:tcPr>
          <w:p>
            <w:pPr>
              <w:jc w:val="center"/>
              <w:spacing w:after="0" w:line="194" w:lineRule="exact"/>
              <w:rPr>
                <w:sz w:val="20"/>
                <w:szCs w:val="20"/>
                <w:color w:val="auto"/>
              </w:rPr>
            </w:pPr>
            <w:r>
              <w:rPr>
                <w:rFonts w:ascii="Calibri" w:cs="Calibri" w:eastAsia="Calibri" w:hAnsi="Calibri"/>
                <w:sz w:val="18"/>
                <w:szCs w:val="18"/>
                <w:color w:val="auto"/>
                <w:w w:val="99"/>
              </w:rPr>
              <w:t>18,962</w:t>
            </w:r>
          </w:p>
        </w:tc>
      </w:tr>
      <w:tr>
        <w:trPr>
          <w:trHeight w:val="215"/>
        </w:trPr>
        <w:tc>
          <w:tcPr>
            <w:tcW w:w="1500" w:type="dxa"/>
            <w:vAlign w:val="bottom"/>
          </w:tcPr>
          <w:p>
            <w:pPr>
              <w:ind w:left="80"/>
              <w:spacing w:after="0" w:line="215" w:lineRule="exact"/>
              <w:rPr>
                <w:sz w:val="20"/>
                <w:szCs w:val="20"/>
                <w:color w:val="auto"/>
              </w:rPr>
            </w:pPr>
            <w:r>
              <w:rPr>
                <w:rFonts w:ascii="Calibri" w:cs="Calibri" w:eastAsia="Calibri" w:hAnsi="Calibri"/>
                <w:sz w:val="18"/>
                <w:szCs w:val="18"/>
                <w:color w:val="auto"/>
              </w:rPr>
              <w:t>Lampropoulos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1500" w:type="dxa"/>
            <w:vAlign w:val="bottom"/>
            <w:tcBorders>
              <w:bottom w:val="single" w:sz="8" w:color="A6A6A6"/>
            </w:tcBorders>
          </w:tcPr>
          <w:p>
            <w:pPr>
              <w:spacing w:after="0"/>
              <w:rPr>
                <w:sz w:val="2"/>
                <w:szCs w:val="2"/>
                <w:color w:val="auto"/>
              </w:rPr>
            </w:pPr>
          </w:p>
        </w:tc>
        <w:tc>
          <w:tcPr>
            <w:tcW w:w="880" w:type="dxa"/>
            <w:vAlign w:val="bottom"/>
            <w:tcBorders>
              <w:bottom w:val="single" w:sz="8" w:color="A6A6A6"/>
            </w:tcBorders>
          </w:tcPr>
          <w:p>
            <w:pPr>
              <w:spacing w:after="0"/>
              <w:rPr>
                <w:sz w:val="2"/>
                <w:szCs w:val="2"/>
                <w:color w:val="auto"/>
              </w:rPr>
            </w:pPr>
          </w:p>
        </w:tc>
        <w:tc>
          <w:tcPr>
            <w:tcW w:w="800" w:type="dxa"/>
            <w:vAlign w:val="bottom"/>
            <w:tcBorders>
              <w:bottom w:val="single" w:sz="8" w:color="A6A6A6"/>
            </w:tcBorders>
          </w:tcPr>
          <w:p>
            <w:pPr>
              <w:spacing w:after="0"/>
              <w:rPr>
                <w:sz w:val="2"/>
                <w:szCs w:val="2"/>
                <w:color w:val="auto"/>
              </w:rPr>
            </w:pPr>
          </w:p>
        </w:tc>
        <w:tc>
          <w:tcPr>
            <w:tcW w:w="780" w:type="dxa"/>
            <w:vAlign w:val="bottom"/>
            <w:tcBorders>
              <w:bottom w:val="single" w:sz="8" w:color="A6A6A6"/>
            </w:tcBorders>
          </w:tcPr>
          <w:p>
            <w:pPr>
              <w:spacing w:after="0"/>
              <w:rPr>
                <w:sz w:val="2"/>
                <w:szCs w:val="2"/>
                <w:color w:val="auto"/>
              </w:rPr>
            </w:pPr>
          </w:p>
        </w:tc>
        <w:tc>
          <w:tcPr>
            <w:tcW w:w="1000" w:type="dxa"/>
            <w:vAlign w:val="bottom"/>
            <w:tcBorders>
              <w:bottom w:val="single" w:sz="8" w:color="A6A6A6"/>
            </w:tcBorders>
          </w:tcPr>
          <w:p>
            <w:pPr>
              <w:spacing w:after="0"/>
              <w:rPr>
                <w:sz w:val="2"/>
                <w:szCs w:val="2"/>
                <w:color w:val="auto"/>
              </w:rPr>
            </w:pPr>
          </w:p>
        </w:tc>
        <w:tc>
          <w:tcPr>
            <w:tcW w:w="820" w:type="dxa"/>
            <w:vAlign w:val="bottom"/>
            <w:tcBorders>
              <w:bottom w:val="single" w:sz="8" w:color="A6A6A6"/>
            </w:tcBorders>
          </w:tcPr>
          <w:p>
            <w:pPr>
              <w:spacing w:after="0"/>
              <w:rPr>
                <w:sz w:val="2"/>
                <w:szCs w:val="2"/>
                <w:color w:val="auto"/>
              </w:rPr>
            </w:pPr>
          </w:p>
        </w:tc>
        <w:tc>
          <w:tcPr>
            <w:tcW w:w="1080" w:type="dxa"/>
            <w:vAlign w:val="bottom"/>
            <w:tcBorders>
              <w:bottom w:val="single" w:sz="8" w:color="A6A6A6"/>
            </w:tcBorders>
          </w:tcPr>
          <w:p>
            <w:pPr>
              <w:spacing w:after="0"/>
              <w:rPr>
                <w:sz w:val="2"/>
                <w:szCs w:val="2"/>
                <w:color w:val="auto"/>
              </w:rPr>
            </w:pPr>
          </w:p>
        </w:tc>
      </w:tr>
      <w:tr>
        <w:trPr>
          <w:trHeight w:val="209"/>
        </w:trPr>
        <w:tc>
          <w:tcPr>
            <w:tcW w:w="150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Raul Parra</w:t>
            </w:r>
          </w:p>
        </w:tc>
        <w:tc>
          <w:tcPr>
            <w:tcW w:w="8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8"/>
              </w:rPr>
              <w:t>2021</w:t>
            </w:r>
          </w:p>
        </w:tc>
        <w:tc>
          <w:tcPr>
            <w:tcW w:w="80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rPr>
              <w:t>3,555</w:t>
            </w:r>
          </w:p>
        </w:tc>
        <w:tc>
          <w:tcPr>
            <w:tcW w:w="7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200%</w:t>
            </w:r>
          </w:p>
        </w:tc>
        <w:tc>
          <w:tcPr>
            <w:tcW w:w="100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4"/>
              </w:rPr>
              <w:t>100%</w:t>
            </w:r>
          </w:p>
        </w:tc>
        <w:tc>
          <w:tcPr>
            <w:tcW w:w="82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200%</w:t>
            </w:r>
          </w:p>
        </w:tc>
        <w:tc>
          <w:tcPr>
            <w:tcW w:w="10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7,110</w:t>
            </w:r>
          </w:p>
        </w:tc>
      </w:tr>
      <w:tr>
        <w:trPr>
          <w:trHeight w:val="209"/>
        </w:trPr>
        <w:tc>
          <w:tcPr>
            <w:tcW w:w="150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Joseph C. Wright</w:t>
            </w:r>
          </w:p>
        </w:tc>
        <w:tc>
          <w:tcPr>
            <w:tcW w:w="8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8"/>
              </w:rPr>
              <w:t>2021</w:t>
            </w:r>
          </w:p>
        </w:tc>
        <w:tc>
          <w:tcPr>
            <w:tcW w:w="80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rPr>
              <w:t>3,555</w:t>
            </w:r>
          </w:p>
        </w:tc>
        <w:tc>
          <w:tcPr>
            <w:tcW w:w="7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200%</w:t>
            </w:r>
          </w:p>
        </w:tc>
        <w:tc>
          <w:tcPr>
            <w:tcW w:w="100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4"/>
              </w:rPr>
              <w:t>100%</w:t>
            </w:r>
          </w:p>
        </w:tc>
        <w:tc>
          <w:tcPr>
            <w:tcW w:w="82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200%</w:t>
            </w:r>
          </w:p>
        </w:tc>
        <w:tc>
          <w:tcPr>
            <w:tcW w:w="10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7,110</w:t>
            </w:r>
          </w:p>
        </w:tc>
      </w:tr>
      <w:tr>
        <w:trPr>
          <w:trHeight w:val="210"/>
        </w:trPr>
        <w:tc>
          <w:tcPr>
            <w:tcW w:w="150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Neil W. Peterson</w:t>
            </w:r>
          </w:p>
        </w:tc>
        <w:tc>
          <w:tcPr>
            <w:tcW w:w="880" w:type="dxa"/>
            <w:vAlign w:val="bottom"/>
            <w:tcBorders>
              <w:bottom w:val="single" w:sz="8" w:color="A6A6A6"/>
            </w:tcBorders>
          </w:tcPr>
          <w:p>
            <w:pPr>
              <w:jc w:val="center"/>
              <w:spacing w:after="0"/>
              <w:rPr>
                <w:sz w:val="20"/>
                <w:szCs w:val="20"/>
                <w:color w:val="auto"/>
              </w:rPr>
            </w:pPr>
            <w:r>
              <w:rPr>
                <w:rFonts w:ascii="Calibri" w:cs="Calibri" w:eastAsia="Calibri" w:hAnsi="Calibri"/>
                <w:sz w:val="13"/>
                <w:szCs w:val="13"/>
                <w:color w:val="AF0000"/>
              </w:rPr>
              <w:t>(1)</w:t>
            </w:r>
          </w:p>
        </w:tc>
        <w:tc>
          <w:tcPr>
            <w:tcW w:w="80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71"/>
              </w:rPr>
              <w:t>-</w:t>
            </w:r>
          </w:p>
        </w:tc>
        <w:tc>
          <w:tcPr>
            <w:tcW w:w="100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71"/>
              </w:rPr>
              <w:t>-</w:t>
            </w:r>
          </w:p>
        </w:tc>
        <w:tc>
          <w:tcPr>
            <w:tcW w:w="10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rPr>
              <w:t>-</w:t>
            </w:r>
          </w:p>
        </w:tc>
      </w:tr>
      <w:tr>
        <w:trPr>
          <w:trHeight w:val="210"/>
        </w:trPr>
        <w:tc>
          <w:tcPr>
            <w:tcW w:w="150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Brian G. Lloyd</w:t>
            </w:r>
          </w:p>
        </w:tc>
        <w:tc>
          <w:tcPr>
            <w:tcW w:w="8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8"/>
              </w:rPr>
              <w:t>2021</w:t>
            </w:r>
          </w:p>
        </w:tc>
        <w:tc>
          <w:tcPr>
            <w:tcW w:w="80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rPr>
              <w:t>3,555</w:t>
            </w:r>
          </w:p>
        </w:tc>
        <w:tc>
          <w:tcPr>
            <w:tcW w:w="7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200%</w:t>
            </w:r>
          </w:p>
        </w:tc>
        <w:tc>
          <w:tcPr>
            <w:tcW w:w="100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4"/>
              </w:rPr>
              <w:t>100%</w:t>
            </w:r>
          </w:p>
        </w:tc>
        <w:tc>
          <w:tcPr>
            <w:tcW w:w="82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200%</w:t>
            </w:r>
          </w:p>
        </w:tc>
        <w:tc>
          <w:tcPr>
            <w:tcW w:w="10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7,110</w:t>
            </w:r>
          </w:p>
        </w:tc>
      </w:tr>
    </w:tbl>
    <w:p>
      <w:pPr>
        <w:spacing w:after="0" w:line="88" w:lineRule="exact"/>
        <w:rPr>
          <w:sz w:val="20"/>
          <w:szCs w:val="20"/>
          <w:color w:val="auto"/>
        </w:rPr>
      </w:pPr>
    </w:p>
    <w:p>
      <w:pPr>
        <w:ind w:left="880" w:hanging="320"/>
        <w:spacing w:after="0"/>
        <w:tabs>
          <w:tab w:leader="none" w:pos="880" w:val="left"/>
        </w:tabs>
        <w:numPr>
          <w:ilvl w:val="0"/>
          <w:numId w:val="73"/>
        </w:numPr>
        <w:rPr>
          <w:rFonts w:ascii="Calibri" w:cs="Calibri" w:eastAsia="Calibri" w:hAnsi="Calibri"/>
          <w:sz w:val="16"/>
          <w:szCs w:val="16"/>
          <w:color w:val="AF0000"/>
        </w:rPr>
      </w:pPr>
      <w:r>
        <w:rPr>
          <w:rFonts w:ascii="Calibri" w:cs="Calibri" w:eastAsia="Calibri" w:hAnsi="Calibri"/>
          <w:sz w:val="16"/>
          <w:szCs w:val="16"/>
          <w:color w:val="auto"/>
        </w:rPr>
        <w:t>Mr. Peterson was not awarded PSUs prior to his appointment as Chief Operatng Ofcer in April 2022.</w:t>
      </w:r>
    </w:p>
    <w:p>
      <w:pPr>
        <w:spacing w:after="0" w:line="100" w:lineRule="exact"/>
        <w:rPr>
          <w:sz w:val="20"/>
          <w:szCs w:val="20"/>
          <w:color w:val="auto"/>
        </w:rPr>
      </w:pPr>
    </w:p>
    <w:p>
      <w:pPr>
        <w:ind w:left="200" w:right="259"/>
        <w:spacing w:after="0" w:line="213" w:lineRule="auto"/>
        <w:rPr>
          <w:sz w:val="20"/>
          <w:szCs w:val="20"/>
          <w:color w:val="auto"/>
        </w:rPr>
      </w:pPr>
      <w:r>
        <w:rPr>
          <w:rFonts w:ascii="Calibri" w:cs="Calibri" w:eastAsia="Calibri" w:hAnsi="Calibri"/>
          <w:sz w:val="18"/>
          <w:szCs w:val="18"/>
          <w:color w:val="auto"/>
        </w:rPr>
        <w:t>The Board determined that the maximum level for the FCF Metric had been met with respect to the Target Cash Incentve for the Three-Year Performance Period for the PSUs granted in 2021. They further determined that, with respect to the Target Cash Incentve, the 2</w:t>
      </w:r>
      <w:r>
        <w:rPr>
          <w:rFonts w:ascii="Calibri" w:cs="Calibri" w:eastAsia="Calibri" w:hAnsi="Calibri"/>
          <w:sz w:val="26"/>
          <w:szCs w:val="26"/>
          <w:color w:val="auto"/>
          <w:vertAlign w:val="superscript"/>
        </w:rPr>
        <w:t>nd</w:t>
      </w:r>
      <w:r>
        <w:rPr>
          <w:rFonts w:ascii="Calibri" w:cs="Calibri" w:eastAsia="Calibri" w:hAnsi="Calibri"/>
          <w:sz w:val="18"/>
          <w:szCs w:val="18"/>
          <w:color w:val="auto"/>
        </w:rPr>
        <w:t xml:space="preserve"> Quartle of the rTSR Multplier had been met with respect to the Three-Year Performance Period for the PSUs granted to Mr. Lampropoulos in 2021. Accordingly, the Company paid a PSU Cash Incentve of $1,333,334 to Mr. Lampropoulos in 2024 as follows:</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2260" w:type="dxa"/>
            <w:vAlign w:val="bottom"/>
            <w:tcBorders>
              <w:top w:val="single" w:sz="8" w:color="AF0000"/>
            </w:tcBorders>
          </w:tcPr>
          <w:p>
            <w:pPr>
              <w:spacing w:after="0"/>
              <w:rPr>
                <w:sz w:val="19"/>
                <w:szCs w:val="19"/>
                <w:color w:val="auto"/>
              </w:rPr>
            </w:pPr>
          </w:p>
        </w:tc>
        <w:tc>
          <w:tcPr>
            <w:tcW w:w="1440" w:type="dxa"/>
            <w:vAlign w:val="bottom"/>
            <w:tcBorders>
              <w:top w:val="single" w:sz="8" w:color="AF0000"/>
            </w:tcBorders>
          </w:tcPr>
          <w:p>
            <w:pPr>
              <w:spacing w:after="0"/>
              <w:rPr>
                <w:sz w:val="19"/>
                <w:szCs w:val="19"/>
                <w:color w:val="auto"/>
              </w:rPr>
            </w:pPr>
          </w:p>
        </w:tc>
        <w:tc>
          <w:tcPr>
            <w:tcW w:w="1140" w:type="dxa"/>
            <w:vAlign w:val="bottom"/>
            <w:tcBorders>
              <w:top w:val="single" w:sz="8" w:color="AF0000"/>
            </w:tcBorders>
          </w:tcPr>
          <w:p>
            <w:pPr>
              <w:jc w:val="center"/>
              <w:spacing w:after="0"/>
              <w:rPr>
                <w:sz w:val="20"/>
                <w:szCs w:val="20"/>
                <w:color w:val="auto"/>
              </w:rPr>
            </w:pPr>
            <w:r>
              <w:rPr>
                <w:rFonts w:ascii="Calibri" w:cs="Calibri" w:eastAsia="Calibri" w:hAnsi="Calibri"/>
                <w:sz w:val="18"/>
                <w:szCs w:val="18"/>
                <w:b w:val="1"/>
                <w:bCs w:val="1"/>
                <w:color w:val="auto"/>
                <w:w w:val="93"/>
              </w:rPr>
              <w:t>Target Cash</w:t>
            </w:r>
          </w:p>
        </w:tc>
        <w:tc>
          <w:tcPr>
            <w:tcW w:w="1180" w:type="dxa"/>
            <w:vAlign w:val="bottom"/>
            <w:tcBorders>
              <w:top w:val="single" w:sz="8" w:color="AF0000"/>
            </w:tcBorders>
          </w:tcPr>
          <w:p>
            <w:pPr>
              <w:spacing w:after="0"/>
              <w:rPr>
                <w:sz w:val="19"/>
                <w:szCs w:val="19"/>
                <w:color w:val="auto"/>
              </w:rPr>
            </w:pPr>
          </w:p>
        </w:tc>
        <w:tc>
          <w:tcPr>
            <w:tcW w:w="1440" w:type="dxa"/>
            <w:vAlign w:val="bottom"/>
            <w:tcBorders>
              <w:top w:val="single" w:sz="8" w:color="AF0000"/>
            </w:tcBorders>
          </w:tcPr>
          <w:p>
            <w:pPr>
              <w:spacing w:after="0"/>
              <w:rPr>
                <w:sz w:val="19"/>
                <w:szCs w:val="19"/>
                <w:color w:val="auto"/>
              </w:rPr>
            </w:pPr>
          </w:p>
        </w:tc>
        <w:tc>
          <w:tcPr>
            <w:tcW w:w="1120" w:type="dxa"/>
            <w:vAlign w:val="bottom"/>
            <w:tcBorders>
              <w:top w:val="single" w:sz="8" w:color="AF0000"/>
            </w:tcBorders>
          </w:tcPr>
          <w:p>
            <w:pPr>
              <w:jc w:val="center"/>
              <w:spacing w:after="0"/>
              <w:rPr>
                <w:sz w:val="20"/>
                <w:szCs w:val="20"/>
                <w:color w:val="auto"/>
              </w:rPr>
            </w:pPr>
            <w:r>
              <w:rPr>
                <w:rFonts w:ascii="Calibri" w:cs="Calibri" w:eastAsia="Calibri" w:hAnsi="Calibri"/>
                <w:sz w:val="18"/>
                <w:szCs w:val="18"/>
                <w:b w:val="1"/>
                <w:bCs w:val="1"/>
                <w:color w:val="auto"/>
                <w:w w:val="98"/>
              </w:rPr>
              <w:t>PSU Cash</w:t>
            </w:r>
          </w:p>
        </w:tc>
      </w:tr>
      <w:tr>
        <w:trPr>
          <w:trHeight w:val="215"/>
        </w:trPr>
        <w:tc>
          <w:tcPr>
            <w:tcW w:w="2260" w:type="dxa"/>
            <w:vAlign w:val="bottom"/>
          </w:tcPr>
          <w:p>
            <w:pPr>
              <w:ind w:left="60"/>
              <w:spacing w:after="0" w:line="215" w:lineRule="exact"/>
              <w:rPr>
                <w:sz w:val="20"/>
                <w:szCs w:val="20"/>
                <w:color w:val="auto"/>
              </w:rPr>
            </w:pPr>
            <w:r>
              <w:rPr>
                <w:rFonts w:ascii="Calibri" w:cs="Calibri" w:eastAsia="Calibri" w:hAnsi="Calibri"/>
                <w:sz w:val="18"/>
                <w:szCs w:val="18"/>
                <w:b w:val="1"/>
                <w:bCs w:val="1"/>
                <w:color w:val="auto"/>
              </w:rPr>
              <w:t>Named Executve Ofcer</w:t>
            </w:r>
          </w:p>
        </w:tc>
        <w:tc>
          <w:tcPr>
            <w:tcW w:w="1440" w:type="dxa"/>
            <w:vAlign w:val="bottom"/>
          </w:tcPr>
          <w:p>
            <w:pPr>
              <w:jc w:val="center"/>
              <w:ind w:left="210"/>
              <w:spacing w:after="0" w:line="215" w:lineRule="exact"/>
              <w:rPr>
                <w:sz w:val="20"/>
                <w:szCs w:val="20"/>
                <w:color w:val="auto"/>
              </w:rPr>
            </w:pPr>
            <w:r>
              <w:rPr>
                <w:rFonts w:ascii="Calibri" w:cs="Calibri" w:eastAsia="Calibri" w:hAnsi="Calibri"/>
                <w:sz w:val="18"/>
                <w:szCs w:val="18"/>
                <w:b w:val="1"/>
                <w:bCs w:val="1"/>
                <w:color w:val="auto"/>
                <w:w w:val="94"/>
              </w:rPr>
              <w:t>Year Granted</w:t>
            </w:r>
          </w:p>
        </w:tc>
        <w:tc>
          <w:tcPr>
            <w:tcW w:w="114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Incentve</w:t>
            </w:r>
          </w:p>
        </w:tc>
        <w:tc>
          <w:tcPr>
            <w:tcW w:w="11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9"/>
              </w:rPr>
              <w:t>FCF Metric %</w:t>
            </w:r>
          </w:p>
        </w:tc>
        <w:tc>
          <w:tcPr>
            <w:tcW w:w="144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rTSR Multplier %</w:t>
            </w:r>
          </w:p>
        </w:tc>
        <w:tc>
          <w:tcPr>
            <w:tcW w:w="112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Incentve</w:t>
            </w:r>
          </w:p>
        </w:tc>
      </w:tr>
      <w:tr>
        <w:trPr>
          <w:trHeight w:val="30"/>
        </w:trPr>
        <w:tc>
          <w:tcPr>
            <w:tcW w:w="2260" w:type="dxa"/>
            <w:vAlign w:val="bottom"/>
            <w:tcBorders>
              <w:bottom w:val="single" w:sz="8" w:color="AF0000"/>
            </w:tcBorders>
          </w:tcPr>
          <w:p>
            <w:pPr>
              <w:spacing w:after="0"/>
              <w:rPr>
                <w:sz w:val="2"/>
                <w:szCs w:val="2"/>
                <w:color w:val="auto"/>
              </w:rPr>
            </w:pPr>
          </w:p>
        </w:tc>
        <w:tc>
          <w:tcPr>
            <w:tcW w:w="1440" w:type="dxa"/>
            <w:vAlign w:val="bottom"/>
            <w:tcBorders>
              <w:bottom w:val="single" w:sz="8" w:color="AF0000"/>
            </w:tcBorders>
          </w:tcPr>
          <w:p>
            <w:pPr>
              <w:spacing w:after="0"/>
              <w:rPr>
                <w:sz w:val="2"/>
                <w:szCs w:val="2"/>
                <w:color w:val="auto"/>
              </w:rPr>
            </w:pPr>
          </w:p>
        </w:tc>
        <w:tc>
          <w:tcPr>
            <w:tcW w:w="1140" w:type="dxa"/>
            <w:vAlign w:val="bottom"/>
            <w:tcBorders>
              <w:bottom w:val="single" w:sz="8" w:color="AF0000"/>
            </w:tcBorders>
          </w:tcPr>
          <w:p>
            <w:pPr>
              <w:spacing w:after="0"/>
              <w:rPr>
                <w:sz w:val="2"/>
                <w:szCs w:val="2"/>
                <w:color w:val="auto"/>
              </w:rPr>
            </w:pPr>
          </w:p>
        </w:tc>
        <w:tc>
          <w:tcPr>
            <w:tcW w:w="1180" w:type="dxa"/>
            <w:vAlign w:val="bottom"/>
            <w:tcBorders>
              <w:bottom w:val="single" w:sz="8" w:color="AF0000"/>
            </w:tcBorders>
          </w:tcPr>
          <w:p>
            <w:pPr>
              <w:spacing w:after="0"/>
              <w:rPr>
                <w:sz w:val="2"/>
                <w:szCs w:val="2"/>
                <w:color w:val="auto"/>
              </w:rPr>
            </w:pPr>
          </w:p>
        </w:tc>
        <w:tc>
          <w:tcPr>
            <w:tcW w:w="1440" w:type="dxa"/>
            <w:vAlign w:val="bottom"/>
            <w:tcBorders>
              <w:bottom w:val="single" w:sz="8" w:color="AF0000"/>
            </w:tcBorders>
          </w:tcPr>
          <w:p>
            <w:pPr>
              <w:spacing w:after="0"/>
              <w:rPr>
                <w:sz w:val="2"/>
                <w:szCs w:val="2"/>
                <w:color w:val="auto"/>
              </w:rPr>
            </w:pPr>
          </w:p>
        </w:tc>
        <w:tc>
          <w:tcPr>
            <w:tcW w:w="1120" w:type="dxa"/>
            <w:vAlign w:val="bottom"/>
            <w:tcBorders>
              <w:bottom w:val="single" w:sz="8" w:color="AF0000"/>
            </w:tcBorders>
          </w:tcPr>
          <w:p>
            <w:pPr>
              <w:spacing w:after="0"/>
              <w:rPr>
                <w:sz w:val="2"/>
                <w:szCs w:val="2"/>
                <w:color w:val="auto"/>
              </w:rPr>
            </w:pPr>
          </w:p>
        </w:tc>
      </w:tr>
      <w:tr>
        <w:trPr>
          <w:trHeight w:val="223"/>
        </w:trPr>
        <w:tc>
          <w:tcPr>
            <w:tcW w:w="2260" w:type="dxa"/>
            <w:vAlign w:val="bottom"/>
            <w:tcBorders>
              <w:bottom w:val="single" w:sz="8" w:color="AF0000"/>
            </w:tcBorders>
          </w:tcPr>
          <w:p>
            <w:pPr>
              <w:ind w:left="60"/>
              <w:spacing w:after="0" w:line="215" w:lineRule="exact"/>
              <w:rPr>
                <w:sz w:val="20"/>
                <w:szCs w:val="20"/>
                <w:color w:val="auto"/>
              </w:rPr>
            </w:pPr>
            <w:r>
              <w:rPr>
                <w:rFonts w:ascii="Calibri" w:cs="Calibri" w:eastAsia="Calibri" w:hAnsi="Calibri"/>
                <w:sz w:val="18"/>
                <w:szCs w:val="18"/>
                <w:color w:val="auto"/>
              </w:rPr>
              <w:t>Fred P. Lampropoulos</w:t>
            </w:r>
          </w:p>
        </w:tc>
        <w:tc>
          <w:tcPr>
            <w:tcW w:w="1440" w:type="dxa"/>
            <w:vAlign w:val="bottom"/>
            <w:tcBorders>
              <w:bottom w:val="single" w:sz="8" w:color="AF0000"/>
            </w:tcBorders>
          </w:tcPr>
          <w:p>
            <w:pPr>
              <w:jc w:val="right"/>
              <w:ind w:right="290"/>
              <w:spacing w:after="0" w:line="215" w:lineRule="exact"/>
              <w:rPr>
                <w:sz w:val="20"/>
                <w:szCs w:val="20"/>
                <w:color w:val="auto"/>
              </w:rPr>
            </w:pPr>
            <w:r>
              <w:rPr>
                <w:rFonts w:ascii="Calibri" w:cs="Calibri" w:eastAsia="Calibri" w:hAnsi="Calibri"/>
                <w:sz w:val="18"/>
                <w:szCs w:val="18"/>
                <w:color w:val="auto"/>
              </w:rPr>
              <w:t>2021</w:t>
            </w:r>
          </w:p>
        </w:tc>
        <w:tc>
          <w:tcPr>
            <w:tcW w:w="1140" w:type="dxa"/>
            <w:vAlign w:val="bottom"/>
            <w:tcBorders>
              <w:bottom w:val="single" w:sz="8" w:color="AF0000"/>
            </w:tcBorders>
          </w:tcPr>
          <w:p>
            <w:pPr>
              <w:jc w:val="right"/>
              <w:ind w:right="50"/>
              <w:spacing w:after="0" w:line="215" w:lineRule="exact"/>
              <w:rPr>
                <w:sz w:val="20"/>
                <w:szCs w:val="20"/>
                <w:color w:val="auto"/>
              </w:rPr>
            </w:pPr>
            <w:r>
              <w:rPr>
                <w:rFonts w:ascii="Calibri" w:cs="Calibri" w:eastAsia="Calibri" w:hAnsi="Calibri"/>
                <w:sz w:val="18"/>
                <w:szCs w:val="18"/>
                <w:color w:val="auto"/>
              </w:rPr>
              <w:t>$   666,667</w:t>
            </w:r>
          </w:p>
        </w:tc>
        <w:tc>
          <w:tcPr>
            <w:tcW w:w="1180" w:type="dxa"/>
            <w:vAlign w:val="bottom"/>
            <w:tcBorders>
              <w:bottom w:val="single" w:sz="8" w:color="AF0000"/>
            </w:tcBorders>
          </w:tcPr>
          <w:p>
            <w:pPr>
              <w:jc w:val="right"/>
              <w:ind w:right="290"/>
              <w:spacing w:after="0" w:line="215" w:lineRule="exact"/>
              <w:rPr>
                <w:sz w:val="20"/>
                <w:szCs w:val="20"/>
                <w:color w:val="auto"/>
              </w:rPr>
            </w:pPr>
            <w:r>
              <w:rPr>
                <w:rFonts w:ascii="Calibri" w:cs="Calibri" w:eastAsia="Calibri" w:hAnsi="Calibri"/>
                <w:sz w:val="18"/>
                <w:szCs w:val="18"/>
                <w:color w:val="auto"/>
              </w:rPr>
              <w:t>200%</w:t>
            </w:r>
          </w:p>
        </w:tc>
        <w:tc>
          <w:tcPr>
            <w:tcW w:w="1440" w:type="dxa"/>
            <w:vAlign w:val="bottom"/>
            <w:tcBorders>
              <w:bottom w:val="single" w:sz="8" w:color="AF0000"/>
            </w:tcBorders>
          </w:tcPr>
          <w:p>
            <w:pPr>
              <w:jc w:val="right"/>
              <w:ind w:right="430"/>
              <w:spacing w:after="0" w:line="215" w:lineRule="exact"/>
              <w:rPr>
                <w:sz w:val="20"/>
                <w:szCs w:val="20"/>
                <w:color w:val="auto"/>
              </w:rPr>
            </w:pPr>
            <w:r>
              <w:rPr>
                <w:rFonts w:ascii="Calibri" w:cs="Calibri" w:eastAsia="Calibri" w:hAnsi="Calibri"/>
                <w:sz w:val="18"/>
                <w:szCs w:val="18"/>
                <w:color w:val="auto"/>
              </w:rPr>
              <w:t>100%</w:t>
            </w:r>
          </w:p>
        </w:tc>
        <w:tc>
          <w:tcPr>
            <w:tcW w:w="1120" w:type="dxa"/>
            <w:vAlign w:val="bottom"/>
            <w:tcBorders>
              <w:bottom w:val="single" w:sz="8" w:color="AF0000"/>
            </w:tcBorders>
          </w:tcPr>
          <w:p>
            <w:pPr>
              <w:jc w:val="center"/>
              <w:spacing w:after="0" w:line="215" w:lineRule="exact"/>
              <w:rPr>
                <w:sz w:val="20"/>
                <w:szCs w:val="20"/>
                <w:color w:val="auto"/>
              </w:rPr>
            </w:pPr>
            <w:r>
              <w:rPr>
                <w:rFonts w:ascii="Calibri" w:cs="Calibri" w:eastAsia="Calibri" w:hAnsi="Calibri"/>
                <w:sz w:val="18"/>
                <w:szCs w:val="18"/>
                <w:color w:val="auto"/>
              </w:rPr>
              <w:t>$  1,333,334</w:t>
            </w: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48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52" w:name="page53"/>
    <w:bookmarkEnd w:id="52"/>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EXECUTIVE COMPENSATION AND RELATED MATTERS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Stock Optons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During 2023, the Compensaton Commitee granted non-statutory stock opton awards to NEOs under the 2018</w:t>
      </w:r>
    </w:p>
    <w:p>
      <w:pPr>
        <w:ind w:left="200"/>
        <w:spacing w:after="0" w:line="235" w:lineRule="auto"/>
        <w:rPr>
          <w:sz w:val="20"/>
          <w:szCs w:val="20"/>
          <w:color w:val="auto"/>
        </w:rPr>
      </w:pPr>
      <w:r>
        <w:rPr>
          <w:rFonts w:ascii="Calibri" w:cs="Calibri" w:eastAsia="Calibri" w:hAnsi="Calibri"/>
          <w:sz w:val="18"/>
          <w:szCs w:val="18"/>
          <w:color w:val="auto"/>
        </w:rPr>
        <w:t>Incentve Plan in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152400</wp:posOffset>
            </wp:positionV>
            <wp:extent cx="436308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63085" cy="17145"/>
                    </a:xfrm>
                    <a:prstGeom prst="rect">
                      <a:avLst/>
                    </a:prstGeom>
                    <a:noFill/>
                  </pic:spPr>
                </pic:pic>
              </a:graphicData>
            </a:graphic>
          </wp:anchor>
        </w:drawing>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220"/>
        </w:trPr>
        <w:tc>
          <w:tcPr>
            <w:tcW w:w="2320" w:type="dxa"/>
            <w:vAlign w:val="bottom"/>
          </w:tcPr>
          <w:p>
            <w:pPr>
              <w:spacing w:after="0"/>
              <w:rPr>
                <w:sz w:val="19"/>
                <w:szCs w:val="19"/>
                <w:color w:val="auto"/>
              </w:rPr>
            </w:pPr>
          </w:p>
        </w:tc>
        <w:tc>
          <w:tcPr>
            <w:tcW w:w="2180" w:type="dxa"/>
            <w:vAlign w:val="bottom"/>
          </w:tcPr>
          <w:p>
            <w:pPr>
              <w:jc w:val="center"/>
              <w:ind w:left="50"/>
              <w:spacing w:after="0"/>
              <w:rPr>
                <w:sz w:val="20"/>
                <w:szCs w:val="20"/>
                <w:color w:val="auto"/>
              </w:rPr>
            </w:pPr>
            <w:r>
              <w:rPr>
                <w:rFonts w:ascii="Calibri" w:cs="Calibri" w:eastAsia="Calibri" w:hAnsi="Calibri"/>
                <w:sz w:val="18"/>
                <w:szCs w:val="18"/>
                <w:b w:val="1"/>
                <w:bCs w:val="1"/>
                <w:color w:val="auto"/>
              </w:rPr>
              <w:t>Number of Optons</w:t>
            </w:r>
          </w:p>
        </w:tc>
        <w:tc>
          <w:tcPr>
            <w:tcW w:w="2360" w:type="dxa"/>
            <w:vAlign w:val="bottom"/>
          </w:tcPr>
          <w:p>
            <w:pPr>
              <w:spacing w:after="0"/>
              <w:rPr>
                <w:sz w:val="19"/>
                <w:szCs w:val="19"/>
                <w:color w:val="auto"/>
              </w:rPr>
            </w:pPr>
          </w:p>
        </w:tc>
      </w:tr>
      <w:tr>
        <w:trPr>
          <w:trHeight w:val="228"/>
        </w:trPr>
        <w:tc>
          <w:tcPr>
            <w:tcW w:w="2320" w:type="dxa"/>
            <w:vAlign w:val="bottom"/>
          </w:tcPr>
          <w:p>
            <w:pPr>
              <w:ind w:left="80"/>
              <w:spacing w:after="0"/>
              <w:rPr>
                <w:sz w:val="20"/>
                <w:szCs w:val="20"/>
                <w:color w:val="auto"/>
              </w:rPr>
            </w:pPr>
            <w:r>
              <w:rPr>
                <w:rFonts w:ascii="Calibri" w:cs="Calibri" w:eastAsia="Calibri" w:hAnsi="Calibri"/>
                <w:sz w:val="18"/>
                <w:szCs w:val="18"/>
                <w:b w:val="1"/>
                <w:bCs w:val="1"/>
                <w:color w:val="auto"/>
              </w:rPr>
              <w:t>Named Executve Ofcer</w:t>
            </w:r>
          </w:p>
        </w:tc>
        <w:tc>
          <w:tcPr>
            <w:tcW w:w="2180" w:type="dxa"/>
            <w:vAlign w:val="bottom"/>
          </w:tcPr>
          <w:p>
            <w:pPr>
              <w:jc w:val="center"/>
              <w:ind w:left="50"/>
              <w:spacing w:after="0" w:line="215" w:lineRule="exact"/>
              <w:rPr>
                <w:sz w:val="20"/>
                <w:szCs w:val="20"/>
                <w:color w:val="auto"/>
              </w:rPr>
            </w:pPr>
            <w:r>
              <w:rPr>
                <w:rFonts w:ascii="Calibri" w:cs="Calibri" w:eastAsia="Calibri" w:hAnsi="Calibri"/>
                <w:sz w:val="18"/>
                <w:szCs w:val="18"/>
                <w:b w:val="1"/>
                <w:bCs w:val="1"/>
                <w:color w:val="auto"/>
                <w:w w:val="98"/>
              </w:rPr>
              <w:t>Granted (#)</w:t>
            </w:r>
          </w:p>
        </w:tc>
        <w:tc>
          <w:tcPr>
            <w:tcW w:w="2360" w:type="dxa"/>
            <w:vAlign w:val="bottom"/>
          </w:tcPr>
          <w:p>
            <w:pPr>
              <w:ind w:left="340"/>
              <w:spacing w:after="0"/>
              <w:rPr>
                <w:sz w:val="20"/>
                <w:szCs w:val="20"/>
                <w:color w:val="auto"/>
              </w:rPr>
            </w:pPr>
            <w:r>
              <w:rPr>
                <w:rFonts w:ascii="Calibri" w:cs="Calibri" w:eastAsia="Calibri" w:hAnsi="Calibri"/>
                <w:sz w:val="18"/>
                <w:szCs w:val="18"/>
                <w:b w:val="1"/>
                <w:bCs w:val="1"/>
                <w:color w:val="auto"/>
              </w:rPr>
              <w:t>Grant Date Fair Value ($)</w:t>
            </w:r>
          </w:p>
        </w:tc>
      </w:tr>
      <w:tr>
        <w:trPr>
          <w:trHeight w:val="30"/>
        </w:trPr>
        <w:tc>
          <w:tcPr>
            <w:tcW w:w="2320" w:type="dxa"/>
            <w:vAlign w:val="bottom"/>
            <w:tcBorders>
              <w:bottom w:val="single" w:sz="8" w:color="AF0000"/>
            </w:tcBorders>
          </w:tcPr>
          <w:p>
            <w:pPr>
              <w:spacing w:after="0"/>
              <w:rPr>
                <w:sz w:val="2"/>
                <w:szCs w:val="2"/>
                <w:color w:val="auto"/>
              </w:rPr>
            </w:pPr>
          </w:p>
        </w:tc>
        <w:tc>
          <w:tcPr>
            <w:tcW w:w="2180" w:type="dxa"/>
            <w:vAlign w:val="bottom"/>
            <w:tcBorders>
              <w:bottom w:val="single" w:sz="8" w:color="AF0000"/>
            </w:tcBorders>
          </w:tcPr>
          <w:p>
            <w:pPr>
              <w:spacing w:after="0"/>
              <w:rPr>
                <w:sz w:val="2"/>
                <w:szCs w:val="2"/>
                <w:color w:val="auto"/>
              </w:rPr>
            </w:pPr>
          </w:p>
        </w:tc>
        <w:tc>
          <w:tcPr>
            <w:tcW w:w="2360" w:type="dxa"/>
            <w:vAlign w:val="bottom"/>
            <w:tcBorders>
              <w:bottom w:val="single" w:sz="8" w:color="AF0000"/>
            </w:tcBorders>
          </w:tcPr>
          <w:p>
            <w:pPr>
              <w:spacing w:after="0"/>
              <w:rPr>
                <w:sz w:val="2"/>
                <w:szCs w:val="2"/>
                <w:color w:val="auto"/>
              </w:rPr>
            </w:pPr>
          </w:p>
        </w:tc>
      </w:tr>
      <w:tr>
        <w:trPr>
          <w:trHeight w:val="215"/>
        </w:trPr>
        <w:tc>
          <w:tcPr>
            <w:tcW w:w="232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Fred P. Lampropoulos</w:t>
            </w:r>
          </w:p>
        </w:tc>
        <w:tc>
          <w:tcPr>
            <w:tcW w:w="2180" w:type="dxa"/>
            <w:vAlign w:val="bottom"/>
            <w:tcBorders>
              <w:bottom w:val="single" w:sz="8" w:color="A6A6A6"/>
            </w:tcBorders>
          </w:tcPr>
          <w:p>
            <w:pPr>
              <w:jc w:val="center"/>
              <w:ind w:left="50"/>
              <w:spacing w:after="0" w:line="215" w:lineRule="exact"/>
              <w:rPr>
                <w:sz w:val="20"/>
                <w:szCs w:val="20"/>
                <w:color w:val="auto"/>
              </w:rPr>
            </w:pPr>
            <w:r>
              <w:rPr>
                <w:rFonts w:ascii="Calibri" w:cs="Calibri" w:eastAsia="Calibri" w:hAnsi="Calibri"/>
                <w:sz w:val="18"/>
                <w:szCs w:val="18"/>
                <w:color w:val="auto"/>
                <w:w w:val="95"/>
              </w:rPr>
              <w:t>54,302</w:t>
            </w:r>
          </w:p>
        </w:tc>
        <w:tc>
          <w:tcPr>
            <w:tcW w:w="2360" w:type="dxa"/>
            <w:vAlign w:val="bottom"/>
            <w:tcBorders>
              <w:bottom w:val="single" w:sz="8" w:color="A6A6A6"/>
            </w:tcBorders>
          </w:tcPr>
          <w:p>
            <w:pPr>
              <w:jc w:val="center"/>
              <w:ind w:left="10"/>
              <w:spacing w:after="0" w:line="215" w:lineRule="exact"/>
              <w:rPr>
                <w:sz w:val="20"/>
                <w:szCs w:val="20"/>
                <w:color w:val="auto"/>
              </w:rPr>
            </w:pPr>
            <w:r>
              <w:rPr>
                <w:rFonts w:ascii="Calibri" w:cs="Calibri" w:eastAsia="Calibri" w:hAnsi="Calibri"/>
                <w:sz w:val="18"/>
                <w:szCs w:val="18"/>
                <w:color w:val="auto"/>
                <w:w w:val="95"/>
              </w:rPr>
              <w:t>1,599,987</w:t>
            </w:r>
          </w:p>
        </w:tc>
      </w:tr>
      <w:tr>
        <w:trPr>
          <w:trHeight w:val="209"/>
        </w:trPr>
        <w:tc>
          <w:tcPr>
            <w:tcW w:w="232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Raul Parra</w:t>
            </w:r>
          </w:p>
        </w:tc>
        <w:tc>
          <w:tcPr>
            <w:tcW w:w="2180" w:type="dxa"/>
            <w:vAlign w:val="bottom"/>
            <w:tcBorders>
              <w:bottom w:val="single" w:sz="8" w:color="A6A6A6"/>
            </w:tcBorders>
          </w:tcPr>
          <w:p>
            <w:pPr>
              <w:jc w:val="center"/>
              <w:ind w:left="50"/>
              <w:spacing w:after="0" w:line="209" w:lineRule="exact"/>
              <w:rPr>
                <w:sz w:val="20"/>
                <w:szCs w:val="20"/>
                <w:color w:val="auto"/>
              </w:rPr>
            </w:pPr>
            <w:r>
              <w:rPr>
                <w:rFonts w:ascii="Calibri" w:cs="Calibri" w:eastAsia="Calibri" w:hAnsi="Calibri"/>
                <w:sz w:val="18"/>
                <w:szCs w:val="18"/>
                <w:color w:val="auto"/>
                <w:w w:val="95"/>
              </w:rPr>
              <w:t>13,576</w:t>
            </w:r>
          </w:p>
        </w:tc>
        <w:tc>
          <w:tcPr>
            <w:tcW w:w="2360" w:type="dxa"/>
            <w:vAlign w:val="bottom"/>
            <w:tcBorders>
              <w:bottom w:val="single" w:sz="8" w:color="A6A6A6"/>
            </w:tcBorders>
          </w:tcPr>
          <w:p>
            <w:pPr>
              <w:jc w:val="center"/>
              <w:ind w:left="10"/>
              <w:spacing w:after="0" w:line="209" w:lineRule="exact"/>
              <w:rPr>
                <w:sz w:val="20"/>
                <w:szCs w:val="20"/>
                <w:color w:val="auto"/>
              </w:rPr>
            </w:pPr>
            <w:r>
              <w:rPr>
                <w:rFonts w:ascii="Calibri" w:cs="Calibri" w:eastAsia="Calibri" w:hAnsi="Calibri"/>
                <w:sz w:val="18"/>
                <w:szCs w:val="18"/>
                <w:color w:val="auto"/>
                <w:w w:val="97"/>
              </w:rPr>
              <w:t>400,011</w:t>
            </w:r>
          </w:p>
        </w:tc>
      </w:tr>
      <w:tr>
        <w:trPr>
          <w:trHeight w:val="209"/>
        </w:trPr>
        <w:tc>
          <w:tcPr>
            <w:tcW w:w="232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Joseph C. Wright</w:t>
            </w:r>
          </w:p>
        </w:tc>
        <w:tc>
          <w:tcPr>
            <w:tcW w:w="2180" w:type="dxa"/>
            <w:vAlign w:val="bottom"/>
            <w:tcBorders>
              <w:bottom w:val="single" w:sz="8" w:color="A6A6A6"/>
            </w:tcBorders>
          </w:tcPr>
          <w:p>
            <w:pPr>
              <w:jc w:val="center"/>
              <w:ind w:left="50"/>
              <w:spacing w:after="0" w:line="209" w:lineRule="exact"/>
              <w:rPr>
                <w:sz w:val="20"/>
                <w:szCs w:val="20"/>
                <w:color w:val="auto"/>
              </w:rPr>
            </w:pPr>
            <w:r>
              <w:rPr>
                <w:rFonts w:ascii="Calibri" w:cs="Calibri" w:eastAsia="Calibri" w:hAnsi="Calibri"/>
                <w:sz w:val="18"/>
                <w:szCs w:val="18"/>
                <w:color w:val="auto"/>
                <w:w w:val="95"/>
              </w:rPr>
              <w:t>13,576</w:t>
            </w:r>
          </w:p>
        </w:tc>
        <w:tc>
          <w:tcPr>
            <w:tcW w:w="2360" w:type="dxa"/>
            <w:vAlign w:val="bottom"/>
            <w:tcBorders>
              <w:bottom w:val="single" w:sz="8" w:color="A6A6A6"/>
            </w:tcBorders>
          </w:tcPr>
          <w:p>
            <w:pPr>
              <w:jc w:val="center"/>
              <w:ind w:left="10"/>
              <w:spacing w:after="0" w:line="209" w:lineRule="exact"/>
              <w:rPr>
                <w:sz w:val="20"/>
                <w:szCs w:val="20"/>
                <w:color w:val="auto"/>
              </w:rPr>
            </w:pPr>
            <w:r>
              <w:rPr>
                <w:rFonts w:ascii="Calibri" w:cs="Calibri" w:eastAsia="Calibri" w:hAnsi="Calibri"/>
                <w:sz w:val="18"/>
                <w:szCs w:val="18"/>
                <w:color w:val="auto"/>
                <w:w w:val="97"/>
              </w:rPr>
              <w:t>400,011</w:t>
            </w:r>
          </w:p>
        </w:tc>
      </w:tr>
      <w:tr>
        <w:trPr>
          <w:trHeight w:val="209"/>
        </w:trPr>
        <w:tc>
          <w:tcPr>
            <w:tcW w:w="232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Neil W. Peterson</w:t>
            </w:r>
          </w:p>
        </w:tc>
        <w:tc>
          <w:tcPr>
            <w:tcW w:w="2180" w:type="dxa"/>
            <w:vAlign w:val="bottom"/>
            <w:tcBorders>
              <w:bottom w:val="single" w:sz="8" w:color="A6A6A6"/>
            </w:tcBorders>
          </w:tcPr>
          <w:p>
            <w:pPr>
              <w:jc w:val="center"/>
              <w:ind w:left="50"/>
              <w:spacing w:after="0" w:line="209" w:lineRule="exact"/>
              <w:rPr>
                <w:sz w:val="20"/>
                <w:szCs w:val="20"/>
                <w:color w:val="auto"/>
              </w:rPr>
            </w:pPr>
            <w:r>
              <w:rPr>
                <w:rFonts w:ascii="Calibri" w:cs="Calibri" w:eastAsia="Calibri" w:hAnsi="Calibri"/>
                <w:sz w:val="18"/>
                <w:szCs w:val="18"/>
                <w:color w:val="auto"/>
                <w:w w:val="95"/>
              </w:rPr>
              <w:t>13,576</w:t>
            </w:r>
          </w:p>
        </w:tc>
        <w:tc>
          <w:tcPr>
            <w:tcW w:w="2360" w:type="dxa"/>
            <w:vAlign w:val="bottom"/>
            <w:tcBorders>
              <w:bottom w:val="single" w:sz="8" w:color="A6A6A6"/>
            </w:tcBorders>
          </w:tcPr>
          <w:p>
            <w:pPr>
              <w:jc w:val="center"/>
              <w:ind w:left="10"/>
              <w:spacing w:after="0" w:line="209" w:lineRule="exact"/>
              <w:rPr>
                <w:sz w:val="20"/>
                <w:szCs w:val="20"/>
                <w:color w:val="auto"/>
              </w:rPr>
            </w:pPr>
            <w:r>
              <w:rPr>
                <w:rFonts w:ascii="Calibri" w:cs="Calibri" w:eastAsia="Calibri" w:hAnsi="Calibri"/>
                <w:sz w:val="18"/>
                <w:szCs w:val="18"/>
                <w:color w:val="auto"/>
                <w:w w:val="97"/>
              </w:rPr>
              <w:t>400,011</w:t>
            </w:r>
          </w:p>
        </w:tc>
      </w:tr>
      <w:tr>
        <w:trPr>
          <w:trHeight w:val="217"/>
        </w:trPr>
        <w:tc>
          <w:tcPr>
            <w:tcW w:w="2320" w:type="dxa"/>
            <w:vAlign w:val="bottom"/>
            <w:tcBorders>
              <w:bottom w:val="single" w:sz="8" w:color="AF0000"/>
            </w:tcBorders>
          </w:tcPr>
          <w:p>
            <w:pPr>
              <w:ind w:left="80"/>
              <w:spacing w:after="0" w:line="209" w:lineRule="exact"/>
              <w:rPr>
                <w:sz w:val="20"/>
                <w:szCs w:val="20"/>
                <w:color w:val="auto"/>
              </w:rPr>
            </w:pPr>
            <w:r>
              <w:rPr>
                <w:rFonts w:ascii="Calibri" w:cs="Calibri" w:eastAsia="Calibri" w:hAnsi="Calibri"/>
                <w:sz w:val="18"/>
                <w:szCs w:val="18"/>
                <w:color w:val="auto"/>
              </w:rPr>
              <w:t>Brian G. Lloyd</w:t>
            </w:r>
          </w:p>
        </w:tc>
        <w:tc>
          <w:tcPr>
            <w:tcW w:w="2180" w:type="dxa"/>
            <w:vAlign w:val="bottom"/>
            <w:tcBorders>
              <w:bottom w:val="single" w:sz="8" w:color="AF0000"/>
            </w:tcBorders>
          </w:tcPr>
          <w:p>
            <w:pPr>
              <w:jc w:val="center"/>
              <w:ind w:left="50"/>
              <w:spacing w:after="0" w:line="209" w:lineRule="exact"/>
              <w:rPr>
                <w:sz w:val="20"/>
                <w:szCs w:val="20"/>
                <w:color w:val="auto"/>
              </w:rPr>
            </w:pPr>
            <w:r>
              <w:rPr>
                <w:rFonts w:ascii="Calibri" w:cs="Calibri" w:eastAsia="Calibri" w:hAnsi="Calibri"/>
                <w:sz w:val="18"/>
                <w:szCs w:val="18"/>
                <w:color w:val="auto"/>
                <w:w w:val="95"/>
              </w:rPr>
              <w:t>13,576</w:t>
            </w:r>
          </w:p>
        </w:tc>
        <w:tc>
          <w:tcPr>
            <w:tcW w:w="2360" w:type="dxa"/>
            <w:vAlign w:val="bottom"/>
            <w:tcBorders>
              <w:bottom w:val="single" w:sz="8" w:color="AF0000"/>
            </w:tcBorders>
          </w:tcPr>
          <w:p>
            <w:pPr>
              <w:jc w:val="center"/>
              <w:ind w:left="10"/>
              <w:spacing w:after="0" w:line="209" w:lineRule="exact"/>
              <w:rPr>
                <w:sz w:val="20"/>
                <w:szCs w:val="20"/>
                <w:color w:val="auto"/>
              </w:rPr>
            </w:pPr>
            <w:r>
              <w:rPr>
                <w:rFonts w:ascii="Calibri" w:cs="Calibri" w:eastAsia="Calibri" w:hAnsi="Calibri"/>
                <w:sz w:val="18"/>
                <w:szCs w:val="18"/>
                <w:color w:val="auto"/>
                <w:w w:val="97"/>
              </w:rPr>
              <w:t>400,011</w:t>
            </w:r>
          </w:p>
        </w:tc>
      </w:tr>
    </w:tbl>
    <w:p>
      <w:pPr>
        <w:spacing w:after="0" w:line="86" w:lineRule="exact"/>
        <w:rPr>
          <w:sz w:val="20"/>
          <w:szCs w:val="20"/>
          <w:color w:val="auto"/>
        </w:rPr>
      </w:pPr>
    </w:p>
    <w:p>
      <w:pPr>
        <w:jc w:val="both"/>
        <w:ind w:left="200" w:right="259"/>
        <w:spacing w:after="0" w:line="230" w:lineRule="auto"/>
        <w:rPr>
          <w:sz w:val="20"/>
          <w:szCs w:val="20"/>
          <w:color w:val="auto"/>
        </w:rPr>
      </w:pPr>
      <w:r>
        <w:rPr>
          <w:rFonts w:ascii="Calibri" w:cs="Calibri" w:eastAsia="Calibri" w:hAnsi="Calibri"/>
          <w:sz w:val="18"/>
          <w:szCs w:val="18"/>
          <w:color w:val="auto"/>
        </w:rPr>
        <w:t>The stock optons were awarded at an exercise price of $70.58 per share of Common Stock, the per share market closing price of a share of Common Stock on the date of grant. The 2023 stock opton grants vest and become exercisable over a four-year period on each of the frst through fourth anniversaries of the date of grant.</w:t>
      </w:r>
    </w:p>
    <w:p>
      <w:pPr>
        <w:spacing w:after="0" w:line="180"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Annual Performance Cash Bonuses and Executve Bonus Plan</w:t>
      </w:r>
    </w:p>
    <w:p>
      <w:pPr>
        <w:spacing w:after="0" w:line="146" w:lineRule="exact"/>
        <w:rPr>
          <w:sz w:val="20"/>
          <w:szCs w:val="20"/>
          <w:color w:val="auto"/>
        </w:rPr>
      </w:pPr>
    </w:p>
    <w:p>
      <w:pPr>
        <w:ind w:left="200" w:right="279"/>
        <w:spacing w:after="0" w:line="232" w:lineRule="auto"/>
        <w:rPr>
          <w:sz w:val="20"/>
          <w:szCs w:val="20"/>
          <w:color w:val="auto"/>
        </w:rPr>
      </w:pPr>
      <w:r>
        <w:rPr>
          <w:rFonts w:ascii="Calibri" w:cs="Calibri" w:eastAsia="Calibri" w:hAnsi="Calibri"/>
          <w:sz w:val="18"/>
          <w:szCs w:val="18"/>
          <w:color w:val="auto"/>
        </w:rPr>
        <w:t>Our general practce is to provide our NEOs with the opportunity to earn annual performance bonus compensaton under a program that recognizes atainment of key objectves. The key objectves that underlie our annual incentve compensaton programs are established annually by the Compensaton Commitee based upon recommendatons made by the CEO, and may vary between years and between NEOs, but generally include objectves that reward atainment of targeted levels of sales, earnings and gross margins.</w:t>
      </w:r>
    </w:p>
    <w:p>
      <w:pPr>
        <w:spacing w:after="0" w:line="180" w:lineRule="exact"/>
        <w:rPr>
          <w:sz w:val="20"/>
          <w:szCs w:val="20"/>
          <w:color w:val="auto"/>
        </w:rPr>
      </w:pPr>
    </w:p>
    <w:p>
      <w:pPr>
        <w:ind w:left="200" w:right="259"/>
        <w:spacing w:after="0" w:line="248" w:lineRule="auto"/>
        <w:rPr>
          <w:sz w:val="20"/>
          <w:szCs w:val="20"/>
          <w:color w:val="auto"/>
        </w:rPr>
      </w:pPr>
      <w:r>
        <w:rPr>
          <w:rFonts w:ascii="Calibri" w:cs="Calibri" w:eastAsia="Calibri" w:hAnsi="Calibri"/>
          <w:sz w:val="17"/>
          <w:szCs w:val="17"/>
          <w:color w:val="auto"/>
        </w:rPr>
        <w:t>Afer reviewing our executve incentve compensaton practces, and based upon the preferences communicated by the insttutonal shareholder community, in 2019 our Board adopted the Merit Medical Systems, Inc. Executve Bonus Plan (</w:t>
      </w:r>
      <w:r>
        <w:rPr>
          <w:rFonts w:ascii="Calibri" w:cs="Calibri" w:eastAsia="Calibri" w:hAnsi="Calibri"/>
          <w:sz w:val="17"/>
          <w:szCs w:val="17"/>
          <w:u w:val="single" w:color="auto"/>
          <w:color w:val="AF0000"/>
        </w:rPr>
        <w:t>Executve Bonus Plan</w:t>
      </w:r>
      <w:r>
        <w:rPr>
          <w:rFonts w:ascii="Calibri" w:cs="Calibri" w:eastAsia="Calibri" w:hAnsi="Calibri"/>
          <w:sz w:val="17"/>
          <w:szCs w:val="17"/>
          <w:color w:val="auto"/>
        </w:rPr>
        <w:t>). The purposes of the Executve Bonus Plan are to motvate and reward our executve employees by making a porton of their annual cash compensaton dependent on the achievement of certain pre-determined corporate performance goals, to align the interests of those executves with those of our shareholders, and to atract and retain superior executve employees by providing a compettve bonus program that rewards outstanding performance. The Executve Bonus Plan is administered by the Compensaton Commitee. Each year, the Compensaton Commitee establishes a target bonus amount (based on a certain percentage of base salary) and performance criteria and goals for each partcipatng executve ofcer. At the conclusion of such year, the Compensaton Commitee will determine the bonus amount payable to each partcipatng executve ofcer and we will pay to the executve ofcer the determined bonus amount not later than the 15th day of the third month following the conclusion of the applicable year. In determining the amount of each award to be paid, the Compensaton Commitee may reduce, eliminate or increase the amount of an Award if, in its discreton, such reducton, eliminaton or increase is appropriate. The amounts payable to executve ofcers partcipatng in the Executve Bonus Plan will be determined and allocated based on the performance criteria established for the applicable year, and our performance relatve to those criteria.</w:t>
      </w:r>
    </w:p>
    <w:p>
      <w:pPr>
        <w:spacing w:after="0" w:line="172" w:lineRule="exact"/>
        <w:rPr>
          <w:sz w:val="20"/>
          <w:szCs w:val="20"/>
          <w:color w:val="auto"/>
        </w:rPr>
      </w:pPr>
    </w:p>
    <w:p>
      <w:pPr>
        <w:ind w:left="200" w:right="379"/>
        <w:spacing w:after="0" w:line="251" w:lineRule="auto"/>
        <w:rPr>
          <w:sz w:val="20"/>
          <w:szCs w:val="20"/>
          <w:color w:val="auto"/>
        </w:rPr>
      </w:pPr>
      <w:r>
        <w:rPr>
          <w:rFonts w:ascii="Calibri" w:cs="Calibri" w:eastAsia="Calibri" w:hAnsi="Calibri"/>
          <w:sz w:val="17"/>
          <w:szCs w:val="17"/>
          <w:color w:val="auto"/>
        </w:rPr>
        <w:t>In setng the performance bonus amounts that an NEO is eligible to earn for achieving specifed objectves, the Compensaton Commitee and the CEO consider bonus and total cash compensaton levels for each NEO. Although bonus opportunites for achieving objectves are generally established for each NEO based on job scope and contributon, the Compensaton Commitee retains discreton to positvely or negatvely adjust performance bonus amounts based on factors that are not included in the pre-determined objectves. NEOs also have the opportunity to earn additonal discretonary bonuses for extraordinary performance, as determined by the Compensaton Commitee.</w:t>
      </w:r>
    </w:p>
    <w:p>
      <w:pPr>
        <w:spacing w:after="0" w:line="169" w:lineRule="exact"/>
        <w:rPr>
          <w:sz w:val="20"/>
          <w:szCs w:val="20"/>
          <w:color w:val="auto"/>
        </w:rPr>
      </w:pPr>
    </w:p>
    <w:p>
      <w:pPr>
        <w:ind w:left="200" w:right="599"/>
        <w:spacing w:after="0" w:line="235" w:lineRule="auto"/>
        <w:rPr>
          <w:sz w:val="20"/>
          <w:szCs w:val="20"/>
          <w:color w:val="auto"/>
        </w:rPr>
      </w:pPr>
      <w:r>
        <w:rPr>
          <w:rFonts w:ascii="Calibri" w:cs="Calibri" w:eastAsia="Calibri" w:hAnsi="Calibri"/>
          <w:sz w:val="18"/>
          <w:szCs w:val="18"/>
          <w:color w:val="auto"/>
        </w:rPr>
        <w:t>The decision as to whether to provide an annual performance bonus program to any NEO for any year, the type and funding of any program ofered, and the objectves that underlie any program, are subject to the discreton of the Compensaton Commitee, taking into account the recommendaton of the CEO and industry-specifc</w:t>
      </w:r>
    </w:p>
    <w:p>
      <w:pPr>
        <w:spacing w:after="0" w:line="200" w:lineRule="exact"/>
        <w:rPr>
          <w:sz w:val="20"/>
          <w:szCs w:val="20"/>
          <w:color w:val="auto"/>
        </w:rPr>
      </w:pPr>
    </w:p>
    <w:p>
      <w:pPr>
        <w:spacing w:after="0" w:line="235"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53" w:name="page54"/>
    <w:bookmarkEnd w:id="53"/>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36" w:lineRule="exact"/>
        <w:rPr>
          <w:sz w:val="20"/>
          <w:szCs w:val="20"/>
          <w:color w:val="auto"/>
        </w:rPr>
      </w:pPr>
    </w:p>
    <w:p>
      <w:pPr>
        <w:ind w:left="200" w:right="259"/>
        <w:spacing w:after="0" w:line="235" w:lineRule="auto"/>
        <w:rPr>
          <w:sz w:val="20"/>
          <w:szCs w:val="20"/>
          <w:color w:val="auto"/>
        </w:rPr>
      </w:pPr>
      <w:r>
        <w:rPr>
          <w:rFonts w:ascii="Calibri" w:cs="Calibri" w:eastAsia="Calibri" w:hAnsi="Calibri"/>
          <w:sz w:val="18"/>
          <w:szCs w:val="18"/>
          <w:color w:val="auto"/>
        </w:rPr>
        <w:t>conditons existng during the applicable year. The Compensaton Commitee may also exercise positve or negatve discreton based on its assessment of the individual NEO’s contributon and accountability for the objectves that are the subject of the bonus recommendatons from the CEO and any other factors the Compensaton Commitee considers relevant.</w:t>
      </w:r>
    </w:p>
    <w:p>
      <w:pPr>
        <w:spacing w:after="0" w:line="179" w:lineRule="exact"/>
        <w:rPr>
          <w:sz w:val="20"/>
          <w:szCs w:val="20"/>
          <w:color w:val="auto"/>
        </w:rPr>
      </w:pPr>
    </w:p>
    <w:p>
      <w:pPr>
        <w:ind w:left="200" w:right="219"/>
        <w:spacing w:after="0" w:line="252" w:lineRule="auto"/>
        <w:rPr>
          <w:sz w:val="20"/>
          <w:szCs w:val="20"/>
          <w:color w:val="auto"/>
        </w:rPr>
      </w:pPr>
      <w:r>
        <w:rPr>
          <w:rFonts w:ascii="Calibri" w:cs="Calibri" w:eastAsia="Calibri" w:hAnsi="Calibri"/>
          <w:sz w:val="17"/>
          <w:szCs w:val="17"/>
          <w:color w:val="auto"/>
        </w:rPr>
        <w:t>For 2023, the Compensaton Commitee established incentve cash performance bonus objectves for the NEOs. The incentve cash performance bonus objectves for the NEOs were based on sales, operatng margin (calculated on a non-GAAP basis) and earnings per share (calculated on a non-GAAP basis), and subject to modifcaton based on achievement of the following two equally-weighted operatonal targets aligned with our Foundatons for Growth program:</w:t>
      </w:r>
    </w:p>
    <w:p>
      <w:pPr>
        <w:spacing w:after="0" w:line="163" w:lineRule="exact"/>
        <w:rPr>
          <w:sz w:val="20"/>
          <w:szCs w:val="20"/>
          <w:color w:val="auto"/>
        </w:rPr>
      </w:pPr>
    </w:p>
    <w:p>
      <w:pPr>
        <w:ind w:left="880" w:hanging="320"/>
        <w:spacing w:after="0"/>
        <w:tabs>
          <w:tab w:leader="none" w:pos="880" w:val="left"/>
        </w:tabs>
        <w:numPr>
          <w:ilvl w:val="0"/>
          <w:numId w:val="7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realizaton of $20.0 million in pricing uplif; and</w:t>
      </w:r>
    </w:p>
    <w:p>
      <w:pPr>
        <w:spacing w:after="0" w:line="171"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74"/>
        </w:numPr>
        <w:rPr>
          <w:rFonts w:ascii="Times New Roman" w:cs="Times New Roman" w:eastAsia="Times New Roman" w:hAnsi="Times New Roman"/>
          <w:sz w:val="18"/>
          <w:szCs w:val="18"/>
          <w:color w:val="auto"/>
        </w:rPr>
      </w:pPr>
      <w:r>
        <w:rPr>
          <w:rFonts w:ascii="Calibri" w:cs="Calibri" w:eastAsia="Calibri" w:hAnsi="Calibri"/>
          <w:sz w:val="18"/>
          <w:szCs w:val="18"/>
          <w:color w:val="auto"/>
        </w:rPr>
        <w:t>generaton of $8.0 million in product transfer savings.</w:t>
      </w:r>
    </w:p>
    <w:p>
      <w:pPr>
        <w:spacing w:after="0" w:line="177" w:lineRule="exact"/>
        <w:rPr>
          <w:sz w:val="20"/>
          <w:szCs w:val="20"/>
          <w:color w:val="auto"/>
        </w:rPr>
      </w:pPr>
    </w:p>
    <w:p>
      <w:pPr>
        <w:ind w:left="200" w:right="239"/>
        <w:spacing w:after="0" w:line="234" w:lineRule="auto"/>
        <w:rPr>
          <w:sz w:val="20"/>
          <w:szCs w:val="20"/>
          <w:color w:val="auto"/>
        </w:rPr>
      </w:pPr>
      <w:r>
        <w:rPr>
          <w:rFonts w:ascii="Calibri" w:cs="Calibri" w:eastAsia="Calibri" w:hAnsi="Calibri"/>
          <w:sz w:val="18"/>
          <w:szCs w:val="18"/>
          <w:color w:val="auto"/>
        </w:rPr>
        <w:t>The Compensaton Commitee established the Executve Bonus Plan performance objectves for 2023 following a review of the Company’s performance and payouts under the Executve Bonus Plan for the preceding year, consultaton with the CEO and an assessment of potental objectves designed to align the interests of the NEOs with those of our shareholders. In partcular, the Compensaton Commitee, with the input of the CEO, sought to establish fnancial incentves for the NEOs to drive the Company’s achievement of the performance metrics underlying the Foundatons for Growth Program. Following its review, the Compensaton Commitee retained the core Executve Bonus Plan objectves aligned with the Company’s fnancial targets established pursuant to the Foundatons for Growth Program, although the Compensaton Commitee determined to adjust the weightng of the sales and operatng margin objectves, raising them from 35% and 30%, respectvely, for the prior year to 40% each for 2023. The Compensaton Commitee also determined to revise the Executve Bonus Plan operatonal targets, by removing the operatonal target linked to increasing the efciency of our operatng footprint and replacing it with an operatonal target linked to product transfer savings, while retaining the operatonal target linked to pricing uplif. The Compensaton Commitee’s selecton of Executve Bonus Plan objectves for 2023 was based upon its belief that the revised objectves would more closely align the fnancial interests of the NEOs with the targets established pursuant to the Foundatons for Growth program and the interests of the Company’s shareholders. In no event will the Executve Bonus Plan payout to any NEO exceed 165% of the target performance bonus payout for that NEO.</w:t>
      </w:r>
    </w:p>
    <w:p>
      <w:pPr>
        <w:spacing w:after="0" w:line="177" w:lineRule="exact"/>
        <w:rPr>
          <w:sz w:val="20"/>
          <w:szCs w:val="20"/>
          <w:color w:val="auto"/>
        </w:rPr>
      </w:pPr>
    </w:p>
    <w:p>
      <w:pPr>
        <w:ind w:left="200" w:right="359"/>
        <w:spacing w:after="0" w:line="235" w:lineRule="auto"/>
        <w:rPr>
          <w:sz w:val="20"/>
          <w:szCs w:val="20"/>
          <w:color w:val="auto"/>
        </w:rPr>
      </w:pPr>
      <w:r>
        <w:rPr>
          <w:rFonts w:ascii="Calibri" w:cs="Calibri" w:eastAsia="Calibri" w:hAnsi="Calibri"/>
          <w:sz w:val="18"/>
          <w:szCs w:val="18"/>
          <w:color w:val="auto"/>
        </w:rPr>
        <w:t>For 2023, the Compensaton Commitee established the performance range for the Executve Bonus Plan to provide for incentve cash performance payments based on the following levels of atainment of each of the individual bonus objectves and modifer:</w:t>
      </w:r>
    </w:p>
    <w:p>
      <w:pPr>
        <w:spacing w:after="0" w:line="208" w:lineRule="exact"/>
        <w:rPr>
          <w:sz w:val="20"/>
          <w:szCs w:val="20"/>
          <w:color w:val="auto"/>
        </w:rPr>
      </w:pPr>
    </w:p>
    <w:tbl>
      <w:tblPr>
        <w:tblLayout w:type="fixed"/>
        <w:tblInd w:w="1740" w:type="dxa"/>
        <w:tblCellMar>
          <w:top w:w="0" w:type="dxa"/>
          <w:left w:w="0" w:type="dxa"/>
          <w:bottom w:w="0" w:type="dxa"/>
          <w:right w:w="0" w:type="dxa"/>
        </w:tblCellMar>
      </w:tblPr>
      <w:tr>
        <w:trPr>
          <w:trHeight w:val="221"/>
        </w:trPr>
        <w:tc>
          <w:tcPr>
            <w:tcW w:w="2000" w:type="dxa"/>
            <w:vAlign w:val="bottom"/>
            <w:tcBorders>
              <w:top w:val="single" w:sz="8" w:color="AF0000"/>
            </w:tcBorders>
          </w:tcPr>
          <w:p>
            <w:pPr>
              <w:spacing w:after="0"/>
              <w:rPr>
                <w:sz w:val="19"/>
                <w:szCs w:val="19"/>
                <w:color w:val="auto"/>
              </w:rPr>
            </w:pPr>
          </w:p>
        </w:tc>
        <w:tc>
          <w:tcPr>
            <w:tcW w:w="1180" w:type="dxa"/>
            <w:vAlign w:val="bottom"/>
            <w:tcBorders>
              <w:top w:val="single" w:sz="8" w:color="AF0000"/>
            </w:tcBorders>
          </w:tcPr>
          <w:p>
            <w:pPr>
              <w:jc w:val="center"/>
              <w:spacing w:after="0"/>
              <w:rPr>
                <w:sz w:val="20"/>
                <w:szCs w:val="20"/>
                <w:color w:val="auto"/>
              </w:rPr>
            </w:pPr>
            <w:r>
              <w:rPr>
                <w:rFonts w:ascii="Calibri" w:cs="Calibri" w:eastAsia="Calibri" w:hAnsi="Calibri"/>
                <w:sz w:val="18"/>
                <w:szCs w:val="18"/>
                <w:b w:val="1"/>
                <w:bCs w:val="1"/>
                <w:color w:val="auto"/>
                <w:w w:val="96"/>
              </w:rPr>
              <w:t>Threshold</w:t>
            </w:r>
          </w:p>
        </w:tc>
        <w:tc>
          <w:tcPr>
            <w:tcW w:w="980" w:type="dxa"/>
            <w:vAlign w:val="bottom"/>
            <w:tcBorders>
              <w:top w:val="single" w:sz="8" w:color="AF0000"/>
            </w:tcBorders>
          </w:tcPr>
          <w:p>
            <w:pPr>
              <w:jc w:val="center"/>
              <w:spacing w:after="0"/>
              <w:rPr>
                <w:sz w:val="20"/>
                <w:szCs w:val="20"/>
                <w:color w:val="auto"/>
              </w:rPr>
            </w:pPr>
            <w:r>
              <w:rPr>
                <w:rFonts w:ascii="Calibri" w:cs="Calibri" w:eastAsia="Calibri" w:hAnsi="Calibri"/>
                <w:sz w:val="18"/>
                <w:szCs w:val="18"/>
                <w:b w:val="1"/>
                <w:bCs w:val="1"/>
                <w:color w:val="auto"/>
                <w:w w:val="91"/>
              </w:rPr>
              <w:t>Target</w:t>
            </w:r>
          </w:p>
        </w:tc>
        <w:tc>
          <w:tcPr>
            <w:tcW w:w="1360" w:type="dxa"/>
            <w:vAlign w:val="bottom"/>
            <w:tcBorders>
              <w:top w:val="single" w:sz="8" w:color="AF0000"/>
            </w:tcBorders>
          </w:tcPr>
          <w:p>
            <w:pPr>
              <w:jc w:val="center"/>
              <w:spacing w:after="0"/>
              <w:rPr>
                <w:sz w:val="20"/>
                <w:szCs w:val="20"/>
                <w:color w:val="auto"/>
              </w:rPr>
            </w:pPr>
            <w:r>
              <w:rPr>
                <w:rFonts w:ascii="Calibri" w:cs="Calibri" w:eastAsia="Calibri" w:hAnsi="Calibri"/>
                <w:sz w:val="18"/>
                <w:szCs w:val="18"/>
                <w:b w:val="1"/>
                <w:bCs w:val="1"/>
                <w:color w:val="auto"/>
                <w:w w:val="96"/>
              </w:rPr>
              <w:t>Maximum</w:t>
            </w:r>
          </w:p>
        </w:tc>
      </w:tr>
      <w:tr>
        <w:trPr>
          <w:trHeight w:val="215"/>
        </w:trPr>
        <w:tc>
          <w:tcPr>
            <w:tcW w:w="2000" w:type="dxa"/>
            <w:vAlign w:val="bottom"/>
          </w:tcPr>
          <w:p>
            <w:pPr>
              <w:ind w:left="80"/>
              <w:spacing w:after="0" w:line="215" w:lineRule="exact"/>
              <w:rPr>
                <w:sz w:val="20"/>
                <w:szCs w:val="20"/>
                <w:color w:val="auto"/>
              </w:rPr>
            </w:pPr>
            <w:r>
              <w:rPr>
                <w:rFonts w:ascii="Calibri" w:cs="Calibri" w:eastAsia="Calibri" w:hAnsi="Calibri"/>
                <w:sz w:val="18"/>
                <w:szCs w:val="18"/>
                <w:b w:val="1"/>
                <w:bCs w:val="1"/>
                <w:color w:val="auto"/>
              </w:rPr>
              <w:t>Payout</w:t>
            </w:r>
          </w:p>
        </w:tc>
        <w:tc>
          <w:tcPr>
            <w:tcW w:w="11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50%</w:t>
            </w:r>
          </w:p>
        </w:tc>
        <w:tc>
          <w:tcPr>
            <w:tcW w:w="9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8"/>
              </w:rPr>
              <w:t>100%</w:t>
            </w:r>
          </w:p>
        </w:tc>
        <w:tc>
          <w:tcPr>
            <w:tcW w:w="13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8"/>
              </w:rPr>
              <w:t>150%</w:t>
            </w:r>
          </w:p>
        </w:tc>
      </w:tr>
      <w:tr>
        <w:trPr>
          <w:trHeight w:val="30"/>
        </w:trPr>
        <w:tc>
          <w:tcPr>
            <w:tcW w:w="2000" w:type="dxa"/>
            <w:vAlign w:val="bottom"/>
            <w:tcBorders>
              <w:bottom w:val="single" w:sz="8" w:color="AF0000"/>
            </w:tcBorders>
          </w:tcPr>
          <w:p>
            <w:pPr>
              <w:spacing w:after="0"/>
              <w:rPr>
                <w:sz w:val="2"/>
                <w:szCs w:val="2"/>
                <w:color w:val="auto"/>
              </w:rPr>
            </w:pPr>
          </w:p>
        </w:tc>
        <w:tc>
          <w:tcPr>
            <w:tcW w:w="1180" w:type="dxa"/>
            <w:vAlign w:val="bottom"/>
            <w:tcBorders>
              <w:bottom w:val="single" w:sz="8" w:color="AF0000"/>
            </w:tcBorders>
          </w:tcPr>
          <w:p>
            <w:pPr>
              <w:spacing w:after="0"/>
              <w:rPr>
                <w:sz w:val="2"/>
                <w:szCs w:val="2"/>
                <w:color w:val="auto"/>
              </w:rPr>
            </w:pPr>
          </w:p>
        </w:tc>
        <w:tc>
          <w:tcPr>
            <w:tcW w:w="980" w:type="dxa"/>
            <w:vAlign w:val="bottom"/>
            <w:tcBorders>
              <w:bottom w:val="single" w:sz="8" w:color="AF0000"/>
            </w:tcBorders>
          </w:tcPr>
          <w:p>
            <w:pPr>
              <w:spacing w:after="0"/>
              <w:rPr>
                <w:sz w:val="2"/>
                <w:szCs w:val="2"/>
                <w:color w:val="auto"/>
              </w:rPr>
            </w:pPr>
          </w:p>
        </w:tc>
        <w:tc>
          <w:tcPr>
            <w:tcW w:w="1360" w:type="dxa"/>
            <w:vAlign w:val="bottom"/>
            <w:tcBorders>
              <w:bottom w:val="single" w:sz="8" w:color="AF0000"/>
            </w:tcBorders>
          </w:tcPr>
          <w:p>
            <w:pPr>
              <w:spacing w:after="0"/>
              <w:rPr>
                <w:sz w:val="2"/>
                <w:szCs w:val="2"/>
                <w:color w:val="auto"/>
              </w:rPr>
            </w:pPr>
          </w:p>
        </w:tc>
      </w:tr>
      <w:tr>
        <w:trPr>
          <w:trHeight w:val="215"/>
        </w:trPr>
        <w:tc>
          <w:tcPr>
            <w:tcW w:w="200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Sales</w:t>
            </w:r>
          </w:p>
        </w:tc>
        <w:tc>
          <w:tcPr>
            <w:tcW w:w="1180" w:type="dxa"/>
            <w:vAlign w:val="bottom"/>
            <w:tcBorders>
              <w:bottom w:val="single" w:sz="8" w:color="A6A6A6"/>
            </w:tcBorders>
          </w:tcPr>
          <w:p>
            <w:pPr>
              <w:jc w:val="center"/>
              <w:spacing w:after="0" w:line="215" w:lineRule="exact"/>
              <w:rPr>
                <w:sz w:val="20"/>
                <w:szCs w:val="20"/>
                <w:color w:val="auto"/>
              </w:rPr>
            </w:pPr>
            <w:r>
              <w:rPr>
                <w:rFonts w:ascii="Calibri" w:cs="Calibri" w:eastAsia="Calibri" w:hAnsi="Calibri"/>
                <w:sz w:val="18"/>
                <w:szCs w:val="18"/>
                <w:color w:val="auto"/>
              </w:rPr>
              <w:t>90%</w:t>
            </w:r>
          </w:p>
        </w:tc>
        <w:tc>
          <w:tcPr>
            <w:tcW w:w="980" w:type="dxa"/>
            <w:vAlign w:val="bottom"/>
            <w:tcBorders>
              <w:bottom w:val="single" w:sz="8" w:color="A6A6A6"/>
            </w:tcBorders>
          </w:tcPr>
          <w:p>
            <w:pPr>
              <w:jc w:val="center"/>
              <w:spacing w:after="0" w:line="215" w:lineRule="exact"/>
              <w:rPr>
                <w:sz w:val="20"/>
                <w:szCs w:val="20"/>
                <w:color w:val="auto"/>
              </w:rPr>
            </w:pPr>
            <w:r>
              <w:rPr>
                <w:rFonts w:ascii="Calibri" w:cs="Calibri" w:eastAsia="Calibri" w:hAnsi="Calibri"/>
                <w:sz w:val="18"/>
                <w:szCs w:val="18"/>
                <w:color w:val="auto"/>
                <w:w w:val="99"/>
              </w:rPr>
              <w:t>100%</w:t>
            </w:r>
          </w:p>
        </w:tc>
        <w:tc>
          <w:tcPr>
            <w:tcW w:w="1360" w:type="dxa"/>
            <w:vAlign w:val="bottom"/>
            <w:tcBorders>
              <w:bottom w:val="single" w:sz="8" w:color="A6A6A6"/>
            </w:tcBorders>
          </w:tcPr>
          <w:p>
            <w:pPr>
              <w:jc w:val="center"/>
              <w:spacing w:after="0" w:line="215" w:lineRule="exact"/>
              <w:rPr>
                <w:sz w:val="20"/>
                <w:szCs w:val="20"/>
                <w:color w:val="auto"/>
              </w:rPr>
            </w:pPr>
            <w:r>
              <w:rPr>
                <w:rFonts w:ascii="Calibri" w:cs="Calibri" w:eastAsia="Calibri" w:hAnsi="Calibri"/>
                <w:sz w:val="18"/>
                <w:szCs w:val="18"/>
                <w:color w:val="auto"/>
                <w:w w:val="99"/>
              </w:rPr>
              <w:t>110%</w:t>
            </w:r>
          </w:p>
        </w:tc>
      </w:tr>
      <w:tr>
        <w:trPr>
          <w:trHeight w:val="210"/>
        </w:trPr>
        <w:tc>
          <w:tcPr>
            <w:tcW w:w="200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Operatng Margin</w:t>
            </w:r>
          </w:p>
        </w:tc>
        <w:tc>
          <w:tcPr>
            <w:tcW w:w="11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rPr>
              <w:t>95%</w:t>
            </w:r>
          </w:p>
        </w:tc>
        <w:tc>
          <w:tcPr>
            <w:tcW w:w="9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100%</w:t>
            </w:r>
          </w:p>
        </w:tc>
        <w:tc>
          <w:tcPr>
            <w:tcW w:w="136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105%</w:t>
            </w:r>
          </w:p>
        </w:tc>
      </w:tr>
      <w:tr>
        <w:trPr>
          <w:trHeight w:val="210"/>
        </w:trPr>
        <w:tc>
          <w:tcPr>
            <w:tcW w:w="200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Earnings Per Share</w:t>
            </w:r>
          </w:p>
        </w:tc>
        <w:tc>
          <w:tcPr>
            <w:tcW w:w="11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rPr>
              <w:t>80%</w:t>
            </w:r>
          </w:p>
        </w:tc>
        <w:tc>
          <w:tcPr>
            <w:tcW w:w="9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100%</w:t>
            </w:r>
          </w:p>
        </w:tc>
        <w:tc>
          <w:tcPr>
            <w:tcW w:w="136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120%</w:t>
            </w:r>
          </w:p>
        </w:tc>
      </w:tr>
      <w:tr>
        <w:trPr>
          <w:trHeight w:val="217"/>
        </w:trPr>
        <w:tc>
          <w:tcPr>
            <w:tcW w:w="2000" w:type="dxa"/>
            <w:vAlign w:val="bottom"/>
            <w:tcBorders>
              <w:bottom w:val="single" w:sz="8" w:color="AF0000"/>
            </w:tcBorders>
          </w:tcPr>
          <w:p>
            <w:pPr>
              <w:ind w:left="80"/>
              <w:spacing w:after="0" w:line="209" w:lineRule="exact"/>
              <w:rPr>
                <w:sz w:val="20"/>
                <w:szCs w:val="20"/>
                <w:color w:val="auto"/>
              </w:rPr>
            </w:pPr>
            <w:r>
              <w:rPr>
                <w:rFonts w:ascii="Calibri" w:cs="Calibri" w:eastAsia="Calibri" w:hAnsi="Calibri"/>
                <w:sz w:val="18"/>
                <w:szCs w:val="18"/>
                <w:color w:val="auto"/>
              </w:rPr>
              <w:t>Foundatons for Growth</w:t>
            </w:r>
          </w:p>
        </w:tc>
        <w:tc>
          <w:tcPr>
            <w:tcW w:w="1180" w:type="dxa"/>
            <w:vAlign w:val="bottom"/>
            <w:tcBorders>
              <w:bottom w:val="single" w:sz="8" w:color="AF0000"/>
            </w:tcBorders>
          </w:tcPr>
          <w:p>
            <w:pPr>
              <w:jc w:val="center"/>
              <w:spacing w:after="0" w:line="209" w:lineRule="exact"/>
              <w:rPr>
                <w:sz w:val="20"/>
                <w:szCs w:val="20"/>
                <w:color w:val="auto"/>
              </w:rPr>
            </w:pPr>
            <w:r>
              <w:rPr>
                <w:rFonts w:ascii="Calibri" w:cs="Calibri" w:eastAsia="Calibri" w:hAnsi="Calibri"/>
                <w:sz w:val="18"/>
                <w:szCs w:val="18"/>
                <w:color w:val="auto"/>
              </w:rPr>
              <w:t>90%</w:t>
            </w:r>
          </w:p>
        </w:tc>
        <w:tc>
          <w:tcPr>
            <w:tcW w:w="980" w:type="dxa"/>
            <w:vAlign w:val="bottom"/>
            <w:tcBorders>
              <w:bottom w:val="single" w:sz="8" w:color="AF0000"/>
            </w:tcBorders>
          </w:tcPr>
          <w:p>
            <w:pPr>
              <w:jc w:val="center"/>
              <w:spacing w:after="0" w:line="209" w:lineRule="exact"/>
              <w:rPr>
                <w:sz w:val="20"/>
                <w:szCs w:val="20"/>
                <w:color w:val="auto"/>
              </w:rPr>
            </w:pPr>
            <w:r>
              <w:rPr>
                <w:rFonts w:ascii="Calibri" w:cs="Calibri" w:eastAsia="Calibri" w:hAnsi="Calibri"/>
                <w:sz w:val="18"/>
                <w:szCs w:val="18"/>
                <w:color w:val="auto"/>
                <w:w w:val="99"/>
              </w:rPr>
              <w:t>100%</w:t>
            </w:r>
          </w:p>
        </w:tc>
        <w:tc>
          <w:tcPr>
            <w:tcW w:w="1360" w:type="dxa"/>
            <w:vAlign w:val="bottom"/>
            <w:tcBorders>
              <w:bottom w:val="single" w:sz="8" w:color="AF0000"/>
            </w:tcBorders>
          </w:tcPr>
          <w:p>
            <w:pPr>
              <w:jc w:val="center"/>
              <w:spacing w:after="0" w:line="209" w:lineRule="exact"/>
              <w:rPr>
                <w:sz w:val="20"/>
                <w:szCs w:val="20"/>
                <w:color w:val="auto"/>
              </w:rPr>
            </w:pPr>
            <w:r>
              <w:rPr>
                <w:rFonts w:ascii="Calibri" w:cs="Calibri" w:eastAsia="Calibri" w:hAnsi="Calibri"/>
                <w:sz w:val="18"/>
                <w:szCs w:val="18"/>
                <w:color w:val="auto"/>
                <w:w w:val="99"/>
              </w:rPr>
              <w:t>110%</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50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54" w:name="page55"/>
    <w:bookmarkEnd w:id="54"/>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5080"/>
        <w:spacing w:after="0"/>
        <w:rPr>
          <w:sz w:val="20"/>
          <w:szCs w:val="20"/>
          <w:color w:val="auto"/>
        </w:rPr>
      </w:pPr>
      <w:r>
        <w:rPr>
          <w:rFonts w:ascii="Calibri" w:cs="Calibri" w:eastAsia="Calibri" w:hAnsi="Calibri"/>
          <w:sz w:val="17"/>
          <w:szCs w:val="17"/>
          <w:color w:val="auto"/>
        </w:rPr>
        <w:t>EXECUTIVE COMPENSATION AND RELATED MATTERS</w:t>
      </w:r>
    </w:p>
    <w:p>
      <w:pPr>
        <w:spacing w:after="0" w:line="184" w:lineRule="exact"/>
        <w:rPr>
          <w:sz w:val="20"/>
          <w:szCs w:val="20"/>
          <w:color w:val="auto"/>
        </w:rPr>
      </w:pPr>
    </w:p>
    <w:p>
      <w:pPr>
        <w:ind w:left="200" w:right="539"/>
        <w:spacing w:after="0" w:line="235" w:lineRule="auto"/>
        <w:rPr>
          <w:sz w:val="20"/>
          <w:szCs w:val="20"/>
          <w:color w:val="auto"/>
        </w:rPr>
      </w:pPr>
      <w:r>
        <w:rPr>
          <w:rFonts w:ascii="Calibri" w:cs="Calibri" w:eastAsia="Calibri" w:hAnsi="Calibri"/>
          <w:sz w:val="18"/>
          <w:szCs w:val="18"/>
          <w:color w:val="auto"/>
        </w:rPr>
        <w:t>The specifc 2023 performance bonus objectves and modifer established by the Compensaton Commitee together with the level of our actual 2023 performance in those categories,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545211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3560" w:type="dxa"/>
            <w:vAlign w:val="bottom"/>
            <w:vMerge w:val="restart"/>
          </w:tcPr>
          <w:p>
            <w:pPr>
              <w:spacing w:after="0"/>
              <w:rPr>
                <w:sz w:val="20"/>
                <w:szCs w:val="20"/>
                <w:color w:val="auto"/>
              </w:rPr>
            </w:pPr>
            <w:r>
              <w:rPr>
                <w:rFonts w:ascii="Calibri" w:cs="Calibri" w:eastAsia="Calibri" w:hAnsi="Calibri"/>
                <w:sz w:val="18"/>
                <w:szCs w:val="18"/>
                <w:b w:val="1"/>
                <w:bCs w:val="1"/>
                <w:color w:val="auto"/>
              </w:rPr>
              <w:t>Performance Bonus Objectves and Modifer</w:t>
            </w:r>
          </w:p>
        </w:tc>
        <w:tc>
          <w:tcPr>
            <w:tcW w:w="52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2023 Goals</w:t>
            </w:r>
          </w:p>
        </w:tc>
        <w:tc>
          <w:tcPr>
            <w:tcW w:w="220" w:type="dxa"/>
            <w:vAlign w:val="bottom"/>
          </w:tcPr>
          <w:p>
            <w:pPr>
              <w:spacing w:after="0"/>
              <w:rPr>
                <w:sz w:val="19"/>
                <w:szCs w:val="19"/>
                <w:color w:val="auto"/>
              </w:rPr>
            </w:pPr>
          </w:p>
        </w:tc>
        <w:tc>
          <w:tcPr>
            <w:tcW w:w="1140" w:type="dxa"/>
            <w:vAlign w:val="bottom"/>
            <w:vMerge w:val="restart"/>
          </w:tcPr>
          <w:p>
            <w:pPr>
              <w:jc w:val="right"/>
              <w:ind w:right="70"/>
              <w:spacing w:after="0"/>
              <w:rPr>
                <w:sz w:val="20"/>
                <w:szCs w:val="20"/>
                <w:color w:val="auto"/>
              </w:rPr>
            </w:pPr>
            <w:r>
              <w:rPr>
                <w:rFonts w:ascii="Calibri" w:cs="Calibri" w:eastAsia="Calibri" w:hAnsi="Calibri"/>
                <w:sz w:val="18"/>
                <w:szCs w:val="18"/>
                <w:b w:val="1"/>
                <w:bCs w:val="1"/>
                <w:color w:val="auto"/>
              </w:rPr>
              <w:t>2023 Results</w:t>
            </w:r>
          </w:p>
        </w:tc>
        <w:tc>
          <w:tcPr>
            <w:tcW w:w="860" w:type="dxa"/>
            <w:vAlign w:val="bottom"/>
          </w:tcPr>
          <w:p>
            <w:pPr>
              <w:jc w:val="right"/>
              <w:ind w:right="110"/>
              <w:spacing w:after="0"/>
              <w:rPr>
                <w:sz w:val="20"/>
                <w:szCs w:val="20"/>
                <w:color w:val="auto"/>
              </w:rPr>
            </w:pPr>
            <w:r>
              <w:rPr>
                <w:rFonts w:ascii="Calibri" w:cs="Calibri" w:eastAsia="Calibri" w:hAnsi="Calibri"/>
                <w:sz w:val="18"/>
                <w:szCs w:val="18"/>
                <w:b w:val="1"/>
                <w:bCs w:val="1"/>
                <w:color w:val="auto"/>
              </w:rPr>
              <w:t>Target</w:t>
            </w:r>
          </w:p>
        </w:tc>
        <w:tc>
          <w:tcPr>
            <w:tcW w:w="104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Atainment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60" w:type="dxa"/>
            <w:vAlign w:val="bottom"/>
          </w:tcPr>
          <w:p>
            <w:pPr>
              <w:jc w:val="right"/>
              <w:ind w:right="110"/>
              <w:spacing w:after="0" w:line="216" w:lineRule="exact"/>
              <w:rPr>
                <w:sz w:val="20"/>
                <w:szCs w:val="20"/>
                <w:color w:val="auto"/>
              </w:rPr>
            </w:pPr>
            <w:r>
              <w:rPr>
                <w:rFonts w:ascii="Calibri" w:cs="Calibri" w:eastAsia="Calibri" w:hAnsi="Calibri"/>
                <w:sz w:val="18"/>
                <w:szCs w:val="18"/>
                <w:b w:val="1"/>
                <w:bCs w:val="1"/>
                <w:color w:val="auto"/>
              </w:rPr>
              <w:t>Weight</w:t>
            </w:r>
          </w:p>
        </w:tc>
        <w:tc>
          <w:tcPr>
            <w:tcW w:w="1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560" w:type="dxa"/>
            <w:vAlign w:val="bottom"/>
            <w:tcBorders>
              <w:bottom w:val="single" w:sz="8" w:color="AF0000"/>
            </w:tcBorders>
          </w:tcPr>
          <w:p>
            <w:pPr>
              <w:spacing w:after="0"/>
              <w:rPr>
                <w:sz w:val="3"/>
                <w:szCs w:val="3"/>
                <w:color w:val="auto"/>
              </w:rPr>
            </w:pPr>
          </w:p>
        </w:tc>
        <w:tc>
          <w:tcPr>
            <w:tcW w:w="520" w:type="dxa"/>
            <w:vAlign w:val="bottom"/>
            <w:tcBorders>
              <w:bottom w:val="single" w:sz="8" w:color="AF0000"/>
            </w:tcBorders>
          </w:tcPr>
          <w:p>
            <w:pPr>
              <w:spacing w:after="0"/>
              <w:rPr>
                <w:sz w:val="3"/>
                <w:szCs w:val="3"/>
                <w:color w:val="auto"/>
              </w:rPr>
            </w:pPr>
          </w:p>
        </w:tc>
        <w:tc>
          <w:tcPr>
            <w:tcW w:w="940" w:type="dxa"/>
            <w:vAlign w:val="bottom"/>
            <w:tcBorders>
              <w:bottom w:val="single" w:sz="8" w:color="AF0000"/>
            </w:tcBorders>
          </w:tcPr>
          <w:p>
            <w:pPr>
              <w:spacing w:after="0"/>
              <w:rPr>
                <w:sz w:val="3"/>
                <w:szCs w:val="3"/>
                <w:color w:val="auto"/>
              </w:rPr>
            </w:pPr>
          </w:p>
        </w:tc>
        <w:tc>
          <w:tcPr>
            <w:tcW w:w="220" w:type="dxa"/>
            <w:vAlign w:val="bottom"/>
            <w:tcBorders>
              <w:bottom w:val="single" w:sz="8" w:color="AF0000"/>
            </w:tcBorders>
          </w:tcPr>
          <w:p>
            <w:pPr>
              <w:spacing w:after="0"/>
              <w:rPr>
                <w:sz w:val="3"/>
                <w:szCs w:val="3"/>
                <w:color w:val="auto"/>
              </w:rPr>
            </w:pPr>
          </w:p>
        </w:tc>
        <w:tc>
          <w:tcPr>
            <w:tcW w:w="1140" w:type="dxa"/>
            <w:vAlign w:val="bottom"/>
            <w:tcBorders>
              <w:bottom w:val="single" w:sz="8" w:color="AF0000"/>
            </w:tcBorders>
          </w:tcPr>
          <w:p>
            <w:pPr>
              <w:spacing w:after="0"/>
              <w:rPr>
                <w:sz w:val="3"/>
                <w:szCs w:val="3"/>
                <w:color w:val="auto"/>
              </w:rPr>
            </w:pPr>
          </w:p>
        </w:tc>
        <w:tc>
          <w:tcPr>
            <w:tcW w:w="860" w:type="dxa"/>
            <w:vAlign w:val="bottom"/>
            <w:tcBorders>
              <w:bottom w:val="single" w:sz="8" w:color="AF0000"/>
            </w:tcBorders>
          </w:tcPr>
          <w:p>
            <w:pPr>
              <w:spacing w:after="0"/>
              <w:rPr>
                <w:sz w:val="3"/>
                <w:szCs w:val="3"/>
                <w:color w:val="auto"/>
              </w:rPr>
            </w:pPr>
          </w:p>
        </w:tc>
        <w:tc>
          <w:tcPr>
            <w:tcW w:w="1040" w:type="dxa"/>
            <w:vAlign w:val="bottom"/>
            <w:tcBorders>
              <w:bottom w:val="single" w:sz="8" w:color="AF0000"/>
            </w:tcBorders>
          </w:tcPr>
          <w:p>
            <w:pPr>
              <w:spacing w:after="0"/>
              <w:rPr>
                <w:sz w:val="3"/>
                <w:szCs w:val="3"/>
                <w:color w:val="auto"/>
              </w:rPr>
            </w:pPr>
          </w:p>
        </w:tc>
        <w:tc>
          <w:tcPr>
            <w:tcW w:w="300" w:type="dxa"/>
            <w:vAlign w:val="bottom"/>
            <w:tcBorders>
              <w:bottom w:val="single" w:sz="8" w:color="AF0000"/>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560" w:type="dxa"/>
            <w:vAlign w:val="bottom"/>
          </w:tcPr>
          <w:p>
            <w:pPr>
              <w:spacing w:after="0" w:line="215" w:lineRule="exact"/>
              <w:rPr>
                <w:sz w:val="20"/>
                <w:szCs w:val="20"/>
                <w:color w:val="auto"/>
              </w:rPr>
            </w:pPr>
            <w:r>
              <w:rPr>
                <w:rFonts w:ascii="Calibri" w:cs="Calibri" w:eastAsia="Calibri" w:hAnsi="Calibri"/>
                <w:sz w:val="18"/>
                <w:szCs w:val="18"/>
                <w:color w:val="auto"/>
              </w:rPr>
              <w:t>Sales Objectve</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1,218M</w:t>
            </w:r>
          </w:p>
        </w:tc>
        <w:tc>
          <w:tcPr>
            <w:tcW w:w="2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1,257M</w:t>
            </w:r>
          </w:p>
        </w:tc>
        <w:tc>
          <w:tcPr>
            <w:tcW w:w="8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40%</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46.40%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3560" w:type="dxa"/>
            <w:vAlign w:val="bottom"/>
            <w:tcBorders>
              <w:bottom w:val="single" w:sz="8" w:color="A6A6A6"/>
            </w:tcBorders>
          </w:tcPr>
          <w:p>
            <w:pPr>
              <w:spacing w:after="0"/>
              <w:rPr>
                <w:sz w:val="3"/>
                <w:szCs w:val="3"/>
                <w:color w:val="auto"/>
              </w:rPr>
            </w:pPr>
          </w:p>
        </w:tc>
        <w:tc>
          <w:tcPr>
            <w:tcW w:w="5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A6A6A6"/>
            </w:tcBorders>
          </w:tcPr>
          <w:p>
            <w:pPr>
              <w:spacing w:after="0" w:line="250" w:lineRule="exact"/>
              <w:rPr>
                <w:sz w:val="20"/>
                <w:szCs w:val="20"/>
                <w:color w:val="auto"/>
              </w:rPr>
            </w:pPr>
            <w:r>
              <w:rPr>
                <w:rFonts w:ascii="Calibri" w:cs="Calibri" w:eastAsia="Calibri" w:hAnsi="Calibri"/>
                <w:sz w:val="18"/>
                <w:szCs w:val="18"/>
                <w:color w:val="auto"/>
              </w:rPr>
              <w:t xml:space="preserve">Operatng Margin (Non-GAAP) Objectve </w:t>
            </w:r>
            <w:r>
              <w:rPr>
                <w:rFonts w:ascii="Calibri" w:cs="Calibri" w:eastAsia="Calibri" w:hAnsi="Calibri"/>
                <w:sz w:val="24"/>
                <w:szCs w:val="24"/>
                <w:b w:val="1"/>
                <w:bCs w:val="1"/>
                <w:color w:val="AF0000"/>
                <w:vertAlign w:val="superscript"/>
              </w:rPr>
              <w:t>(1)</w:t>
            </w:r>
          </w:p>
        </w:tc>
        <w:tc>
          <w:tcPr>
            <w:tcW w:w="520" w:type="dxa"/>
            <w:vAlign w:val="bottom"/>
            <w:tcBorders>
              <w:bottom w:val="single" w:sz="8" w:color="A6A6A6"/>
            </w:tcBorders>
          </w:tcPr>
          <w:p>
            <w:pPr>
              <w:spacing w:after="0"/>
              <w:rPr>
                <w:sz w:val="21"/>
                <w:szCs w:val="21"/>
                <w:color w:val="auto"/>
              </w:rPr>
            </w:pPr>
          </w:p>
        </w:tc>
        <w:tc>
          <w:tcPr>
            <w:tcW w:w="94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18.20%</w:t>
            </w:r>
          </w:p>
        </w:tc>
        <w:tc>
          <w:tcPr>
            <w:tcW w:w="220" w:type="dxa"/>
            <w:vAlign w:val="bottom"/>
            <w:tcBorders>
              <w:bottom w:val="single" w:sz="8" w:color="A6A6A6"/>
            </w:tcBorders>
          </w:tcPr>
          <w:p>
            <w:pPr>
              <w:spacing w:after="0"/>
              <w:rPr>
                <w:sz w:val="21"/>
                <w:szCs w:val="21"/>
                <w:color w:val="auto"/>
              </w:rPr>
            </w:pPr>
          </w:p>
        </w:tc>
        <w:tc>
          <w:tcPr>
            <w:tcW w:w="1140" w:type="dxa"/>
            <w:vAlign w:val="bottom"/>
            <w:tcBorders>
              <w:bottom w:val="single" w:sz="8" w:color="A6A6A6"/>
            </w:tcBorders>
          </w:tcPr>
          <w:p>
            <w:pPr>
              <w:jc w:val="right"/>
              <w:ind w:right="70"/>
              <w:spacing w:after="0" w:line="215" w:lineRule="exact"/>
              <w:rPr>
                <w:sz w:val="20"/>
                <w:szCs w:val="20"/>
                <w:color w:val="auto"/>
              </w:rPr>
            </w:pPr>
            <w:r>
              <w:rPr>
                <w:rFonts w:ascii="Calibri" w:cs="Calibri" w:eastAsia="Calibri" w:hAnsi="Calibri"/>
                <w:sz w:val="18"/>
                <w:szCs w:val="18"/>
                <w:color w:val="auto"/>
              </w:rPr>
              <w:t>18.15%</w:t>
            </w:r>
          </w:p>
        </w:tc>
        <w:tc>
          <w:tcPr>
            <w:tcW w:w="860" w:type="dxa"/>
            <w:vAlign w:val="bottom"/>
            <w:tcBorders>
              <w:bottom w:val="single" w:sz="8" w:color="A6A6A6"/>
            </w:tcBorders>
          </w:tcPr>
          <w:p>
            <w:pPr>
              <w:jc w:val="right"/>
              <w:ind w:right="110"/>
              <w:spacing w:after="0" w:line="215" w:lineRule="exact"/>
              <w:rPr>
                <w:sz w:val="20"/>
                <w:szCs w:val="20"/>
                <w:color w:val="auto"/>
              </w:rPr>
            </w:pPr>
            <w:r>
              <w:rPr>
                <w:rFonts w:ascii="Calibri" w:cs="Calibri" w:eastAsia="Calibri" w:hAnsi="Calibri"/>
                <w:sz w:val="18"/>
                <w:szCs w:val="18"/>
                <w:color w:val="auto"/>
              </w:rPr>
              <w:t>40%</w:t>
            </w:r>
          </w:p>
        </w:tc>
        <w:tc>
          <w:tcPr>
            <w:tcW w:w="104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38.90%</w:t>
            </w:r>
          </w:p>
        </w:tc>
        <w:tc>
          <w:tcPr>
            <w:tcW w:w="300" w:type="dxa"/>
            <w:vAlign w:val="bottom"/>
            <w:tcBorders>
              <w:bottom w:val="single" w:sz="8" w:color="A6A6A6"/>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A6A6A6"/>
            </w:tcBorders>
          </w:tcPr>
          <w:p>
            <w:pPr>
              <w:spacing w:after="0" w:line="250" w:lineRule="exact"/>
              <w:rPr>
                <w:sz w:val="20"/>
                <w:szCs w:val="20"/>
                <w:color w:val="auto"/>
              </w:rPr>
            </w:pPr>
            <w:r>
              <w:rPr>
                <w:rFonts w:ascii="Calibri" w:cs="Calibri" w:eastAsia="Calibri" w:hAnsi="Calibri"/>
                <w:sz w:val="18"/>
                <w:szCs w:val="18"/>
                <w:color w:val="auto"/>
              </w:rPr>
              <w:t xml:space="preserve">Earnings Per Share (Non-GAAP) Objectve </w:t>
            </w:r>
            <w:r>
              <w:rPr>
                <w:rFonts w:ascii="Calibri" w:cs="Calibri" w:eastAsia="Calibri" w:hAnsi="Calibri"/>
                <w:sz w:val="24"/>
                <w:szCs w:val="24"/>
                <w:b w:val="1"/>
                <w:bCs w:val="1"/>
                <w:color w:val="AF0000"/>
                <w:vertAlign w:val="superscript"/>
              </w:rPr>
              <w:t>(2)</w:t>
            </w:r>
          </w:p>
        </w:tc>
        <w:tc>
          <w:tcPr>
            <w:tcW w:w="52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2.89</w:t>
            </w:r>
          </w:p>
        </w:tc>
        <w:tc>
          <w:tcPr>
            <w:tcW w:w="22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6A6A6"/>
            </w:tcBorders>
          </w:tcPr>
          <w:p>
            <w:pPr>
              <w:jc w:val="right"/>
              <w:ind w:right="70"/>
              <w:spacing w:after="0" w:line="215" w:lineRule="exact"/>
              <w:rPr>
                <w:sz w:val="20"/>
                <w:szCs w:val="20"/>
                <w:color w:val="auto"/>
              </w:rPr>
            </w:pPr>
            <w:r>
              <w:rPr>
                <w:rFonts w:ascii="Calibri" w:cs="Calibri" w:eastAsia="Calibri" w:hAnsi="Calibri"/>
                <w:sz w:val="18"/>
                <w:szCs w:val="18"/>
                <w:color w:val="auto"/>
              </w:rPr>
              <w:t>3.01</w:t>
            </w:r>
          </w:p>
        </w:tc>
        <w:tc>
          <w:tcPr>
            <w:tcW w:w="860" w:type="dxa"/>
            <w:vAlign w:val="bottom"/>
            <w:tcBorders>
              <w:bottom w:val="single" w:sz="8" w:color="A6A6A6"/>
            </w:tcBorders>
          </w:tcPr>
          <w:p>
            <w:pPr>
              <w:jc w:val="right"/>
              <w:ind w:right="110"/>
              <w:spacing w:after="0" w:line="215" w:lineRule="exact"/>
              <w:rPr>
                <w:sz w:val="20"/>
                <w:szCs w:val="20"/>
                <w:color w:val="auto"/>
              </w:rPr>
            </w:pPr>
            <w:r>
              <w:rPr>
                <w:rFonts w:ascii="Calibri" w:cs="Calibri" w:eastAsia="Calibri" w:hAnsi="Calibri"/>
                <w:sz w:val="18"/>
                <w:szCs w:val="18"/>
                <w:color w:val="auto"/>
              </w:rPr>
              <w:t>20%</w:t>
            </w:r>
          </w:p>
        </w:tc>
        <w:tc>
          <w:tcPr>
            <w:tcW w:w="104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22.08%</w:t>
            </w:r>
          </w:p>
        </w:tc>
        <w:tc>
          <w:tcPr>
            <w:tcW w:w="300" w:type="dxa"/>
            <w:vAlign w:val="bottom"/>
            <w:tcBorders>
              <w:bottom w:val="single" w:sz="8" w:color="A6A6A6"/>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560" w:type="dxa"/>
            <w:vAlign w:val="bottom"/>
          </w:tcPr>
          <w:p>
            <w:pPr>
              <w:spacing w:after="0" w:line="208" w:lineRule="exact"/>
              <w:rPr>
                <w:sz w:val="20"/>
                <w:szCs w:val="20"/>
                <w:color w:val="auto"/>
              </w:rPr>
            </w:pPr>
            <w:r>
              <w:rPr>
                <w:rFonts w:ascii="Calibri" w:cs="Calibri" w:eastAsia="Calibri" w:hAnsi="Calibri"/>
                <w:sz w:val="18"/>
                <w:szCs w:val="18"/>
                <w:color w:val="auto"/>
              </w:rPr>
              <w:t>FFG Modifer</w:t>
            </w:r>
          </w:p>
        </w:tc>
        <w:tc>
          <w:tcPr>
            <w:tcW w:w="52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08" w:lineRule="exact"/>
              <w:rPr>
                <w:sz w:val="20"/>
                <w:szCs w:val="20"/>
                <w:color w:val="auto"/>
              </w:rPr>
            </w:pPr>
            <w:r>
              <w:rPr>
                <w:rFonts w:ascii="Calibri" w:cs="Calibri" w:eastAsia="Calibri" w:hAnsi="Calibri"/>
                <w:sz w:val="18"/>
                <w:szCs w:val="18"/>
                <w:color w:val="auto"/>
              </w:rPr>
              <w:t>28M</w:t>
            </w:r>
          </w:p>
        </w:tc>
        <w:tc>
          <w:tcPr>
            <w:tcW w:w="22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70"/>
              <w:spacing w:after="0" w:line="208" w:lineRule="exact"/>
              <w:rPr>
                <w:sz w:val="20"/>
                <w:szCs w:val="20"/>
                <w:color w:val="auto"/>
              </w:rPr>
            </w:pPr>
            <w:r>
              <w:rPr>
                <w:rFonts w:ascii="Calibri" w:cs="Calibri" w:eastAsia="Calibri" w:hAnsi="Calibri"/>
                <w:sz w:val="18"/>
                <w:szCs w:val="18"/>
                <w:color w:val="auto"/>
              </w:rPr>
              <w:t>36.5M</w:t>
            </w:r>
          </w:p>
        </w:tc>
        <w:tc>
          <w:tcPr>
            <w:tcW w:w="860" w:type="dxa"/>
            <w:vAlign w:val="bottom"/>
          </w:tcPr>
          <w:p>
            <w:pPr>
              <w:jc w:val="right"/>
              <w:ind w:right="110"/>
              <w:spacing w:after="0" w:line="208" w:lineRule="exact"/>
              <w:rPr>
                <w:sz w:val="20"/>
                <w:szCs w:val="20"/>
                <w:color w:val="auto"/>
              </w:rPr>
            </w:pPr>
            <w:r>
              <w:rPr>
                <w:rFonts w:ascii="Calibri" w:cs="Calibri" w:eastAsia="Calibri" w:hAnsi="Calibri"/>
                <w:sz w:val="18"/>
                <w:szCs w:val="18"/>
                <w:color w:val="auto"/>
              </w:rPr>
              <w:t>100%</w:t>
            </w:r>
          </w:p>
        </w:tc>
        <w:tc>
          <w:tcPr>
            <w:tcW w:w="1040" w:type="dxa"/>
            <w:vAlign w:val="bottom"/>
          </w:tcPr>
          <w:p>
            <w:pPr>
              <w:jc w:val="right"/>
              <w:spacing w:after="0" w:line="208" w:lineRule="exact"/>
              <w:rPr>
                <w:sz w:val="20"/>
                <w:szCs w:val="20"/>
                <w:color w:val="auto"/>
              </w:rPr>
            </w:pPr>
            <w:r>
              <w:rPr>
                <w:rFonts w:ascii="Calibri" w:cs="Calibri" w:eastAsia="Calibri" w:hAnsi="Calibri"/>
                <w:sz w:val="18"/>
                <w:szCs w:val="18"/>
                <w:color w:val="auto"/>
              </w:rPr>
              <w:t>110%</w:t>
            </w:r>
          </w:p>
        </w:tc>
        <w:tc>
          <w:tcPr>
            <w:tcW w:w="300" w:type="dxa"/>
            <w:vAlign w:val="bottom"/>
          </w:tcPr>
          <w:p>
            <w:pPr>
              <w:jc w:val="right"/>
              <w:ind w:right="59"/>
              <w:spacing w:after="0" w:line="145" w:lineRule="exact"/>
              <w:rPr>
                <w:sz w:val="20"/>
                <w:szCs w:val="20"/>
                <w:color w:val="auto"/>
              </w:rPr>
            </w:pPr>
            <w:r>
              <w:rPr>
                <w:rFonts w:ascii="Calibri" w:cs="Calibri" w:eastAsia="Calibri" w:hAnsi="Calibri"/>
                <w:sz w:val="12"/>
                <w:szCs w:val="12"/>
                <w:b w:val="1"/>
                <w:bCs w:val="1"/>
                <w:color w:val="AF0000"/>
              </w:rPr>
              <w:t>(3)</w:t>
            </w:r>
          </w:p>
        </w:tc>
        <w:tc>
          <w:tcPr>
            <w:tcW w:w="0" w:type="dxa"/>
            <w:vAlign w:val="bottom"/>
          </w:tcPr>
          <w:p>
            <w:pPr>
              <w:spacing w:after="0"/>
              <w:rPr>
                <w:sz w:val="1"/>
                <w:szCs w:val="1"/>
                <w:color w:val="auto"/>
              </w:rPr>
            </w:pPr>
          </w:p>
        </w:tc>
      </w:tr>
      <w:tr>
        <w:trPr>
          <w:trHeight w:val="42"/>
        </w:trPr>
        <w:tc>
          <w:tcPr>
            <w:tcW w:w="3560" w:type="dxa"/>
            <w:vAlign w:val="bottom"/>
            <w:tcBorders>
              <w:bottom w:val="single" w:sz="8" w:color="A6A6A6"/>
            </w:tcBorders>
          </w:tcPr>
          <w:p>
            <w:pPr>
              <w:spacing w:after="0"/>
              <w:rPr>
                <w:sz w:val="3"/>
                <w:szCs w:val="3"/>
                <w:color w:val="auto"/>
              </w:rPr>
            </w:pPr>
          </w:p>
        </w:tc>
        <w:tc>
          <w:tcPr>
            <w:tcW w:w="5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2000" w:type="dxa"/>
            <w:vAlign w:val="bottom"/>
            <w:tcBorders>
              <w:bottom w:val="single" w:sz="8" w:color="A6A6A6"/>
            </w:tcBorders>
            <w:gridSpan w:val="2"/>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AF0000"/>
            </w:tcBorders>
          </w:tcPr>
          <w:p>
            <w:pPr>
              <w:spacing w:after="0"/>
              <w:rPr>
                <w:sz w:val="22"/>
                <w:szCs w:val="22"/>
                <w:color w:val="auto"/>
              </w:rPr>
            </w:pPr>
          </w:p>
        </w:tc>
        <w:tc>
          <w:tcPr>
            <w:tcW w:w="520" w:type="dxa"/>
            <w:vAlign w:val="bottom"/>
            <w:tcBorders>
              <w:bottom w:val="single" w:sz="8" w:color="AF0000"/>
            </w:tcBorders>
          </w:tcPr>
          <w:p>
            <w:pPr>
              <w:spacing w:after="0"/>
              <w:rPr>
                <w:sz w:val="22"/>
                <w:szCs w:val="22"/>
                <w:color w:val="auto"/>
              </w:rPr>
            </w:pPr>
          </w:p>
        </w:tc>
        <w:tc>
          <w:tcPr>
            <w:tcW w:w="940" w:type="dxa"/>
            <w:vAlign w:val="bottom"/>
            <w:tcBorders>
              <w:bottom w:val="single" w:sz="8" w:color="AF0000"/>
            </w:tcBorders>
          </w:tcPr>
          <w:p>
            <w:pPr>
              <w:spacing w:after="0"/>
              <w:rPr>
                <w:sz w:val="22"/>
                <w:szCs w:val="22"/>
                <w:color w:val="auto"/>
              </w:rPr>
            </w:pPr>
          </w:p>
        </w:tc>
        <w:tc>
          <w:tcPr>
            <w:tcW w:w="220" w:type="dxa"/>
            <w:vAlign w:val="bottom"/>
            <w:tcBorders>
              <w:bottom w:val="single" w:sz="8" w:color="AF0000"/>
            </w:tcBorders>
          </w:tcPr>
          <w:p>
            <w:pPr>
              <w:spacing w:after="0"/>
              <w:rPr>
                <w:sz w:val="22"/>
                <w:szCs w:val="22"/>
                <w:color w:val="auto"/>
              </w:rPr>
            </w:pPr>
          </w:p>
        </w:tc>
        <w:tc>
          <w:tcPr>
            <w:tcW w:w="1140" w:type="dxa"/>
            <w:vAlign w:val="bottom"/>
            <w:tcBorders>
              <w:bottom w:val="single" w:sz="8" w:color="AF0000"/>
            </w:tcBorders>
          </w:tcPr>
          <w:p>
            <w:pPr>
              <w:spacing w:after="0"/>
              <w:rPr>
                <w:sz w:val="22"/>
                <w:szCs w:val="22"/>
                <w:color w:val="auto"/>
              </w:rPr>
            </w:pPr>
          </w:p>
        </w:tc>
        <w:tc>
          <w:tcPr>
            <w:tcW w:w="860" w:type="dxa"/>
            <w:vAlign w:val="bottom"/>
            <w:tcBorders>
              <w:bottom w:val="single" w:sz="8" w:color="AF0000"/>
            </w:tcBorders>
          </w:tcPr>
          <w:p>
            <w:pPr>
              <w:spacing w:after="0"/>
              <w:rPr>
                <w:sz w:val="22"/>
                <w:szCs w:val="22"/>
                <w:color w:val="auto"/>
              </w:rPr>
            </w:pPr>
          </w:p>
        </w:tc>
        <w:tc>
          <w:tcPr>
            <w:tcW w:w="1040" w:type="dxa"/>
            <w:vAlign w:val="bottom"/>
            <w:tcBorders>
              <w:bottom w:val="single" w:sz="8" w:color="AF0000"/>
            </w:tcBorders>
          </w:tcPr>
          <w:p>
            <w:pPr>
              <w:spacing w:after="0"/>
              <w:rPr>
                <w:sz w:val="22"/>
                <w:szCs w:val="22"/>
                <w:color w:val="auto"/>
              </w:rPr>
            </w:pPr>
          </w:p>
        </w:tc>
        <w:tc>
          <w:tcPr>
            <w:tcW w:w="300" w:type="dxa"/>
            <w:vAlign w:val="bottom"/>
            <w:tcBorders>
              <w:bottom w:val="single" w:sz="8" w:color="AF0000"/>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b w:val="1"/>
                <w:bCs w:val="1"/>
                <w:color w:val="auto"/>
              </w:rPr>
              <w:t>Total Atainment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118.12%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560" w:type="dxa"/>
            <w:vAlign w:val="bottom"/>
            <w:tcBorders>
              <w:bottom w:val="single" w:sz="8" w:color="AF0000"/>
            </w:tcBorders>
          </w:tcPr>
          <w:p>
            <w:pPr>
              <w:spacing w:after="0"/>
              <w:rPr>
                <w:sz w:val="4"/>
                <w:szCs w:val="4"/>
                <w:color w:val="auto"/>
              </w:rPr>
            </w:pPr>
          </w:p>
        </w:tc>
        <w:tc>
          <w:tcPr>
            <w:tcW w:w="520" w:type="dxa"/>
            <w:vAlign w:val="bottom"/>
            <w:tcBorders>
              <w:bottom w:val="single" w:sz="8" w:color="AF0000"/>
            </w:tcBorders>
          </w:tcPr>
          <w:p>
            <w:pPr>
              <w:spacing w:after="0"/>
              <w:rPr>
                <w:sz w:val="4"/>
                <w:szCs w:val="4"/>
                <w:color w:val="auto"/>
              </w:rPr>
            </w:pPr>
          </w:p>
        </w:tc>
        <w:tc>
          <w:tcPr>
            <w:tcW w:w="940" w:type="dxa"/>
            <w:vAlign w:val="bottom"/>
            <w:tcBorders>
              <w:bottom w:val="single" w:sz="8" w:color="AF0000"/>
            </w:tcBorders>
          </w:tcPr>
          <w:p>
            <w:pPr>
              <w:spacing w:after="0"/>
              <w:rPr>
                <w:sz w:val="4"/>
                <w:szCs w:val="4"/>
                <w:color w:val="auto"/>
              </w:rPr>
            </w:pPr>
          </w:p>
        </w:tc>
        <w:tc>
          <w:tcPr>
            <w:tcW w:w="220" w:type="dxa"/>
            <w:vAlign w:val="bottom"/>
            <w:tcBorders>
              <w:bottom w:val="single" w:sz="8" w:color="AF0000"/>
            </w:tcBorders>
          </w:tcPr>
          <w:p>
            <w:pPr>
              <w:spacing w:after="0"/>
              <w:rPr>
                <w:sz w:val="4"/>
                <w:szCs w:val="4"/>
                <w:color w:val="auto"/>
              </w:rPr>
            </w:pPr>
          </w:p>
        </w:tc>
        <w:tc>
          <w:tcPr>
            <w:tcW w:w="1140" w:type="dxa"/>
            <w:vAlign w:val="bottom"/>
            <w:tcBorders>
              <w:bottom w:val="single" w:sz="8" w:color="AF0000"/>
            </w:tcBorders>
          </w:tcPr>
          <w:p>
            <w:pPr>
              <w:spacing w:after="0"/>
              <w:rPr>
                <w:sz w:val="4"/>
                <w:szCs w:val="4"/>
                <w:color w:val="auto"/>
              </w:rPr>
            </w:pPr>
          </w:p>
        </w:tc>
        <w:tc>
          <w:tcPr>
            <w:tcW w:w="860" w:type="dxa"/>
            <w:vAlign w:val="bottom"/>
            <w:tcBorders>
              <w:bottom w:val="single" w:sz="8" w:color="AF0000"/>
            </w:tcBorders>
          </w:tcPr>
          <w:p>
            <w:pPr>
              <w:spacing w:after="0"/>
              <w:rPr>
                <w:sz w:val="4"/>
                <w:szCs w:val="4"/>
                <w:color w:val="auto"/>
              </w:rPr>
            </w:pPr>
          </w:p>
        </w:tc>
        <w:tc>
          <w:tcPr>
            <w:tcW w:w="1040" w:type="dxa"/>
            <w:vAlign w:val="bottom"/>
            <w:tcBorders>
              <w:bottom w:val="single" w:sz="8" w:color="AF0000"/>
            </w:tcBorders>
          </w:tcPr>
          <w:p>
            <w:pPr>
              <w:spacing w:after="0"/>
              <w:rPr>
                <w:sz w:val="4"/>
                <w:szCs w:val="4"/>
                <w:color w:val="auto"/>
              </w:rPr>
            </w:pPr>
          </w:p>
        </w:tc>
        <w:tc>
          <w:tcPr>
            <w:tcW w:w="300" w:type="dxa"/>
            <w:vAlign w:val="bottom"/>
            <w:tcBorders>
              <w:bottom w:val="single" w:sz="8" w:color="AF000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880" w:right="359" w:hanging="320"/>
        <w:spacing w:after="0" w:line="236" w:lineRule="auto"/>
        <w:tabs>
          <w:tab w:leader="none" w:pos="880" w:val="left"/>
        </w:tabs>
        <w:numPr>
          <w:ilvl w:val="0"/>
          <w:numId w:val="75"/>
        </w:numPr>
        <w:rPr>
          <w:rFonts w:ascii="Calibri" w:cs="Calibri" w:eastAsia="Calibri" w:hAnsi="Calibri"/>
          <w:sz w:val="16"/>
          <w:szCs w:val="16"/>
          <w:color w:val="AF0000"/>
        </w:rPr>
      </w:pPr>
      <w:r>
        <w:rPr>
          <w:rFonts w:ascii="Calibri" w:cs="Calibri" w:eastAsia="Calibri" w:hAnsi="Calibri"/>
          <w:sz w:val="16"/>
          <w:szCs w:val="16"/>
          <w:color w:val="auto"/>
        </w:rPr>
        <w:t>Non-GAAP operatng income is calculated by adjustng GAAP operatng income for certain items which are deemed by Merit’s management to be outside of core operatons and vary in amount and frequency among periods, such as expenses related to acquisitons or other extraordinary transactons, non-cash expenses related to amortzaton or write-of of previously acquired tangible and intangible assets, certain severance expenses, performance-based stock compensaton expenses, corporate transformaton expenses, expenses resultng from non-ordinary course litgaton or administratve proceedings and resultng setlements, governmental proceedings, and changes in governmental or industry regulatons, as well as other items. Non-GAAP operatng margin is calculated by dividing non-GAAP operatng income by reported net sales. See “Non-GAAP Financial Measures” presented on page 90 of this Proxy Statement for additonal informaton.</w:t>
      </w:r>
    </w:p>
    <w:p>
      <w:pPr>
        <w:spacing w:after="0" w:line="3" w:lineRule="exact"/>
        <w:rPr>
          <w:rFonts w:ascii="Calibri" w:cs="Calibri" w:eastAsia="Calibri" w:hAnsi="Calibri"/>
          <w:sz w:val="16"/>
          <w:szCs w:val="16"/>
          <w:color w:val="AF0000"/>
        </w:rPr>
      </w:pPr>
    </w:p>
    <w:p>
      <w:pPr>
        <w:ind w:left="880" w:right="239" w:hanging="320"/>
        <w:spacing w:after="0" w:line="235" w:lineRule="auto"/>
        <w:tabs>
          <w:tab w:leader="none" w:pos="880" w:val="left"/>
        </w:tabs>
        <w:numPr>
          <w:ilvl w:val="0"/>
          <w:numId w:val="75"/>
        </w:numPr>
        <w:rPr>
          <w:rFonts w:ascii="Calibri" w:cs="Calibri" w:eastAsia="Calibri" w:hAnsi="Calibri"/>
          <w:sz w:val="16"/>
          <w:szCs w:val="16"/>
          <w:color w:val="AF0000"/>
        </w:rPr>
      </w:pPr>
      <w:r>
        <w:rPr>
          <w:rFonts w:ascii="Calibri" w:cs="Calibri" w:eastAsia="Calibri" w:hAnsi="Calibri"/>
          <w:sz w:val="16"/>
          <w:szCs w:val="16"/>
          <w:color w:val="auto"/>
        </w:rPr>
        <w:t>Non-GAAP Earnings Per Share is calculated as GAAP net income excluding items set forth in the defniton of non-GAAP operatng income above, as well as for expenses related to debt issuance costs, gains or losses on disposal of certain assets, changes in tax regulatons, and other items. All excluded items are tax afected and total Non-GAAP net income is divided by the weighted average diluted shares outstanding. See “Non-GAAP Financial Measures” presented on page 90 of this Proxy Statement for additonal informaton.</w:t>
      </w:r>
    </w:p>
    <w:p>
      <w:pPr>
        <w:spacing w:after="0" w:line="2" w:lineRule="exact"/>
        <w:rPr>
          <w:rFonts w:ascii="Calibri" w:cs="Calibri" w:eastAsia="Calibri" w:hAnsi="Calibri"/>
          <w:sz w:val="16"/>
          <w:szCs w:val="16"/>
          <w:color w:val="AF0000"/>
        </w:rPr>
      </w:pPr>
    </w:p>
    <w:p>
      <w:pPr>
        <w:ind w:left="880" w:right="279" w:hanging="320"/>
        <w:spacing w:after="0" w:line="236" w:lineRule="auto"/>
        <w:tabs>
          <w:tab w:leader="none" w:pos="880" w:val="left"/>
        </w:tabs>
        <w:numPr>
          <w:ilvl w:val="0"/>
          <w:numId w:val="75"/>
        </w:numPr>
        <w:rPr>
          <w:rFonts w:ascii="Calibri" w:cs="Calibri" w:eastAsia="Calibri" w:hAnsi="Calibri"/>
          <w:sz w:val="16"/>
          <w:szCs w:val="16"/>
          <w:color w:val="AF0000"/>
        </w:rPr>
      </w:pPr>
      <w:r>
        <w:rPr>
          <w:rFonts w:ascii="Calibri" w:cs="Calibri" w:eastAsia="Calibri" w:hAnsi="Calibri"/>
          <w:sz w:val="16"/>
          <w:szCs w:val="16"/>
          <w:color w:val="auto"/>
        </w:rPr>
        <w:t>Foundatons for Growth objectves acted as a modifer to the performance bonus objectves established by the Compensaton Commitee. The modifer target was $28 million in cumulatve improvement achieved through the combinaton of product transfer savings and product price improvement. The bonus modifer is summarized in the table below. The modifer was capped at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129540</wp:posOffset>
            </wp:positionV>
            <wp:extent cx="545211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Calibri" w:cs="Calibri" w:eastAsia="Calibri" w:hAnsi="Calibri"/>
                <w:sz w:val="14"/>
                <w:szCs w:val="14"/>
                <w:b w:val="1"/>
                <w:bCs w:val="1"/>
                <w:color w:val="auto"/>
              </w:rPr>
              <w:t>Modifer Goal $</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0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Bonus Payout Modifer %</w:t>
            </w:r>
          </w:p>
        </w:tc>
      </w:tr>
      <w:tr>
        <w:trPr>
          <w:trHeight w:val="67"/>
        </w:trPr>
        <w:tc>
          <w:tcPr>
            <w:tcW w:w="2500" w:type="dxa"/>
            <w:vAlign w:val="bottom"/>
            <w:tcBorders>
              <w:bottom w:val="single" w:sz="8" w:color="AF0000"/>
            </w:tcBorders>
          </w:tcPr>
          <w:p>
            <w:pPr>
              <w:spacing w:after="0"/>
              <w:rPr>
                <w:sz w:val="5"/>
                <w:szCs w:val="5"/>
                <w:color w:val="auto"/>
              </w:rPr>
            </w:pPr>
          </w:p>
        </w:tc>
        <w:tc>
          <w:tcPr>
            <w:tcW w:w="880" w:type="dxa"/>
            <w:vAlign w:val="bottom"/>
            <w:tcBorders>
              <w:bottom w:val="single" w:sz="8" w:color="AF0000"/>
            </w:tcBorders>
          </w:tcPr>
          <w:p>
            <w:pPr>
              <w:spacing w:after="0"/>
              <w:rPr>
                <w:sz w:val="5"/>
                <w:szCs w:val="5"/>
                <w:color w:val="auto"/>
              </w:rPr>
            </w:pPr>
          </w:p>
        </w:tc>
        <w:tc>
          <w:tcPr>
            <w:tcW w:w="700" w:type="dxa"/>
            <w:vAlign w:val="bottom"/>
            <w:tcBorders>
              <w:bottom w:val="single" w:sz="8" w:color="AF0000"/>
            </w:tcBorders>
          </w:tcPr>
          <w:p>
            <w:pPr>
              <w:spacing w:after="0"/>
              <w:rPr>
                <w:sz w:val="5"/>
                <w:szCs w:val="5"/>
                <w:color w:val="auto"/>
              </w:rPr>
            </w:pPr>
          </w:p>
        </w:tc>
        <w:tc>
          <w:tcPr>
            <w:tcW w:w="320" w:type="dxa"/>
            <w:vAlign w:val="bottom"/>
            <w:tcBorders>
              <w:bottom w:val="single" w:sz="8" w:color="AF0000"/>
            </w:tcBorders>
          </w:tcPr>
          <w:p>
            <w:pPr>
              <w:spacing w:after="0"/>
              <w:rPr>
                <w:sz w:val="5"/>
                <w:szCs w:val="5"/>
                <w:color w:val="auto"/>
              </w:rPr>
            </w:pPr>
          </w:p>
        </w:tc>
        <w:tc>
          <w:tcPr>
            <w:tcW w:w="700" w:type="dxa"/>
            <w:vAlign w:val="bottom"/>
            <w:tcBorders>
              <w:bottom w:val="single" w:sz="8" w:color="AF0000"/>
            </w:tcBorders>
          </w:tcPr>
          <w:p>
            <w:pPr>
              <w:spacing w:after="0"/>
              <w:rPr>
                <w:sz w:val="5"/>
                <w:szCs w:val="5"/>
                <w:color w:val="auto"/>
              </w:rPr>
            </w:pPr>
          </w:p>
        </w:tc>
        <w:tc>
          <w:tcPr>
            <w:tcW w:w="120" w:type="dxa"/>
            <w:vAlign w:val="bottom"/>
            <w:tcBorders>
              <w:bottom w:val="single" w:sz="8" w:color="AF0000"/>
            </w:tcBorders>
          </w:tcPr>
          <w:p>
            <w:pPr>
              <w:spacing w:after="0"/>
              <w:rPr>
                <w:sz w:val="5"/>
                <w:szCs w:val="5"/>
                <w:color w:val="auto"/>
              </w:rPr>
            </w:pPr>
          </w:p>
        </w:tc>
        <w:tc>
          <w:tcPr>
            <w:tcW w:w="860" w:type="dxa"/>
            <w:vAlign w:val="bottom"/>
            <w:tcBorders>
              <w:bottom w:val="single" w:sz="8" w:color="AF0000"/>
            </w:tcBorders>
          </w:tcPr>
          <w:p>
            <w:pPr>
              <w:spacing w:after="0"/>
              <w:rPr>
                <w:sz w:val="5"/>
                <w:szCs w:val="5"/>
                <w:color w:val="auto"/>
              </w:rPr>
            </w:pPr>
          </w:p>
        </w:tc>
        <w:tc>
          <w:tcPr>
            <w:tcW w:w="940" w:type="dxa"/>
            <w:vAlign w:val="bottom"/>
            <w:tcBorders>
              <w:bottom w:val="single" w:sz="8" w:color="AF0000"/>
            </w:tcBorders>
          </w:tcPr>
          <w:p>
            <w:pPr>
              <w:spacing w:after="0"/>
              <w:rPr>
                <w:sz w:val="5"/>
                <w:szCs w:val="5"/>
                <w:color w:val="auto"/>
              </w:rPr>
            </w:pPr>
          </w:p>
        </w:tc>
        <w:tc>
          <w:tcPr>
            <w:tcW w:w="660" w:type="dxa"/>
            <w:vAlign w:val="bottom"/>
            <w:tcBorders>
              <w:bottom w:val="single" w:sz="8" w:color="AF0000"/>
            </w:tcBorders>
          </w:tcPr>
          <w:p>
            <w:pPr>
              <w:spacing w:after="0"/>
              <w:rPr>
                <w:sz w:val="5"/>
                <w:szCs w:val="5"/>
                <w:color w:val="auto"/>
              </w:rPr>
            </w:pPr>
          </w:p>
        </w:tc>
        <w:tc>
          <w:tcPr>
            <w:tcW w:w="900" w:type="dxa"/>
            <w:vAlign w:val="bottom"/>
            <w:tcBorders>
              <w:bottom w:val="single" w:sz="8" w:color="AF0000"/>
            </w:tcBorders>
          </w:tcPr>
          <w:p>
            <w:pPr>
              <w:spacing w:after="0"/>
              <w:rPr>
                <w:sz w:val="5"/>
                <w:szCs w:val="5"/>
                <w:color w:val="auto"/>
              </w:rPr>
            </w:pPr>
          </w:p>
        </w:tc>
      </w:tr>
      <w:tr>
        <w:trPr>
          <w:trHeight w:val="183"/>
        </w:trPr>
        <w:tc>
          <w:tcPr>
            <w:tcW w:w="2500" w:type="dxa"/>
            <w:vAlign w:val="bottom"/>
          </w:tcPr>
          <w:p>
            <w:pPr>
              <w:ind w:left="20"/>
              <w:spacing w:after="0"/>
              <w:rPr>
                <w:sz w:val="20"/>
                <w:szCs w:val="20"/>
                <w:color w:val="auto"/>
              </w:rPr>
            </w:pPr>
            <w:r>
              <w:rPr>
                <w:rFonts w:ascii="Calibri" w:cs="Calibri" w:eastAsia="Calibri" w:hAnsi="Calibri"/>
                <w:sz w:val="14"/>
                <w:szCs w:val="14"/>
                <w:b w:val="1"/>
                <w:bCs w:val="1"/>
                <w:color w:val="auto"/>
              </w:rPr>
              <w:t>Bonus Modifer</w:t>
            </w:r>
          </w:p>
        </w:tc>
        <w:tc>
          <w:tcPr>
            <w:tcW w:w="88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Calibri" w:cs="Calibri" w:eastAsia="Calibri" w:hAnsi="Calibri"/>
                <w:sz w:val="14"/>
                <w:szCs w:val="14"/>
                <w:b w:val="1"/>
                <w:bCs w:val="1"/>
                <w:color w:val="auto"/>
              </w:rPr>
              <w:t>Threshold</w:t>
            </w:r>
          </w:p>
        </w:tc>
        <w:tc>
          <w:tcPr>
            <w:tcW w:w="3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Calibri" w:cs="Calibri" w:eastAsia="Calibri" w:hAnsi="Calibri"/>
                <w:sz w:val="14"/>
                <w:szCs w:val="14"/>
                <w:b w:val="1"/>
                <w:bCs w:val="1"/>
                <w:color w:val="auto"/>
              </w:rPr>
              <w:t>Target</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Calibri" w:cs="Calibri" w:eastAsia="Calibri" w:hAnsi="Calibri"/>
                <w:sz w:val="14"/>
                <w:szCs w:val="14"/>
                <w:b w:val="1"/>
                <w:bCs w:val="1"/>
                <w:color w:val="auto"/>
              </w:rPr>
              <w:t>Maximum</w:t>
            </w: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rPr>
              <w:t>Threshold</w:t>
            </w:r>
          </w:p>
        </w:tc>
        <w:tc>
          <w:tcPr>
            <w:tcW w:w="660" w:type="dxa"/>
            <w:vAlign w:val="bottom"/>
          </w:tcPr>
          <w:p>
            <w:pPr>
              <w:jc w:val="center"/>
              <w:spacing w:after="0"/>
              <w:rPr>
                <w:sz w:val="20"/>
                <w:szCs w:val="20"/>
                <w:color w:val="auto"/>
              </w:rPr>
            </w:pPr>
            <w:r>
              <w:rPr>
                <w:rFonts w:ascii="Calibri" w:cs="Calibri" w:eastAsia="Calibri" w:hAnsi="Calibri"/>
                <w:sz w:val="14"/>
                <w:szCs w:val="14"/>
                <w:b w:val="1"/>
                <w:bCs w:val="1"/>
                <w:color w:val="auto"/>
                <w:w w:val="96"/>
              </w:rPr>
              <w:t>Target</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Maximum</w:t>
            </w:r>
          </w:p>
        </w:tc>
      </w:tr>
      <w:tr>
        <w:trPr>
          <w:trHeight w:val="67"/>
        </w:trPr>
        <w:tc>
          <w:tcPr>
            <w:tcW w:w="2500" w:type="dxa"/>
            <w:vAlign w:val="bottom"/>
            <w:tcBorders>
              <w:bottom w:val="single" w:sz="8" w:color="AF0000"/>
            </w:tcBorders>
          </w:tcPr>
          <w:p>
            <w:pPr>
              <w:spacing w:after="0"/>
              <w:rPr>
                <w:sz w:val="5"/>
                <w:szCs w:val="5"/>
                <w:color w:val="auto"/>
              </w:rPr>
            </w:pPr>
          </w:p>
        </w:tc>
        <w:tc>
          <w:tcPr>
            <w:tcW w:w="880" w:type="dxa"/>
            <w:vAlign w:val="bottom"/>
            <w:tcBorders>
              <w:bottom w:val="single" w:sz="8" w:color="AF0000"/>
            </w:tcBorders>
          </w:tcPr>
          <w:p>
            <w:pPr>
              <w:spacing w:after="0"/>
              <w:rPr>
                <w:sz w:val="5"/>
                <w:szCs w:val="5"/>
                <w:color w:val="auto"/>
              </w:rPr>
            </w:pPr>
          </w:p>
        </w:tc>
        <w:tc>
          <w:tcPr>
            <w:tcW w:w="700" w:type="dxa"/>
            <w:vAlign w:val="bottom"/>
            <w:tcBorders>
              <w:bottom w:val="single" w:sz="8" w:color="AF0000"/>
            </w:tcBorders>
          </w:tcPr>
          <w:p>
            <w:pPr>
              <w:spacing w:after="0"/>
              <w:rPr>
                <w:sz w:val="5"/>
                <w:szCs w:val="5"/>
                <w:color w:val="auto"/>
              </w:rPr>
            </w:pPr>
          </w:p>
        </w:tc>
        <w:tc>
          <w:tcPr>
            <w:tcW w:w="320" w:type="dxa"/>
            <w:vAlign w:val="bottom"/>
            <w:tcBorders>
              <w:bottom w:val="single" w:sz="8" w:color="AF0000"/>
            </w:tcBorders>
          </w:tcPr>
          <w:p>
            <w:pPr>
              <w:spacing w:after="0"/>
              <w:rPr>
                <w:sz w:val="5"/>
                <w:szCs w:val="5"/>
                <w:color w:val="auto"/>
              </w:rPr>
            </w:pPr>
          </w:p>
        </w:tc>
        <w:tc>
          <w:tcPr>
            <w:tcW w:w="700" w:type="dxa"/>
            <w:vAlign w:val="bottom"/>
            <w:tcBorders>
              <w:bottom w:val="single" w:sz="8" w:color="AF0000"/>
            </w:tcBorders>
          </w:tcPr>
          <w:p>
            <w:pPr>
              <w:spacing w:after="0"/>
              <w:rPr>
                <w:sz w:val="5"/>
                <w:szCs w:val="5"/>
                <w:color w:val="auto"/>
              </w:rPr>
            </w:pPr>
          </w:p>
        </w:tc>
        <w:tc>
          <w:tcPr>
            <w:tcW w:w="120" w:type="dxa"/>
            <w:vAlign w:val="bottom"/>
            <w:tcBorders>
              <w:bottom w:val="single" w:sz="8" w:color="AF0000"/>
            </w:tcBorders>
          </w:tcPr>
          <w:p>
            <w:pPr>
              <w:spacing w:after="0"/>
              <w:rPr>
                <w:sz w:val="5"/>
                <w:szCs w:val="5"/>
                <w:color w:val="auto"/>
              </w:rPr>
            </w:pPr>
          </w:p>
        </w:tc>
        <w:tc>
          <w:tcPr>
            <w:tcW w:w="860" w:type="dxa"/>
            <w:vAlign w:val="bottom"/>
            <w:tcBorders>
              <w:bottom w:val="single" w:sz="8" w:color="AF0000"/>
            </w:tcBorders>
          </w:tcPr>
          <w:p>
            <w:pPr>
              <w:spacing w:after="0"/>
              <w:rPr>
                <w:sz w:val="5"/>
                <w:szCs w:val="5"/>
                <w:color w:val="auto"/>
              </w:rPr>
            </w:pPr>
          </w:p>
        </w:tc>
        <w:tc>
          <w:tcPr>
            <w:tcW w:w="940" w:type="dxa"/>
            <w:vAlign w:val="bottom"/>
            <w:tcBorders>
              <w:bottom w:val="single" w:sz="8" w:color="AF0000"/>
            </w:tcBorders>
          </w:tcPr>
          <w:p>
            <w:pPr>
              <w:spacing w:after="0"/>
              <w:rPr>
                <w:sz w:val="5"/>
                <w:szCs w:val="5"/>
                <w:color w:val="auto"/>
              </w:rPr>
            </w:pPr>
          </w:p>
        </w:tc>
        <w:tc>
          <w:tcPr>
            <w:tcW w:w="660" w:type="dxa"/>
            <w:vAlign w:val="bottom"/>
            <w:tcBorders>
              <w:bottom w:val="single" w:sz="8" w:color="AF0000"/>
            </w:tcBorders>
          </w:tcPr>
          <w:p>
            <w:pPr>
              <w:spacing w:after="0"/>
              <w:rPr>
                <w:sz w:val="5"/>
                <w:szCs w:val="5"/>
                <w:color w:val="auto"/>
              </w:rPr>
            </w:pPr>
          </w:p>
        </w:tc>
        <w:tc>
          <w:tcPr>
            <w:tcW w:w="900" w:type="dxa"/>
            <w:vAlign w:val="bottom"/>
            <w:tcBorders>
              <w:bottom w:val="single" w:sz="8" w:color="AF0000"/>
            </w:tcBorders>
          </w:tcPr>
          <w:p>
            <w:pPr>
              <w:spacing w:after="0"/>
              <w:rPr>
                <w:sz w:val="5"/>
                <w:szCs w:val="5"/>
                <w:color w:val="auto"/>
              </w:rPr>
            </w:pPr>
          </w:p>
        </w:tc>
      </w:tr>
      <w:tr>
        <w:trPr>
          <w:trHeight w:val="183"/>
        </w:trPr>
        <w:tc>
          <w:tcPr>
            <w:tcW w:w="2500" w:type="dxa"/>
            <w:vAlign w:val="bottom"/>
          </w:tcPr>
          <w:p>
            <w:pPr>
              <w:ind w:left="20"/>
              <w:spacing w:after="0"/>
              <w:rPr>
                <w:sz w:val="20"/>
                <w:szCs w:val="20"/>
                <w:color w:val="auto"/>
              </w:rPr>
            </w:pPr>
            <w:r>
              <w:rPr>
                <w:rFonts w:ascii="Calibri" w:cs="Calibri" w:eastAsia="Calibri" w:hAnsi="Calibri"/>
                <w:sz w:val="14"/>
                <w:szCs w:val="14"/>
                <w:color w:val="auto"/>
              </w:rPr>
              <w:t>Product Transfer Savings</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00" w:type="dxa"/>
            <w:vAlign w:val="bottom"/>
          </w:tcPr>
          <w:p>
            <w:pPr>
              <w:jc w:val="center"/>
              <w:spacing w:after="0"/>
              <w:rPr>
                <w:sz w:val="20"/>
                <w:szCs w:val="20"/>
                <w:color w:val="auto"/>
              </w:rPr>
            </w:pPr>
            <w:r>
              <w:rPr>
                <w:rFonts w:ascii="Calibri" w:cs="Calibri" w:eastAsia="Calibri" w:hAnsi="Calibri"/>
                <w:sz w:val="14"/>
                <w:szCs w:val="14"/>
                <w:color w:val="auto"/>
              </w:rPr>
              <w:t>18.0M</w:t>
            </w:r>
          </w:p>
        </w:tc>
        <w:tc>
          <w:tcPr>
            <w:tcW w:w="3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00" w:type="dxa"/>
            <w:vAlign w:val="bottom"/>
          </w:tcPr>
          <w:p>
            <w:pPr>
              <w:jc w:val="center"/>
              <w:ind w:right="128"/>
              <w:spacing w:after="0"/>
              <w:rPr>
                <w:sz w:val="20"/>
                <w:szCs w:val="20"/>
                <w:color w:val="auto"/>
              </w:rPr>
            </w:pPr>
            <w:r>
              <w:rPr>
                <w:rFonts w:ascii="Calibri" w:cs="Calibri" w:eastAsia="Calibri" w:hAnsi="Calibri"/>
                <w:sz w:val="14"/>
                <w:szCs w:val="14"/>
                <w:color w:val="auto"/>
              </w:rPr>
              <w:t>20.0M</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60" w:type="dxa"/>
            <w:vAlign w:val="bottom"/>
          </w:tcPr>
          <w:p>
            <w:pPr>
              <w:jc w:val="center"/>
              <w:ind w:right="68"/>
              <w:spacing w:after="0"/>
              <w:rPr>
                <w:sz w:val="20"/>
                <w:szCs w:val="20"/>
                <w:color w:val="auto"/>
              </w:rPr>
            </w:pPr>
            <w:r>
              <w:rPr>
                <w:rFonts w:ascii="Calibri" w:cs="Calibri" w:eastAsia="Calibri" w:hAnsi="Calibri"/>
                <w:sz w:val="14"/>
                <w:szCs w:val="14"/>
                <w:color w:val="auto"/>
                <w:w w:val="97"/>
              </w:rPr>
              <w:t>22.0M</w:t>
            </w:r>
          </w:p>
        </w:tc>
        <w:tc>
          <w:tcPr>
            <w:tcW w:w="940" w:type="dxa"/>
            <w:vAlign w:val="bottom"/>
          </w:tcPr>
          <w:p>
            <w:pPr>
              <w:jc w:val="center"/>
              <w:spacing w:after="0"/>
              <w:rPr>
                <w:sz w:val="20"/>
                <w:szCs w:val="20"/>
                <w:color w:val="auto"/>
              </w:rPr>
            </w:pPr>
            <w:r>
              <w:rPr>
                <w:rFonts w:ascii="Calibri" w:cs="Calibri" w:eastAsia="Calibri" w:hAnsi="Calibri"/>
                <w:sz w:val="14"/>
                <w:szCs w:val="14"/>
                <w:color w:val="auto"/>
              </w:rPr>
              <w:t>90%</w:t>
            </w:r>
          </w:p>
        </w:tc>
        <w:tc>
          <w:tcPr>
            <w:tcW w:w="660" w:type="dxa"/>
            <w:vAlign w:val="bottom"/>
          </w:tcPr>
          <w:p>
            <w:pPr>
              <w:jc w:val="center"/>
              <w:spacing w:after="0"/>
              <w:rPr>
                <w:sz w:val="20"/>
                <w:szCs w:val="20"/>
                <w:color w:val="auto"/>
              </w:rPr>
            </w:pPr>
            <w:r>
              <w:rPr>
                <w:rFonts w:ascii="Calibri" w:cs="Calibri" w:eastAsia="Calibri" w:hAnsi="Calibri"/>
                <w:sz w:val="14"/>
                <w:szCs w:val="14"/>
                <w:color w:val="auto"/>
              </w:rPr>
              <w:t>100%</w:t>
            </w:r>
          </w:p>
        </w:tc>
        <w:tc>
          <w:tcPr>
            <w:tcW w:w="900" w:type="dxa"/>
            <w:vAlign w:val="bottom"/>
          </w:tcPr>
          <w:p>
            <w:pPr>
              <w:jc w:val="center"/>
              <w:spacing w:after="0"/>
              <w:rPr>
                <w:sz w:val="20"/>
                <w:szCs w:val="20"/>
                <w:color w:val="auto"/>
              </w:rPr>
            </w:pPr>
            <w:r>
              <w:rPr>
                <w:rFonts w:ascii="Calibri" w:cs="Calibri" w:eastAsia="Calibri" w:hAnsi="Calibri"/>
                <w:sz w:val="14"/>
                <w:szCs w:val="14"/>
                <w:color w:val="auto"/>
              </w:rPr>
              <w:t>110%</w:t>
            </w:r>
          </w:p>
        </w:tc>
      </w:tr>
      <w:tr>
        <w:trPr>
          <w:trHeight w:val="60"/>
        </w:trPr>
        <w:tc>
          <w:tcPr>
            <w:tcW w:w="250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700" w:type="dxa"/>
            <w:vAlign w:val="bottom"/>
            <w:tcBorders>
              <w:bottom w:val="single" w:sz="8" w:color="A6A6A6"/>
            </w:tcBorders>
          </w:tcPr>
          <w:p>
            <w:pPr>
              <w:spacing w:after="0"/>
              <w:rPr>
                <w:sz w:val="5"/>
                <w:szCs w:val="5"/>
                <w:color w:val="auto"/>
              </w:rPr>
            </w:pPr>
          </w:p>
        </w:tc>
        <w:tc>
          <w:tcPr>
            <w:tcW w:w="320" w:type="dxa"/>
            <w:vAlign w:val="bottom"/>
            <w:tcBorders>
              <w:bottom w:val="single" w:sz="8" w:color="A6A6A6"/>
            </w:tcBorders>
          </w:tcPr>
          <w:p>
            <w:pPr>
              <w:spacing w:after="0"/>
              <w:rPr>
                <w:sz w:val="5"/>
                <w:szCs w:val="5"/>
                <w:color w:val="auto"/>
              </w:rPr>
            </w:pPr>
          </w:p>
        </w:tc>
        <w:tc>
          <w:tcPr>
            <w:tcW w:w="7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66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r>
      <w:tr>
        <w:trPr>
          <w:trHeight w:val="176"/>
        </w:trPr>
        <w:tc>
          <w:tcPr>
            <w:tcW w:w="2500" w:type="dxa"/>
            <w:vAlign w:val="bottom"/>
          </w:tcPr>
          <w:p>
            <w:pPr>
              <w:ind w:left="20"/>
              <w:spacing w:after="0"/>
              <w:rPr>
                <w:sz w:val="20"/>
                <w:szCs w:val="20"/>
                <w:color w:val="auto"/>
              </w:rPr>
            </w:pPr>
            <w:r>
              <w:rPr>
                <w:rFonts w:ascii="Calibri" w:cs="Calibri" w:eastAsia="Calibri" w:hAnsi="Calibri"/>
                <w:sz w:val="14"/>
                <w:szCs w:val="14"/>
                <w:color w:val="auto"/>
              </w:rPr>
              <w:t>Product Pricing Improvement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00" w:type="dxa"/>
            <w:vAlign w:val="bottom"/>
          </w:tcPr>
          <w:p>
            <w:pPr>
              <w:jc w:val="center"/>
              <w:spacing w:after="0"/>
              <w:rPr>
                <w:sz w:val="20"/>
                <w:szCs w:val="20"/>
                <w:color w:val="auto"/>
              </w:rPr>
            </w:pPr>
            <w:r>
              <w:rPr>
                <w:rFonts w:ascii="Calibri" w:cs="Calibri" w:eastAsia="Calibri" w:hAnsi="Calibri"/>
                <w:sz w:val="14"/>
                <w:szCs w:val="14"/>
                <w:color w:val="auto"/>
              </w:rPr>
              <w:t>7.2M</w:t>
            </w:r>
          </w:p>
        </w:tc>
        <w:tc>
          <w:tcPr>
            <w:tcW w:w="3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00" w:type="dxa"/>
            <w:vAlign w:val="bottom"/>
          </w:tcPr>
          <w:p>
            <w:pPr>
              <w:jc w:val="center"/>
              <w:ind w:right="128"/>
              <w:spacing w:after="0"/>
              <w:rPr>
                <w:sz w:val="20"/>
                <w:szCs w:val="20"/>
                <w:color w:val="auto"/>
              </w:rPr>
            </w:pPr>
            <w:r>
              <w:rPr>
                <w:rFonts w:ascii="Calibri" w:cs="Calibri" w:eastAsia="Calibri" w:hAnsi="Calibri"/>
                <w:sz w:val="14"/>
                <w:szCs w:val="14"/>
                <w:color w:val="auto"/>
              </w:rPr>
              <w:t>8.0M</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60" w:type="dxa"/>
            <w:vAlign w:val="bottom"/>
          </w:tcPr>
          <w:p>
            <w:pPr>
              <w:jc w:val="center"/>
              <w:ind w:right="68"/>
              <w:spacing w:after="0"/>
              <w:rPr>
                <w:sz w:val="20"/>
                <w:szCs w:val="20"/>
                <w:color w:val="auto"/>
              </w:rPr>
            </w:pPr>
            <w:r>
              <w:rPr>
                <w:rFonts w:ascii="Calibri" w:cs="Calibri" w:eastAsia="Calibri" w:hAnsi="Calibri"/>
                <w:sz w:val="14"/>
                <w:szCs w:val="14"/>
                <w:color w:val="auto"/>
              </w:rPr>
              <w:t>8.8M</w:t>
            </w:r>
          </w:p>
        </w:tc>
        <w:tc>
          <w:tcPr>
            <w:tcW w:w="940" w:type="dxa"/>
            <w:vAlign w:val="bottom"/>
          </w:tcPr>
          <w:p>
            <w:pPr>
              <w:jc w:val="center"/>
              <w:spacing w:after="0"/>
              <w:rPr>
                <w:sz w:val="20"/>
                <w:szCs w:val="20"/>
                <w:color w:val="auto"/>
              </w:rPr>
            </w:pPr>
            <w:r>
              <w:rPr>
                <w:rFonts w:ascii="Calibri" w:cs="Calibri" w:eastAsia="Calibri" w:hAnsi="Calibri"/>
                <w:sz w:val="14"/>
                <w:szCs w:val="14"/>
                <w:color w:val="auto"/>
              </w:rPr>
              <w:t>90%</w:t>
            </w:r>
          </w:p>
        </w:tc>
        <w:tc>
          <w:tcPr>
            <w:tcW w:w="660" w:type="dxa"/>
            <w:vAlign w:val="bottom"/>
          </w:tcPr>
          <w:p>
            <w:pPr>
              <w:jc w:val="center"/>
              <w:spacing w:after="0"/>
              <w:rPr>
                <w:sz w:val="20"/>
                <w:szCs w:val="20"/>
                <w:color w:val="auto"/>
              </w:rPr>
            </w:pPr>
            <w:r>
              <w:rPr>
                <w:rFonts w:ascii="Calibri" w:cs="Calibri" w:eastAsia="Calibri" w:hAnsi="Calibri"/>
                <w:sz w:val="14"/>
                <w:szCs w:val="14"/>
                <w:color w:val="auto"/>
              </w:rPr>
              <w:t>100%</w:t>
            </w:r>
          </w:p>
        </w:tc>
        <w:tc>
          <w:tcPr>
            <w:tcW w:w="900" w:type="dxa"/>
            <w:vAlign w:val="bottom"/>
          </w:tcPr>
          <w:p>
            <w:pPr>
              <w:jc w:val="center"/>
              <w:spacing w:after="0"/>
              <w:rPr>
                <w:sz w:val="20"/>
                <w:szCs w:val="20"/>
                <w:color w:val="auto"/>
              </w:rPr>
            </w:pPr>
            <w:r>
              <w:rPr>
                <w:rFonts w:ascii="Calibri" w:cs="Calibri" w:eastAsia="Calibri" w:hAnsi="Calibri"/>
                <w:sz w:val="14"/>
                <w:szCs w:val="14"/>
                <w:color w:val="auto"/>
              </w:rPr>
              <w:t>110%</w:t>
            </w:r>
          </w:p>
        </w:tc>
      </w:tr>
      <w:tr>
        <w:trPr>
          <w:trHeight w:val="68"/>
        </w:trPr>
        <w:tc>
          <w:tcPr>
            <w:tcW w:w="2500" w:type="dxa"/>
            <w:vAlign w:val="bottom"/>
            <w:tcBorders>
              <w:bottom w:val="single" w:sz="8" w:color="AF0000"/>
            </w:tcBorders>
          </w:tcPr>
          <w:p>
            <w:pPr>
              <w:spacing w:after="0"/>
              <w:rPr>
                <w:sz w:val="5"/>
                <w:szCs w:val="5"/>
                <w:color w:val="auto"/>
              </w:rPr>
            </w:pPr>
          </w:p>
        </w:tc>
        <w:tc>
          <w:tcPr>
            <w:tcW w:w="880" w:type="dxa"/>
            <w:vAlign w:val="bottom"/>
            <w:tcBorders>
              <w:bottom w:val="single" w:sz="8" w:color="AF0000"/>
            </w:tcBorders>
          </w:tcPr>
          <w:p>
            <w:pPr>
              <w:spacing w:after="0"/>
              <w:rPr>
                <w:sz w:val="5"/>
                <w:szCs w:val="5"/>
                <w:color w:val="auto"/>
              </w:rPr>
            </w:pPr>
          </w:p>
        </w:tc>
        <w:tc>
          <w:tcPr>
            <w:tcW w:w="700" w:type="dxa"/>
            <w:vAlign w:val="bottom"/>
            <w:tcBorders>
              <w:bottom w:val="single" w:sz="8" w:color="AF0000"/>
            </w:tcBorders>
          </w:tcPr>
          <w:p>
            <w:pPr>
              <w:spacing w:after="0"/>
              <w:rPr>
                <w:sz w:val="5"/>
                <w:szCs w:val="5"/>
                <w:color w:val="auto"/>
              </w:rPr>
            </w:pPr>
          </w:p>
        </w:tc>
        <w:tc>
          <w:tcPr>
            <w:tcW w:w="320" w:type="dxa"/>
            <w:vAlign w:val="bottom"/>
            <w:tcBorders>
              <w:bottom w:val="single" w:sz="8" w:color="AF0000"/>
            </w:tcBorders>
          </w:tcPr>
          <w:p>
            <w:pPr>
              <w:spacing w:after="0"/>
              <w:rPr>
                <w:sz w:val="5"/>
                <w:szCs w:val="5"/>
                <w:color w:val="auto"/>
              </w:rPr>
            </w:pPr>
          </w:p>
        </w:tc>
        <w:tc>
          <w:tcPr>
            <w:tcW w:w="700" w:type="dxa"/>
            <w:vAlign w:val="bottom"/>
            <w:tcBorders>
              <w:bottom w:val="single" w:sz="8" w:color="AF0000"/>
            </w:tcBorders>
          </w:tcPr>
          <w:p>
            <w:pPr>
              <w:spacing w:after="0"/>
              <w:rPr>
                <w:sz w:val="5"/>
                <w:szCs w:val="5"/>
                <w:color w:val="auto"/>
              </w:rPr>
            </w:pPr>
          </w:p>
        </w:tc>
        <w:tc>
          <w:tcPr>
            <w:tcW w:w="120" w:type="dxa"/>
            <w:vAlign w:val="bottom"/>
            <w:tcBorders>
              <w:bottom w:val="single" w:sz="8" w:color="AF0000"/>
            </w:tcBorders>
          </w:tcPr>
          <w:p>
            <w:pPr>
              <w:spacing w:after="0"/>
              <w:rPr>
                <w:sz w:val="5"/>
                <w:szCs w:val="5"/>
                <w:color w:val="auto"/>
              </w:rPr>
            </w:pPr>
          </w:p>
        </w:tc>
        <w:tc>
          <w:tcPr>
            <w:tcW w:w="860" w:type="dxa"/>
            <w:vAlign w:val="bottom"/>
            <w:tcBorders>
              <w:bottom w:val="single" w:sz="8" w:color="AF0000"/>
            </w:tcBorders>
          </w:tcPr>
          <w:p>
            <w:pPr>
              <w:spacing w:after="0"/>
              <w:rPr>
                <w:sz w:val="5"/>
                <w:szCs w:val="5"/>
                <w:color w:val="auto"/>
              </w:rPr>
            </w:pPr>
          </w:p>
        </w:tc>
        <w:tc>
          <w:tcPr>
            <w:tcW w:w="940" w:type="dxa"/>
            <w:vAlign w:val="bottom"/>
            <w:tcBorders>
              <w:bottom w:val="single" w:sz="8" w:color="AF0000"/>
            </w:tcBorders>
          </w:tcPr>
          <w:p>
            <w:pPr>
              <w:spacing w:after="0"/>
              <w:rPr>
                <w:sz w:val="5"/>
                <w:szCs w:val="5"/>
                <w:color w:val="auto"/>
              </w:rPr>
            </w:pPr>
          </w:p>
        </w:tc>
        <w:tc>
          <w:tcPr>
            <w:tcW w:w="660" w:type="dxa"/>
            <w:vAlign w:val="bottom"/>
            <w:tcBorders>
              <w:bottom w:val="single" w:sz="8" w:color="AF0000"/>
            </w:tcBorders>
          </w:tcPr>
          <w:p>
            <w:pPr>
              <w:spacing w:after="0"/>
              <w:rPr>
                <w:sz w:val="5"/>
                <w:szCs w:val="5"/>
                <w:color w:val="auto"/>
              </w:rPr>
            </w:pPr>
          </w:p>
        </w:tc>
        <w:tc>
          <w:tcPr>
            <w:tcW w:w="900" w:type="dxa"/>
            <w:vAlign w:val="bottom"/>
            <w:tcBorders>
              <w:bottom w:val="single" w:sz="8" w:color="AF0000"/>
            </w:tcBorders>
          </w:tcPr>
          <w:p>
            <w:pPr>
              <w:spacing w:after="0"/>
              <w:rPr>
                <w:sz w:val="5"/>
                <w:szCs w:val="5"/>
                <w:color w:val="auto"/>
              </w:rPr>
            </w:pPr>
          </w:p>
        </w:tc>
      </w:tr>
      <w:tr>
        <w:trPr>
          <w:trHeight w:val="183"/>
        </w:trPr>
        <w:tc>
          <w:tcPr>
            <w:tcW w:w="2500" w:type="dxa"/>
            <w:vAlign w:val="bottom"/>
          </w:tcPr>
          <w:p>
            <w:pPr>
              <w:ind w:left="20"/>
              <w:spacing w:after="0"/>
              <w:rPr>
                <w:sz w:val="20"/>
                <w:szCs w:val="20"/>
                <w:color w:val="auto"/>
              </w:rPr>
            </w:pPr>
            <w:r>
              <w:rPr>
                <w:rFonts w:ascii="Calibri" w:cs="Calibri" w:eastAsia="Calibri" w:hAnsi="Calibri"/>
                <w:sz w:val="14"/>
                <w:szCs w:val="14"/>
                <w:color w:val="auto"/>
              </w:rPr>
              <w:t>Total</w:t>
            </w:r>
          </w:p>
        </w:tc>
        <w:tc>
          <w:tcPr>
            <w:tcW w:w="880" w:type="dxa"/>
            <w:vAlign w:val="bottom"/>
          </w:tcPr>
          <w:p>
            <w:pPr>
              <w:jc w:val="right"/>
              <w:spacing w:after="0"/>
              <w:rPr>
                <w:sz w:val="20"/>
                <w:szCs w:val="20"/>
                <w:color w:val="auto"/>
              </w:rPr>
            </w:pPr>
            <w:r>
              <w:rPr>
                <w:rFonts w:ascii="Calibri" w:cs="Calibri" w:eastAsia="Calibri" w:hAnsi="Calibri"/>
                <w:sz w:val="14"/>
                <w:szCs w:val="14"/>
                <w:b w:val="1"/>
                <w:bCs w:val="1"/>
                <w:color w:val="auto"/>
              </w:rPr>
              <w:t>$</w:t>
            </w:r>
          </w:p>
        </w:tc>
        <w:tc>
          <w:tcPr>
            <w:tcW w:w="700" w:type="dxa"/>
            <w:vAlign w:val="bottom"/>
          </w:tcPr>
          <w:p>
            <w:pPr>
              <w:jc w:val="center"/>
              <w:spacing w:after="0"/>
              <w:rPr>
                <w:sz w:val="20"/>
                <w:szCs w:val="20"/>
                <w:color w:val="auto"/>
              </w:rPr>
            </w:pPr>
            <w:r>
              <w:rPr>
                <w:rFonts w:ascii="Calibri" w:cs="Calibri" w:eastAsia="Calibri" w:hAnsi="Calibri"/>
                <w:sz w:val="14"/>
                <w:szCs w:val="14"/>
                <w:b w:val="1"/>
                <w:bCs w:val="1"/>
                <w:color w:val="auto"/>
              </w:rPr>
              <w:t>25.2M</w:t>
            </w:r>
          </w:p>
        </w:tc>
        <w:tc>
          <w:tcPr>
            <w:tcW w:w="320" w:type="dxa"/>
            <w:vAlign w:val="bottom"/>
          </w:tcPr>
          <w:p>
            <w:pPr>
              <w:jc w:val="right"/>
              <w:spacing w:after="0"/>
              <w:rPr>
                <w:sz w:val="20"/>
                <w:szCs w:val="20"/>
                <w:color w:val="auto"/>
              </w:rPr>
            </w:pPr>
            <w:r>
              <w:rPr>
                <w:rFonts w:ascii="Calibri" w:cs="Calibri" w:eastAsia="Calibri" w:hAnsi="Calibri"/>
                <w:sz w:val="14"/>
                <w:szCs w:val="14"/>
                <w:b w:val="1"/>
                <w:bCs w:val="1"/>
                <w:color w:val="auto"/>
              </w:rPr>
              <w:t>$</w:t>
            </w:r>
          </w:p>
        </w:tc>
        <w:tc>
          <w:tcPr>
            <w:tcW w:w="700" w:type="dxa"/>
            <w:vAlign w:val="bottom"/>
          </w:tcPr>
          <w:p>
            <w:pPr>
              <w:jc w:val="center"/>
              <w:ind w:right="128"/>
              <w:spacing w:after="0"/>
              <w:rPr>
                <w:sz w:val="20"/>
                <w:szCs w:val="20"/>
                <w:color w:val="auto"/>
              </w:rPr>
            </w:pPr>
            <w:r>
              <w:rPr>
                <w:rFonts w:ascii="Calibri" w:cs="Calibri" w:eastAsia="Calibri" w:hAnsi="Calibri"/>
                <w:sz w:val="14"/>
                <w:szCs w:val="14"/>
                <w:b w:val="1"/>
                <w:bCs w:val="1"/>
                <w:color w:val="auto"/>
              </w:rPr>
              <w:t>28.0M</w:t>
            </w:r>
          </w:p>
        </w:tc>
        <w:tc>
          <w:tcPr>
            <w:tcW w:w="12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86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30.8M</w:t>
            </w: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rPr>
              <w:t>90%</w:t>
            </w:r>
          </w:p>
        </w:tc>
        <w:tc>
          <w:tcPr>
            <w:tcW w:w="660" w:type="dxa"/>
            <w:vAlign w:val="bottom"/>
          </w:tcPr>
          <w:p>
            <w:pPr>
              <w:jc w:val="center"/>
              <w:spacing w:after="0"/>
              <w:rPr>
                <w:sz w:val="20"/>
                <w:szCs w:val="20"/>
                <w:color w:val="auto"/>
              </w:rPr>
            </w:pPr>
            <w:r>
              <w:rPr>
                <w:rFonts w:ascii="Calibri" w:cs="Calibri" w:eastAsia="Calibri" w:hAnsi="Calibri"/>
                <w:sz w:val="14"/>
                <w:szCs w:val="14"/>
                <w:b w:val="1"/>
                <w:bCs w:val="1"/>
                <w:color w:val="auto"/>
              </w:rPr>
              <w:t>100%</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110%</w:t>
            </w:r>
          </w:p>
        </w:tc>
      </w:tr>
      <w:tr>
        <w:trPr>
          <w:trHeight w:val="68"/>
        </w:trPr>
        <w:tc>
          <w:tcPr>
            <w:tcW w:w="2500" w:type="dxa"/>
            <w:vAlign w:val="bottom"/>
            <w:tcBorders>
              <w:bottom w:val="single" w:sz="8" w:color="AF0000"/>
            </w:tcBorders>
          </w:tcPr>
          <w:p>
            <w:pPr>
              <w:spacing w:after="0"/>
              <w:rPr>
                <w:sz w:val="5"/>
                <w:szCs w:val="5"/>
                <w:color w:val="auto"/>
              </w:rPr>
            </w:pPr>
          </w:p>
        </w:tc>
        <w:tc>
          <w:tcPr>
            <w:tcW w:w="880" w:type="dxa"/>
            <w:vAlign w:val="bottom"/>
            <w:tcBorders>
              <w:bottom w:val="single" w:sz="8" w:color="AF0000"/>
            </w:tcBorders>
          </w:tcPr>
          <w:p>
            <w:pPr>
              <w:spacing w:after="0"/>
              <w:rPr>
                <w:sz w:val="5"/>
                <w:szCs w:val="5"/>
                <w:color w:val="auto"/>
              </w:rPr>
            </w:pPr>
          </w:p>
        </w:tc>
        <w:tc>
          <w:tcPr>
            <w:tcW w:w="700" w:type="dxa"/>
            <w:vAlign w:val="bottom"/>
            <w:tcBorders>
              <w:bottom w:val="single" w:sz="8" w:color="AF0000"/>
            </w:tcBorders>
          </w:tcPr>
          <w:p>
            <w:pPr>
              <w:spacing w:after="0"/>
              <w:rPr>
                <w:sz w:val="5"/>
                <w:szCs w:val="5"/>
                <w:color w:val="auto"/>
              </w:rPr>
            </w:pPr>
          </w:p>
        </w:tc>
        <w:tc>
          <w:tcPr>
            <w:tcW w:w="320" w:type="dxa"/>
            <w:vAlign w:val="bottom"/>
            <w:tcBorders>
              <w:bottom w:val="single" w:sz="8" w:color="AF0000"/>
            </w:tcBorders>
          </w:tcPr>
          <w:p>
            <w:pPr>
              <w:spacing w:after="0"/>
              <w:rPr>
                <w:sz w:val="5"/>
                <w:szCs w:val="5"/>
                <w:color w:val="auto"/>
              </w:rPr>
            </w:pPr>
          </w:p>
        </w:tc>
        <w:tc>
          <w:tcPr>
            <w:tcW w:w="700" w:type="dxa"/>
            <w:vAlign w:val="bottom"/>
            <w:tcBorders>
              <w:bottom w:val="single" w:sz="8" w:color="AF0000"/>
            </w:tcBorders>
          </w:tcPr>
          <w:p>
            <w:pPr>
              <w:spacing w:after="0"/>
              <w:rPr>
                <w:sz w:val="5"/>
                <w:szCs w:val="5"/>
                <w:color w:val="auto"/>
              </w:rPr>
            </w:pPr>
          </w:p>
        </w:tc>
        <w:tc>
          <w:tcPr>
            <w:tcW w:w="120" w:type="dxa"/>
            <w:vAlign w:val="bottom"/>
            <w:tcBorders>
              <w:bottom w:val="single" w:sz="8" w:color="AF0000"/>
            </w:tcBorders>
          </w:tcPr>
          <w:p>
            <w:pPr>
              <w:spacing w:after="0"/>
              <w:rPr>
                <w:sz w:val="5"/>
                <w:szCs w:val="5"/>
                <w:color w:val="auto"/>
              </w:rPr>
            </w:pPr>
          </w:p>
        </w:tc>
        <w:tc>
          <w:tcPr>
            <w:tcW w:w="860" w:type="dxa"/>
            <w:vAlign w:val="bottom"/>
            <w:tcBorders>
              <w:bottom w:val="single" w:sz="8" w:color="AF0000"/>
            </w:tcBorders>
          </w:tcPr>
          <w:p>
            <w:pPr>
              <w:spacing w:after="0"/>
              <w:rPr>
                <w:sz w:val="5"/>
                <w:szCs w:val="5"/>
                <w:color w:val="auto"/>
              </w:rPr>
            </w:pPr>
          </w:p>
        </w:tc>
        <w:tc>
          <w:tcPr>
            <w:tcW w:w="940" w:type="dxa"/>
            <w:vAlign w:val="bottom"/>
            <w:tcBorders>
              <w:bottom w:val="single" w:sz="8" w:color="AF0000"/>
            </w:tcBorders>
          </w:tcPr>
          <w:p>
            <w:pPr>
              <w:spacing w:after="0"/>
              <w:rPr>
                <w:sz w:val="5"/>
                <w:szCs w:val="5"/>
                <w:color w:val="auto"/>
              </w:rPr>
            </w:pPr>
          </w:p>
        </w:tc>
        <w:tc>
          <w:tcPr>
            <w:tcW w:w="660" w:type="dxa"/>
            <w:vAlign w:val="bottom"/>
            <w:tcBorders>
              <w:bottom w:val="single" w:sz="8" w:color="AF0000"/>
            </w:tcBorders>
          </w:tcPr>
          <w:p>
            <w:pPr>
              <w:spacing w:after="0"/>
              <w:rPr>
                <w:sz w:val="5"/>
                <w:szCs w:val="5"/>
                <w:color w:val="auto"/>
              </w:rPr>
            </w:pPr>
          </w:p>
        </w:tc>
        <w:tc>
          <w:tcPr>
            <w:tcW w:w="900" w:type="dxa"/>
            <w:vAlign w:val="bottom"/>
            <w:tcBorders>
              <w:bottom w:val="single" w:sz="8" w:color="AF0000"/>
            </w:tcBorders>
          </w:tcPr>
          <w:p>
            <w:pPr>
              <w:spacing w:after="0"/>
              <w:rPr>
                <w:sz w:val="5"/>
                <w:szCs w:val="5"/>
                <w:color w:val="auto"/>
              </w:rPr>
            </w:pPr>
          </w:p>
        </w:tc>
      </w:tr>
    </w:tbl>
    <w:p>
      <w:pPr>
        <w:spacing w:after="0" w:line="194" w:lineRule="exact"/>
        <w:rPr>
          <w:sz w:val="20"/>
          <w:szCs w:val="20"/>
          <w:color w:val="auto"/>
        </w:rPr>
      </w:pPr>
    </w:p>
    <w:p>
      <w:pPr>
        <w:ind w:left="200" w:right="559"/>
        <w:spacing w:after="0" w:line="235" w:lineRule="auto"/>
        <w:rPr>
          <w:sz w:val="20"/>
          <w:szCs w:val="20"/>
          <w:color w:val="auto"/>
        </w:rPr>
      </w:pPr>
      <w:r>
        <w:rPr>
          <w:rFonts w:ascii="Calibri" w:cs="Calibri" w:eastAsia="Calibri" w:hAnsi="Calibri"/>
          <w:sz w:val="18"/>
          <w:szCs w:val="18"/>
          <w:color w:val="auto"/>
        </w:rPr>
        <w:t>Based on the atainment level calculated above and the target bonus amounts set by the Compensaton Commitee, each NEO received performance-based bonus payments under the Executve Bonus Plan as follows:</w:t>
      </w: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280" w:type="dxa"/>
            <w:vAlign w:val="bottom"/>
            <w:tcBorders>
              <w:top w:val="single" w:sz="8" w:color="AF0000"/>
            </w:tcBorders>
          </w:tcPr>
          <w:p>
            <w:pPr>
              <w:spacing w:after="0"/>
              <w:rPr>
                <w:sz w:val="18"/>
                <w:szCs w:val="18"/>
                <w:color w:val="auto"/>
              </w:rPr>
            </w:pPr>
          </w:p>
        </w:tc>
        <w:tc>
          <w:tcPr>
            <w:tcW w:w="560" w:type="dxa"/>
            <w:vAlign w:val="bottom"/>
            <w:tcBorders>
              <w:top w:val="single" w:sz="8" w:color="AF0000"/>
            </w:tcBorders>
          </w:tcPr>
          <w:p>
            <w:pPr>
              <w:spacing w:after="0"/>
              <w:rPr>
                <w:sz w:val="18"/>
                <w:szCs w:val="18"/>
                <w:color w:val="auto"/>
              </w:rPr>
            </w:pPr>
          </w:p>
        </w:tc>
        <w:tc>
          <w:tcPr>
            <w:tcW w:w="1200" w:type="dxa"/>
            <w:vAlign w:val="bottom"/>
            <w:tcBorders>
              <w:top w:val="single" w:sz="8" w:color="AF0000"/>
            </w:tcBorders>
          </w:tcPr>
          <w:p>
            <w:pPr>
              <w:jc w:val="right"/>
              <w:ind w:right="450"/>
              <w:spacing w:after="0" w:line="207" w:lineRule="exact"/>
              <w:rPr>
                <w:sz w:val="20"/>
                <w:szCs w:val="20"/>
                <w:color w:val="auto"/>
              </w:rPr>
            </w:pPr>
            <w:r>
              <w:rPr>
                <w:rFonts w:ascii="Calibri" w:cs="Calibri" w:eastAsia="Calibri" w:hAnsi="Calibri"/>
                <w:sz w:val="18"/>
                <w:szCs w:val="18"/>
                <w:b w:val="1"/>
                <w:bCs w:val="1"/>
                <w:color w:val="auto"/>
              </w:rPr>
              <w:t>2023</w:t>
            </w:r>
          </w:p>
        </w:tc>
        <w:tc>
          <w:tcPr>
            <w:tcW w:w="1480" w:type="dxa"/>
            <w:vAlign w:val="bottom"/>
            <w:tcBorders>
              <w:top w:val="single" w:sz="8" w:color="AF0000"/>
            </w:tcBorders>
          </w:tcPr>
          <w:p>
            <w:pPr>
              <w:jc w:val="center"/>
              <w:ind w:left="10"/>
              <w:spacing w:after="0" w:line="207" w:lineRule="exact"/>
              <w:rPr>
                <w:sz w:val="20"/>
                <w:szCs w:val="20"/>
                <w:color w:val="auto"/>
              </w:rPr>
            </w:pPr>
            <w:r>
              <w:rPr>
                <w:rFonts w:ascii="Calibri" w:cs="Calibri" w:eastAsia="Calibri" w:hAnsi="Calibri"/>
                <w:sz w:val="18"/>
                <w:szCs w:val="18"/>
                <w:b w:val="1"/>
                <w:bCs w:val="1"/>
                <w:color w:val="auto"/>
                <w:w w:val="97"/>
              </w:rPr>
              <w:t>Performance</w:t>
            </w:r>
          </w:p>
        </w:tc>
        <w:tc>
          <w:tcPr>
            <w:tcW w:w="1220" w:type="dxa"/>
            <w:vAlign w:val="bottom"/>
            <w:tcBorders>
              <w:top w:val="single" w:sz="8" w:color="AF0000"/>
            </w:tcBorders>
          </w:tcPr>
          <w:p>
            <w:pPr>
              <w:spacing w:after="0"/>
              <w:rPr>
                <w:sz w:val="18"/>
                <w:szCs w:val="18"/>
                <w:color w:val="auto"/>
              </w:rPr>
            </w:pPr>
          </w:p>
        </w:tc>
        <w:tc>
          <w:tcPr>
            <w:tcW w:w="300" w:type="dxa"/>
            <w:vAlign w:val="bottom"/>
            <w:tcBorders>
              <w:top w:val="single" w:sz="8" w:color="AF0000"/>
            </w:tcBorders>
          </w:tcPr>
          <w:p>
            <w:pPr>
              <w:spacing w:after="0"/>
              <w:rPr>
                <w:sz w:val="18"/>
                <w:szCs w:val="18"/>
                <w:color w:val="auto"/>
              </w:rPr>
            </w:pPr>
          </w:p>
        </w:tc>
        <w:tc>
          <w:tcPr>
            <w:tcW w:w="1540" w:type="dxa"/>
            <w:vAlign w:val="bottom"/>
            <w:tcBorders>
              <w:top w:val="single" w:sz="8" w:color="AF0000"/>
            </w:tcBorders>
          </w:tcPr>
          <w:p>
            <w:pPr>
              <w:jc w:val="right"/>
              <w:ind w:right="270"/>
              <w:spacing w:after="0" w:line="207" w:lineRule="exact"/>
              <w:rPr>
                <w:sz w:val="20"/>
                <w:szCs w:val="20"/>
                <w:color w:val="auto"/>
              </w:rPr>
            </w:pPr>
            <w:r>
              <w:rPr>
                <w:rFonts w:ascii="Calibri" w:cs="Calibri" w:eastAsia="Calibri" w:hAnsi="Calibri"/>
                <w:sz w:val="18"/>
                <w:szCs w:val="18"/>
                <w:b w:val="1"/>
                <w:bCs w:val="1"/>
                <w:color w:val="auto"/>
              </w:rPr>
              <w:t>Performance</w:t>
            </w:r>
          </w:p>
        </w:tc>
      </w:tr>
      <w:tr>
        <w:trPr>
          <w:trHeight w:val="259"/>
        </w:trPr>
        <w:tc>
          <w:tcPr>
            <w:tcW w:w="2280" w:type="dxa"/>
            <w:vAlign w:val="bottom"/>
            <w:tcBorders>
              <w:bottom w:val="single" w:sz="8" w:color="AF0000"/>
            </w:tcBorders>
          </w:tcPr>
          <w:p>
            <w:pPr>
              <w:ind w:left="80"/>
              <w:spacing w:after="0"/>
              <w:rPr>
                <w:sz w:val="20"/>
                <w:szCs w:val="20"/>
                <w:color w:val="auto"/>
              </w:rPr>
            </w:pPr>
            <w:r>
              <w:rPr>
                <w:rFonts w:ascii="Calibri" w:cs="Calibri" w:eastAsia="Calibri" w:hAnsi="Calibri"/>
                <w:sz w:val="18"/>
                <w:szCs w:val="18"/>
                <w:b w:val="1"/>
                <w:bCs w:val="1"/>
                <w:color w:val="auto"/>
              </w:rPr>
              <w:t>Named Executve Ofcer</w:t>
            </w:r>
          </w:p>
        </w:tc>
        <w:tc>
          <w:tcPr>
            <w:tcW w:w="560" w:type="dxa"/>
            <w:vAlign w:val="bottom"/>
            <w:tcBorders>
              <w:bottom w:val="single" w:sz="8" w:color="AF0000"/>
            </w:tcBorders>
          </w:tcPr>
          <w:p>
            <w:pPr>
              <w:spacing w:after="0"/>
              <w:rPr>
                <w:sz w:val="22"/>
                <w:szCs w:val="22"/>
                <w:color w:val="auto"/>
              </w:rPr>
            </w:pPr>
          </w:p>
        </w:tc>
        <w:tc>
          <w:tcPr>
            <w:tcW w:w="1200" w:type="dxa"/>
            <w:vAlign w:val="bottom"/>
            <w:tcBorders>
              <w:bottom w:val="single" w:sz="8" w:color="AF0000"/>
            </w:tcBorders>
          </w:tcPr>
          <w:p>
            <w:pPr>
              <w:jc w:val="right"/>
              <w:ind w:right="230"/>
              <w:spacing w:after="0" w:line="215" w:lineRule="exact"/>
              <w:rPr>
                <w:sz w:val="20"/>
                <w:szCs w:val="20"/>
                <w:color w:val="auto"/>
              </w:rPr>
            </w:pPr>
            <w:r>
              <w:rPr>
                <w:rFonts w:ascii="Calibri" w:cs="Calibri" w:eastAsia="Calibri" w:hAnsi="Calibri"/>
                <w:sz w:val="18"/>
                <w:szCs w:val="18"/>
                <w:b w:val="1"/>
                <w:bCs w:val="1"/>
                <w:color w:val="auto"/>
              </w:rPr>
              <w:t>Base Salary</w:t>
            </w:r>
          </w:p>
        </w:tc>
        <w:tc>
          <w:tcPr>
            <w:tcW w:w="1480" w:type="dxa"/>
            <w:vAlign w:val="bottom"/>
            <w:tcBorders>
              <w:bottom w:val="single" w:sz="8" w:color="AF0000"/>
            </w:tcBorders>
          </w:tcPr>
          <w:p>
            <w:pPr>
              <w:jc w:val="center"/>
              <w:ind w:left="10"/>
              <w:spacing w:after="0" w:line="215" w:lineRule="exact"/>
              <w:rPr>
                <w:sz w:val="20"/>
                <w:szCs w:val="20"/>
                <w:color w:val="auto"/>
              </w:rPr>
            </w:pPr>
            <w:r>
              <w:rPr>
                <w:rFonts w:ascii="Calibri" w:cs="Calibri" w:eastAsia="Calibri" w:hAnsi="Calibri"/>
                <w:sz w:val="18"/>
                <w:szCs w:val="18"/>
                <w:b w:val="1"/>
                <w:bCs w:val="1"/>
                <w:color w:val="auto"/>
                <w:w w:val="95"/>
              </w:rPr>
              <w:t>Bonus Target</w:t>
            </w:r>
          </w:p>
        </w:tc>
        <w:tc>
          <w:tcPr>
            <w:tcW w:w="1220" w:type="dxa"/>
            <w:vAlign w:val="bottom"/>
            <w:tcBorders>
              <w:bottom w:val="single" w:sz="8" w:color="AF0000"/>
            </w:tcBorders>
          </w:tcPr>
          <w:p>
            <w:pPr>
              <w:jc w:val="center"/>
              <w:spacing w:after="0"/>
              <w:rPr>
                <w:sz w:val="20"/>
                <w:szCs w:val="20"/>
                <w:color w:val="auto"/>
              </w:rPr>
            </w:pPr>
            <w:r>
              <w:rPr>
                <w:rFonts w:ascii="Calibri" w:cs="Calibri" w:eastAsia="Calibri" w:hAnsi="Calibri"/>
                <w:sz w:val="18"/>
                <w:szCs w:val="18"/>
                <w:b w:val="1"/>
                <w:bCs w:val="1"/>
                <w:color w:val="auto"/>
              </w:rPr>
              <w:t>Atainment</w:t>
            </w:r>
          </w:p>
        </w:tc>
        <w:tc>
          <w:tcPr>
            <w:tcW w:w="300" w:type="dxa"/>
            <w:vAlign w:val="bottom"/>
            <w:tcBorders>
              <w:bottom w:val="single" w:sz="8" w:color="AF0000"/>
            </w:tcBorders>
          </w:tcPr>
          <w:p>
            <w:pPr>
              <w:spacing w:after="0"/>
              <w:rPr>
                <w:sz w:val="22"/>
                <w:szCs w:val="22"/>
                <w:color w:val="auto"/>
              </w:rPr>
            </w:pPr>
          </w:p>
        </w:tc>
        <w:tc>
          <w:tcPr>
            <w:tcW w:w="1540" w:type="dxa"/>
            <w:vAlign w:val="bottom"/>
            <w:tcBorders>
              <w:bottom w:val="single" w:sz="8" w:color="AF0000"/>
            </w:tcBorders>
          </w:tcPr>
          <w:p>
            <w:pPr>
              <w:jc w:val="right"/>
              <w:ind w:right="90"/>
              <w:spacing w:after="0" w:line="252" w:lineRule="exact"/>
              <w:rPr>
                <w:sz w:val="20"/>
                <w:szCs w:val="20"/>
                <w:color w:val="auto"/>
              </w:rPr>
            </w:pPr>
            <w:r>
              <w:rPr>
                <w:rFonts w:ascii="Calibri" w:cs="Calibri" w:eastAsia="Calibri" w:hAnsi="Calibri"/>
                <w:sz w:val="18"/>
                <w:szCs w:val="18"/>
                <w:b w:val="1"/>
                <w:bCs w:val="1"/>
                <w:color w:val="auto"/>
                <w:w w:val="96"/>
              </w:rPr>
              <w:t xml:space="preserve">Bonus Payment </w:t>
            </w:r>
            <w:r>
              <w:rPr>
                <w:rFonts w:ascii="Calibri" w:cs="Calibri" w:eastAsia="Calibri" w:hAnsi="Calibri"/>
                <w:sz w:val="24"/>
                <w:szCs w:val="24"/>
                <w:b w:val="1"/>
                <w:bCs w:val="1"/>
                <w:color w:val="AF0000"/>
                <w:w w:val="96"/>
                <w:vertAlign w:val="superscript"/>
              </w:rPr>
              <w:t>(1)</w:t>
            </w:r>
          </w:p>
        </w:tc>
      </w:tr>
      <w:tr>
        <w:trPr>
          <w:trHeight w:val="215"/>
        </w:trPr>
        <w:tc>
          <w:tcPr>
            <w:tcW w:w="228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Fred P. Lampropoulos</w:t>
            </w:r>
          </w:p>
        </w:tc>
        <w:tc>
          <w:tcPr>
            <w:tcW w:w="5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6A6A6"/>
            </w:tcBorders>
          </w:tcPr>
          <w:p>
            <w:pPr>
              <w:jc w:val="right"/>
              <w:ind w:right="230"/>
              <w:spacing w:after="0" w:line="215" w:lineRule="exact"/>
              <w:rPr>
                <w:sz w:val="20"/>
                <w:szCs w:val="20"/>
                <w:color w:val="auto"/>
              </w:rPr>
            </w:pPr>
            <w:r>
              <w:rPr>
                <w:rFonts w:ascii="Calibri" w:cs="Calibri" w:eastAsia="Calibri" w:hAnsi="Calibri"/>
                <w:sz w:val="18"/>
                <w:szCs w:val="18"/>
                <w:color w:val="auto"/>
              </w:rPr>
              <w:t>1,890,000</w:t>
            </w:r>
          </w:p>
        </w:tc>
        <w:tc>
          <w:tcPr>
            <w:tcW w:w="1480" w:type="dxa"/>
            <w:vAlign w:val="bottom"/>
            <w:tcBorders>
              <w:bottom w:val="single" w:sz="8" w:color="A6A6A6"/>
            </w:tcBorders>
          </w:tcPr>
          <w:p>
            <w:pPr>
              <w:jc w:val="center"/>
              <w:ind w:left="10"/>
              <w:spacing w:after="0" w:line="215" w:lineRule="exact"/>
              <w:rPr>
                <w:sz w:val="20"/>
                <w:szCs w:val="20"/>
                <w:color w:val="auto"/>
              </w:rPr>
            </w:pPr>
            <w:r>
              <w:rPr>
                <w:rFonts w:ascii="Calibri" w:cs="Calibri" w:eastAsia="Calibri" w:hAnsi="Calibri"/>
                <w:sz w:val="18"/>
                <w:szCs w:val="18"/>
                <w:color w:val="auto"/>
                <w:w w:val="96"/>
              </w:rPr>
              <w:t>60%</w:t>
            </w:r>
          </w:p>
        </w:tc>
        <w:tc>
          <w:tcPr>
            <w:tcW w:w="1220" w:type="dxa"/>
            <w:vAlign w:val="bottom"/>
            <w:tcBorders>
              <w:bottom w:val="single" w:sz="8" w:color="A6A6A6"/>
            </w:tcBorders>
          </w:tcPr>
          <w:p>
            <w:pPr>
              <w:jc w:val="center"/>
              <w:spacing w:after="0" w:line="215" w:lineRule="exact"/>
              <w:rPr>
                <w:sz w:val="20"/>
                <w:szCs w:val="20"/>
                <w:color w:val="auto"/>
              </w:rPr>
            </w:pPr>
            <w:r>
              <w:rPr>
                <w:rFonts w:ascii="Calibri" w:cs="Calibri" w:eastAsia="Calibri" w:hAnsi="Calibri"/>
                <w:sz w:val="18"/>
                <w:szCs w:val="18"/>
                <w:color w:val="auto"/>
                <w:w w:val="98"/>
              </w:rPr>
              <w:t>118.12%</w:t>
            </w:r>
          </w:p>
        </w:tc>
        <w:tc>
          <w:tcPr>
            <w:tcW w:w="30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540" w:type="dxa"/>
            <w:vAlign w:val="bottom"/>
            <w:tcBorders>
              <w:bottom w:val="single" w:sz="8" w:color="A6A6A6"/>
            </w:tcBorders>
          </w:tcPr>
          <w:p>
            <w:pPr>
              <w:jc w:val="right"/>
              <w:ind w:right="210"/>
              <w:spacing w:after="0" w:line="215" w:lineRule="exact"/>
              <w:rPr>
                <w:sz w:val="20"/>
                <w:szCs w:val="20"/>
                <w:color w:val="auto"/>
              </w:rPr>
            </w:pPr>
            <w:r>
              <w:rPr>
                <w:rFonts w:ascii="Calibri" w:cs="Calibri" w:eastAsia="Calibri" w:hAnsi="Calibri"/>
                <w:sz w:val="18"/>
                <w:szCs w:val="18"/>
                <w:color w:val="auto"/>
              </w:rPr>
              <w:t>1,339,481</w:t>
            </w:r>
          </w:p>
        </w:tc>
      </w:tr>
      <w:tr>
        <w:trPr>
          <w:trHeight w:val="209"/>
        </w:trPr>
        <w:tc>
          <w:tcPr>
            <w:tcW w:w="228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Raul Parra</w:t>
            </w:r>
          </w:p>
        </w:tc>
        <w:tc>
          <w:tcPr>
            <w:tcW w:w="56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tcPr>
          <w:p>
            <w:pPr>
              <w:jc w:val="right"/>
              <w:ind w:right="230"/>
              <w:spacing w:after="0" w:line="209" w:lineRule="exact"/>
              <w:rPr>
                <w:sz w:val="20"/>
                <w:szCs w:val="20"/>
                <w:color w:val="auto"/>
              </w:rPr>
            </w:pPr>
            <w:r>
              <w:rPr>
                <w:rFonts w:ascii="Calibri" w:cs="Calibri" w:eastAsia="Calibri" w:hAnsi="Calibri"/>
                <w:sz w:val="18"/>
                <w:szCs w:val="18"/>
                <w:color w:val="auto"/>
              </w:rPr>
              <w:t>630,000</w:t>
            </w:r>
          </w:p>
        </w:tc>
        <w:tc>
          <w:tcPr>
            <w:tcW w:w="1480" w:type="dxa"/>
            <w:vAlign w:val="bottom"/>
            <w:tcBorders>
              <w:bottom w:val="single" w:sz="8" w:color="A6A6A6"/>
            </w:tcBorders>
          </w:tcPr>
          <w:p>
            <w:pPr>
              <w:jc w:val="center"/>
              <w:ind w:left="10"/>
              <w:spacing w:after="0" w:line="209" w:lineRule="exact"/>
              <w:rPr>
                <w:sz w:val="20"/>
                <w:szCs w:val="20"/>
                <w:color w:val="auto"/>
              </w:rPr>
            </w:pPr>
            <w:r>
              <w:rPr>
                <w:rFonts w:ascii="Calibri" w:cs="Calibri" w:eastAsia="Calibri" w:hAnsi="Calibri"/>
                <w:sz w:val="18"/>
                <w:szCs w:val="18"/>
                <w:color w:val="auto"/>
                <w:w w:val="96"/>
              </w:rPr>
              <w:t>50%</w:t>
            </w:r>
          </w:p>
        </w:tc>
        <w:tc>
          <w:tcPr>
            <w:tcW w:w="122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8"/>
              </w:rPr>
              <w:t>118.12%</w:t>
            </w:r>
          </w:p>
        </w:tc>
        <w:tc>
          <w:tcPr>
            <w:tcW w:w="300" w:type="dxa"/>
            <w:vAlign w:val="bottom"/>
            <w:tcBorders>
              <w:bottom w:val="single" w:sz="8" w:color="A6A6A6"/>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540" w:type="dxa"/>
            <w:vAlign w:val="bottom"/>
            <w:tcBorders>
              <w:bottom w:val="single" w:sz="8" w:color="A6A6A6"/>
            </w:tcBorders>
          </w:tcPr>
          <w:p>
            <w:pPr>
              <w:jc w:val="right"/>
              <w:ind w:right="210"/>
              <w:spacing w:after="0" w:line="209" w:lineRule="exact"/>
              <w:rPr>
                <w:sz w:val="20"/>
                <w:szCs w:val="20"/>
                <w:color w:val="auto"/>
              </w:rPr>
            </w:pPr>
            <w:r>
              <w:rPr>
                <w:rFonts w:ascii="Calibri" w:cs="Calibri" w:eastAsia="Calibri" w:hAnsi="Calibri"/>
                <w:sz w:val="18"/>
                <w:szCs w:val="18"/>
                <w:color w:val="auto"/>
              </w:rPr>
              <w:t>372,078</w:t>
            </w:r>
          </w:p>
        </w:tc>
      </w:tr>
      <w:tr>
        <w:trPr>
          <w:trHeight w:val="210"/>
        </w:trPr>
        <w:tc>
          <w:tcPr>
            <w:tcW w:w="228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Joseph C. Wright</w:t>
            </w:r>
          </w:p>
        </w:tc>
        <w:tc>
          <w:tcPr>
            <w:tcW w:w="56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tcPr>
          <w:p>
            <w:pPr>
              <w:jc w:val="right"/>
              <w:ind w:right="230"/>
              <w:spacing w:after="0" w:line="209" w:lineRule="exact"/>
              <w:rPr>
                <w:sz w:val="20"/>
                <w:szCs w:val="20"/>
                <w:color w:val="auto"/>
              </w:rPr>
            </w:pPr>
            <w:r>
              <w:rPr>
                <w:rFonts w:ascii="Calibri" w:cs="Calibri" w:eastAsia="Calibri" w:hAnsi="Calibri"/>
                <w:sz w:val="18"/>
                <w:szCs w:val="18"/>
                <w:color w:val="auto"/>
              </w:rPr>
              <w:t>700,000</w:t>
            </w:r>
          </w:p>
        </w:tc>
        <w:tc>
          <w:tcPr>
            <w:tcW w:w="1480" w:type="dxa"/>
            <w:vAlign w:val="bottom"/>
            <w:tcBorders>
              <w:bottom w:val="single" w:sz="8" w:color="A6A6A6"/>
            </w:tcBorders>
          </w:tcPr>
          <w:p>
            <w:pPr>
              <w:jc w:val="center"/>
              <w:ind w:left="10"/>
              <w:spacing w:after="0" w:line="209" w:lineRule="exact"/>
              <w:rPr>
                <w:sz w:val="20"/>
                <w:szCs w:val="20"/>
                <w:color w:val="auto"/>
              </w:rPr>
            </w:pPr>
            <w:r>
              <w:rPr>
                <w:rFonts w:ascii="Calibri" w:cs="Calibri" w:eastAsia="Calibri" w:hAnsi="Calibri"/>
                <w:sz w:val="18"/>
                <w:szCs w:val="18"/>
                <w:color w:val="auto"/>
                <w:w w:val="96"/>
              </w:rPr>
              <w:t>40%</w:t>
            </w:r>
          </w:p>
        </w:tc>
        <w:tc>
          <w:tcPr>
            <w:tcW w:w="122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8"/>
              </w:rPr>
              <w:t>118.12%</w:t>
            </w:r>
          </w:p>
        </w:tc>
        <w:tc>
          <w:tcPr>
            <w:tcW w:w="300" w:type="dxa"/>
            <w:vAlign w:val="bottom"/>
            <w:tcBorders>
              <w:bottom w:val="single" w:sz="8" w:color="A6A6A6"/>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540" w:type="dxa"/>
            <w:vAlign w:val="bottom"/>
            <w:tcBorders>
              <w:bottom w:val="single" w:sz="8" w:color="A6A6A6"/>
            </w:tcBorders>
          </w:tcPr>
          <w:p>
            <w:pPr>
              <w:jc w:val="right"/>
              <w:ind w:right="210"/>
              <w:spacing w:after="0" w:line="209" w:lineRule="exact"/>
              <w:rPr>
                <w:sz w:val="20"/>
                <w:szCs w:val="20"/>
                <w:color w:val="auto"/>
              </w:rPr>
            </w:pPr>
            <w:r>
              <w:rPr>
                <w:rFonts w:ascii="Calibri" w:cs="Calibri" w:eastAsia="Calibri" w:hAnsi="Calibri"/>
                <w:sz w:val="18"/>
                <w:szCs w:val="18"/>
                <w:color w:val="auto"/>
              </w:rPr>
              <w:t>330,736</w:t>
            </w:r>
          </w:p>
        </w:tc>
      </w:tr>
      <w:tr>
        <w:trPr>
          <w:trHeight w:val="210"/>
        </w:trPr>
        <w:tc>
          <w:tcPr>
            <w:tcW w:w="228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Neil W. Peterson</w:t>
            </w:r>
          </w:p>
        </w:tc>
        <w:tc>
          <w:tcPr>
            <w:tcW w:w="56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tcPr>
          <w:p>
            <w:pPr>
              <w:jc w:val="right"/>
              <w:ind w:right="230"/>
              <w:spacing w:after="0" w:line="209" w:lineRule="exact"/>
              <w:rPr>
                <w:sz w:val="20"/>
                <w:szCs w:val="20"/>
                <w:color w:val="auto"/>
              </w:rPr>
            </w:pPr>
            <w:r>
              <w:rPr>
                <w:rFonts w:ascii="Calibri" w:cs="Calibri" w:eastAsia="Calibri" w:hAnsi="Calibri"/>
                <w:sz w:val="18"/>
                <w:szCs w:val="18"/>
                <w:color w:val="auto"/>
              </w:rPr>
              <w:t>630,000</w:t>
            </w:r>
          </w:p>
        </w:tc>
        <w:tc>
          <w:tcPr>
            <w:tcW w:w="1480" w:type="dxa"/>
            <w:vAlign w:val="bottom"/>
            <w:tcBorders>
              <w:bottom w:val="single" w:sz="8" w:color="A6A6A6"/>
            </w:tcBorders>
          </w:tcPr>
          <w:p>
            <w:pPr>
              <w:jc w:val="center"/>
              <w:ind w:left="10"/>
              <w:spacing w:after="0" w:line="209" w:lineRule="exact"/>
              <w:rPr>
                <w:sz w:val="20"/>
                <w:szCs w:val="20"/>
                <w:color w:val="auto"/>
              </w:rPr>
            </w:pPr>
            <w:r>
              <w:rPr>
                <w:rFonts w:ascii="Calibri" w:cs="Calibri" w:eastAsia="Calibri" w:hAnsi="Calibri"/>
                <w:sz w:val="18"/>
                <w:szCs w:val="18"/>
                <w:color w:val="auto"/>
                <w:w w:val="96"/>
              </w:rPr>
              <w:t>40%</w:t>
            </w:r>
          </w:p>
        </w:tc>
        <w:tc>
          <w:tcPr>
            <w:tcW w:w="122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8"/>
              </w:rPr>
              <w:t>118.12%</w:t>
            </w:r>
          </w:p>
        </w:tc>
        <w:tc>
          <w:tcPr>
            <w:tcW w:w="300" w:type="dxa"/>
            <w:vAlign w:val="bottom"/>
            <w:tcBorders>
              <w:bottom w:val="single" w:sz="8" w:color="A6A6A6"/>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540" w:type="dxa"/>
            <w:vAlign w:val="bottom"/>
            <w:tcBorders>
              <w:bottom w:val="single" w:sz="8" w:color="A6A6A6"/>
            </w:tcBorders>
          </w:tcPr>
          <w:p>
            <w:pPr>
              <w:jc w:val="right"/>
              <w:ind w:right="210"/>
              <w:spacing w:after="0" w:line="209" w:lineRule="exact"/>
              <w:rPr>
                <w:sz w:val="20"/>
                <w:szCs w:val="20"/>
                <w:color w:val="auto"/>
              </w:rPr>
            </w:pPr>
            <w:r>
              <w:rPr>
                <w:rFonts w:ascii="Calibri" w:cs="Calibri" w:eastAsia="Calibri" w:hAnsi="Calibri"/>
                <w:sz w:val="18"/>
                <w:szCs w:val="18"/>
                <w:color w:val="auto"/>
              </w:rPr>
              <w:t>297,662</w:t>
            </w:r>
          </w:p>
        </w:tc>
      </w:tr>
      <w:tr>
        <w:trPr>
          <w:trHeight w:val="217"/>
        </w:trPr>
        <w:tc>
          <w:tcPr>
            <w:tcW w:w="2280" w:type="dxa"/>
            <w:vAlign w:val="bottom"/>
            <w:tcBorders>
              <w:bottom w:val="single" w:sz="8" w:color="AF0000"/>
            </w:tcBorders>
          </w:tcPr>
          <w:p>
            <w:pPr>
              <w:ind w:left="80"/>
              <w:spacing w:after="0" w:line="209" w:lineRule="exact"/>
              <w:rPr>
                <w:sz w:val="20"/>
                <w:szCs w:val="20"/>
                <w:color w:val="auto"/>
              </w:rPr>
            </w:pPr>
            <w:r>
              <w:rPr>
                <w:rFonts w:ascii="Calibri" w:cs="Calibri" w:eastAsia="Calibri" w:hAnsi="Calibri"/>
                <w:sz w:val="18"/>
                <w:szCs w:val="18"/>
                <w:color w:val="auto"/>
              </w:rPr>
              <w:t>Brian G. Lloyd</w:t>
            </w:r>
          </w:p>
        </w:tc>
        <w:tc>
          <w:tcPr>
            <w:tcW w:w="560" w:type="dxa"/>
            <w:vAlign w:val="bottom"/>
            <w:tcBorders>
              <w:bottom w:val="single" w:sz="8" w:color="AF0000"/>
            </w:tcBorders>
          </w:tcPr>
          <w:p>
            <w:pPr>
              <w:spacing w:after="0"/>
              <w:rPr>
                <w:sz w:val="18"/>
                <w:szCs w:val="18"/>
                <w:color w:val="auto"/>
              </w:rPr>
            </w:pPr>
          </w:p>
        </w:tc>
        <w:tc>
          <w:tcPr>
            <w:tcW w:w="1200" w:type="dxa"/>
            <w:vAlign w:val="bottom"/>
            <w:tcBorders>
              <w:bottom w:val="single" w:sz="8" w:color="AF0000"/>
            </w:tcBorders>
          </w:tcPr>
          <w:p>
            <w:pPr>
              <w:jc w:val="right"/>
              <w:ind w:right="230"/>
              <w:spacing w:after="0" w:line="209" w:lineRule="exact"/>
              <w:rPr>
                <w:sz w:val="20"/>
                <w:szCs w:val="20"/>
                <w:color w:val="auto"/>
              </w:rPr>
            </w:pPr>
            <w:r>
              <w:rPr>
                <w:rFonts w:ascii="Calibri" w:cs="Calibri" w:eastAsia="Calibri" w:hAnsi="Calibri"/>
                <w:sz w:val="18"/>
                <w:szCs w:val="18"/>
                <w:color w:val="auto"/>
              </w:rPr>
              <w:t>630,000</w:t>
            </w:r>
          </w:p>
        </w:tc>
        <w:tc>
          <w:tcPr>
            <w:tcW w:w="1480" w:type="dxa"/>
            <w:vAlign w:val="bottom"/>
            <w:tcBorders>
              <w:bottom w:val="single" w:sz="8" w:color="AF0000"/>
            </w:tcBorders>
          </w:tcPr>
          <w:p>
            <w:pPr>
              <w:jc w:val="center"/>
              <w:ind w:left="10"/>
              <w:spacing w:after="0" w:line="209" w:lineRule="exact"/>
              <w:rPr>
                <w:sz w:val="20"/>
                <w:szCs w:val="20"/>
                <w:color w:val="auto"/>
              </w:rPr>
            </w:pPr>
            <w:r>
              <w:rPr>
                <w:rFonts w:ascii="Calibri" w:cs="Calibri" w:eastAsia="Calibri" w:hAnsi="Calibri"/>
                <w:sz w:val="18"/>
                <w:szCs w:val="18"/>
                <w:color w:val="auto"/>
                <w:w w:val="96"/>
              </w:rPr>
              <w:t>40%</w:t>
            </w:r>
          </w:p>
        </w:tc>
        <w:tc>
          <w:tcPr>
            <w:tcW w:w="1220" w:type="dxa"/>
            <w:vAlign w:val="bottom"/>
            <w:tcBorders>
              <w:bottom w:val="single" w:sz="8" w:color="AF0000"/>
            </w:tcBorders>
          </w:tcPr>
          <w:p>
            <w:pPr>
              <w:jc w:val="center"/>
              <w:spacing w:after="0" w:line="209" w:lineRule="exact"/>
              <w:rPr>
                <w:sz w:val="20"/>
                <w:szCs w:val="20"/>
                <w:color w:val="auto"/>
              </w:rPr>
            </w:pPr>
            <w:r>
              <w:rPr>
                <w:rFonts w:ascii="Calibri" w:cs="Calibri" w:eastAsia="Calibri" w:hAnsi="Calibri"/>
                <w:sz w:val="18"/>
                <w:szCs w:val="18"/>
                <w:color w:val="auto"/>
                <w:w w:val="98"/>
              </w:rPr>
              <w:t>118.12%</w:t>
            </w:r>
          </w:p>
        </w:tc>
        <w:tc>
          <w:tcPr>
            <w:tcW w:w="300" w:type="dxa"/>
            <w:vAlign w:val="bottom"/>
            <w:tcBorders>
              <w:bottom w:val="single" w:sz="8" w:color="AF0000"/>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540" w:type="dxa"/>
            <w:vAlign w:val="bottom"/>
            <w:tcBorders>
              <w:bottom w:val="single" w:sz="8" w:color="AF0000"/>
            </w:tcBorders>
          </w:tcPr>
          <w:p>
            <w:pPr>
              <w:jc w:val="right"/>
              <w:ind w:right="210"/>
              <w:spacing w:after="0" w:line="209" w:lineRule="exact"/>
              <w:rPr>
                <w:sz w:val="20"/>
                <w:szCs w:val="20"/>
                <w:color w:val="auto"/>
              </w:rPr>
            </w:pPr>
            <w:r>
              <w:rPr>
                <w:rFonts w:ascii="Calibri" w:cs="Calibri" w:eastAsia="Calibri" w:hAnsi="Calibri"/>
                <w:sz w:val="18"/>
                <w:szCs w:val="18"/>
                <w:color w:val="auto"/>
              </w:rPr>
              <w:t>297,662</w:t>
            </w:r>
          </w:p>
        </w:tc>
      </w:tr>
    </w:tbl>
    <w:p>
      <w:pPr>
        <w:spacing w:after="0" w:line="76" w:lineRule="exact"/>
        <w:rPr>
          <w:sz w:val="20"/>
          <w:szCs w:val="20"/>
          <w:color w:val="auto"/>
        </w:rPr>
      </w:pPr>
    </w:p>
    <w:p>
      <w:pPr>
        <w:ind w:left="540" w:right="519" w:hanging="331"/>
        <w:spacing w:after="0" w:line="246" w:lineRule="auto"/>
        <w:tabs>
          <w:tab w:leader="none" w:pos="540" w:val="left"/>
        </w:tabs>
        <w:numPr>
          <w:ilvl w:val="0"/>
          <w:numId w:val="76"/>
        </w:numPr>
        <w:rPr>
          <w:rFonts w:ascii="Calibri" w:cs="Calibri" w:eastAsia="Calibri" w:hAnsi="Calibri"/>
          <w:sz w:val="16"/>
          <w:szCs w:val="16"/>
          <w:color w:val="AF0000"/>
        </w:rPr>
      </w:pPr>
      <w:r>
        <w:rPr>
          <w:rFonts w:ascii="Calibri" w:cs="Calibri" w:eastAsia="Calibri" w:hAnsi="Calibri"/>
          <w:sz w:val="16"/>
          <w:szCs w:val="16"/>
          <w:color w:val="auto"/>
        </w:rPr>
        <w:t>These amounts are shown in the “Non-Equity Incentve Plan Compensaton” column in the Summary Compensaton Table below.</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55" w:name="page56"/>
    <w:bookmarkEnd w:id="55"/>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31"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Return of Incentve Compensaton</w:t>
      </w:r>
    </w:p>
    <w:p>
      <w:pPr>
        <w:spacing w:after="0" w:line="177" w:lineRule="exact"/>
        <w:rPr>
          <w:sz w:val="20"/>
          <w:szCs w:val="20"/>
          <w:color w:val="auto"/>
        </w:rPr>
      </w:pPr>
    </w:p>
    <w:p>
      <w:pPr>
        <w:ind w:left="200" w:right="279"/>
        <w:spacing w:after="0" w:line="234" w:lineRule="auto"/>
        <w:rPr>
          <w:sz w:val="20"/>
          <w:szCs w:val="20"/>
          <w:color w:val="auto"/>
        </w:rPr>
      </w:pPr>
      <w:r>
        <w:rPr>
          <w:rFonts w:ascii="Calibri" w:cs="Calibri" w:eastAsia="Calibri" w:hAnsi="Calibri"/>
          <w:sz w:val="18"/>
          <w:szCs w:val="18"/>
          <w:color w:val="auto"/>
        </w:rPr>
        <w:t>Efectve as of October 2, 2023, our Board adopted the Merit Medical Systems, Inc. Executve Incentve Compensaton Clawback Policy (</w:t>
      </w:r>
      <w:r>
        <w:rPr>
          <w:rFonts w:ascii="Calibri" w:cs="Calibri" w:eastAsia="Calibri" w:hAnsi="Calibri"/>
          <w:sz w:val="18"/>
          <w:szCs w:val="18"/>
          <w:u w:val="single" w:color="auto"/>
          <w:color w:val="AF0000"/>
        </w:rPr>
        <w:t>Clawback Policy</w:t>
      </w:r>
      <w:r>
        <w:rPr>
          <w:rFonts w:ascii="Calibri" w:cs="Calibri" w:eastAsia="Calibri" w:hAnsi="Calibri"/>
          <w:sz w:val="18"/>
          <w:szCs w:val="18"/>
          <w:color w:val="auto"/>
        </w:rPr>
        <w:t>), which is designed to comply with Secton 10D of the Exchange Act, Rule 10D-1 thereunder and the applicable Nasdaq listng standards. The Clawback Policy requires the Board or one of its commitees charged with administraton of the Clawback Policy to recoup any erroneously awarded incentve-based compensaton received by certain executves, including each NEO, in the event the Company is required to prepare an accountng restatement due to material noncompliance with any fnancial reportng requirement under the federal securites laws. The Clawback Policy generally applies to all incentve-based compensaton received by a covered executve during the three completed fscal years immediately preceding the date that the Company is required to prepare a restatement afer the policy’s efectve date. The Clawback Policy was fled as an exhibit to the Company’s Annual Report (referred to therein as the “Policy Relatng to the Recovery of Erroneously Awarded Compensaton.”). No recoupments were made under the Clawback Policy during 2023.</w:t>
      </w:r>
    </w:p>
    <w:p>
      <w:pPr>
        <w:spacing w:after="0" w:line="181" w:lineRule="exact"/>
        <w:rPr>
          <w:sz w:val="20"/>
          <w:szCs w:val="20"/>
          <w:color w:val="auto"/>
        </w:rPr>
      </w:pPr>
    </w:p>
    <w:p>
      <w:pPr>
        <w:ind w:left="200" w:right="259"/>
        <w:spacing w:after="0" w:line="233" w:lineRule="auto"/>
        <w:rPr>
          <w:sz w:val="20"/>
          <w:szCs w:val="20"/>
          <w:color w:val="auto"/>
        </w:rPr>
      </w:pPr>
      <w:r>
        <w:rPr>
          <w:rFonts w:ascii="Calibri" w:cs="Calibri" w:eastAsia="Calibri" w:hAnsi="Calibri"/>
          <w:sz w:val="18"/>
          <w:szCs w:val="18"/>
          <w:color w:val="auto"/>
        </w:rPr>
        <w:t>In additon to the Clawback Policy, the Executve Bonus Plan provides to our Board the authority to obtain reimbursement from any partcipant in the plan if the Board determines that: (a) a signifcant restatement of the Company’s fnancial results for any of the three prior fscal years is required; and (b) the partcipant’s award amount would have been lower had the fnancial results been properly calculated. Such reimbursement shall consist of any porton of any award previously paid to such partcipant that is greater than the award that would have been paid if calculated based upon the restated fnancial results. The acton permited to be taken by the Board under the Executve Bonus Plan is in additon to, and not in lieu of, any and all other rights of the Board and/or the Company under applicable law or any other clawback or similar policy of the Company. The PSU agreements which are part of the long-term equity incentve program under the 2018 Incentve Plan which our Compensaton Commitee implemented in 2020 also include a “clawback” feature which permits our Compensaton Commitee to recover payments from award recipients if (i) the payment was predicated upon achieving fnancial results that were subsequently the subject of a restatement of the Company’s fnancial statements fled with the SEC; (ii) the Compensaton Commitee determines that the recipient engaged in intentonal misconduct, gross negligence or fraudulent or illegal conduct that caused or substantally caused the need for the restatement; and (iii) a lower amount would have been paid to the recipient based upon the restated fnancial results.</w:t>
      </w:r>
    </w:p>
    <w:p>
      <w:pPr>
        <w:spacing w:after="0" w:line="177"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Discretonary Bonuses</w:t>
      </w:r>
    </w:p>
    <w:p>
      <w:pPr>
        <w:spacing w:after="0" w:line="146" w:lineRule="exact"/>
        <w:rPr>
          <w:sz w:val="20"/>
          <w:szCs w:val="20"/>
          <w:color w:val="auto"/>
        </w:rPr>
      </w:pPr>
    </w:p>
    <w:p>
      <w:pPr>
        <w:ind w:left="200" w:right="239"/>
        <w:spacing w:after="0" w:line="251" w:lineRule="auto"/>
        <w:rPr>
          <w:sz w:val="20"/>
          <w:szCs w:val="20"/>
          <w:color w:val="auto"/>
        </w:rPr>
      </w:pPr>
      <w:r>
        <w:rPr>
          <w:rFonts w:ascii="Calibri" w:cs="Calibri" w:eastAsia="Calibri" w:hAnsi="Calibri"/>
          <w:sz w:val="17"/>
          <w:szCs w:val="17"/>
          <w:color w:val="auto"/>
        </w:rPr>
        <w:t xml:space="preserve">In additon to the cash bonus opportunites under the Executve Bonus Plan described above, the Compensaton Commitee (with the input of the CEO) may choose to reward extraordinary performance and achievements by awarding discretonary bonuses to the NEOs and other executves from tme to tme that are not part of the annual incentve plan or any other plan. </w:t>
      </w:r>
      <w:r>
        <w:rPr>
          <w:rFonts w:ascii="Calibri" w:cs="Calibri" w:eastAsia="Calibri" w:hAnsi="Calibri"/>
          <w:sz w:val="17"/>
          <w:szCs w:val="17"/>
          <w:b w:val="1"/>
          <w:bCs w:val="1"/>
          <w:color w:val="auto"/>
        </w:rPr>
        <w:t>The Compensaton Commitee did not determine to pay any discretonary bonuses to the NEOs for</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the year ended December 31, 2023</w:t>
      </w:r>
      <w:r>
        <w:rPr>
          <w:rFonts w:ascii="Calibri" w:cs="Calibri" w:eastAsia="Calibri" w:hAnsi="Calibri"/>
          <w:sz w:val="17"/>
          <w:szCs w:val="17"/>
          <w:color w:val="auto"/>
        </w:rPr>
        <w:t>. There is no standing expectaton that all (or any) NEOs will receive discretonary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performance bonuses in any partcular year, and the criteria for such bonuses are not established in advance.</w:t>
      </w:r>
    </w:p>
    <w:p>
      <w:pPr>
        <w:spacing w:after="0" w:line="158"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Broad-Based Benefts Programs</w:t>
      </w:r>
    </w:p>
    <w:p>
      <w:pPr>
        <w:spacing w:after="0" w:line="146" w:lineRule="exact"/>
        <w:rPr>
          <w:sz w:val="20"/>
          <w:szCs w:val="20"/>
          <w:color w:val="auto"/>
        </w:rPr>
      </w:pPr>
    </w:p>
    <w:p>
      <w:pPr>
        <w:ind w:left="200" w:right="319"/>
        <w:spacing w:after="0" w:line="235" w:lineRule="auto"/>
        <w:rPr>
          <w:sz w:val="20"/>
          <w:szCs w:val="20"/>
          <w:color w:val="auto"/>
        </w:rPr>
      </w:pPr>
      <w:r>
        <w:rPr>
          <w:rFonts w:ascii="Calibri" w:cs="Calibri" w:eastAsia="Calibri" w:hAnsi="Calibri"/>
          <w:sz w:val="18"/>
          <w:szCs w:val="18"/>
          <w:color w:val="auto"/>
        </w:rPr>
        <w:t>We ofer multple broad-based benefts programs to our employees, including our NEOs. Those programs include benefts such as health, dental, vision, disability and life insurance, health savings accounts, health care reimbursement accounts, employee stock purchase plan, paid vacaton tme and discretonary Company contributons to a 401(k) proft sharing plan.</w:t>
      </w:r>
    </w:p>
    <w:p>
      <w:pPr>
        <w:spacing w:after="0" w:line="179" w:lineRule="exact"/>
        <w:rPr>
          <w:sz w:val="20"/>
          <w:szCs w:val="20"/>
          <w:color w:val="auto"/>
        </w:rPr>
      </w:pPr>
    </w:p>
    <w:p>
      <w:pPr>
        <w:ind w:left="200" w:right="279"/>
        <w:spacing w:after="0" w:line="231" w:lineRule="auto"/>
        <w:rPr>
          <w:sz w:val="20"/>
          <w:szCs w:val="20"/>
          <w:color w:val="auto"/>
        </w:rPr>
      </w:pPr>
      <w:r>
        <w:rPr>
          <w:rFonts w:ascii="Calibri" w:cs="Calibri" w:eastAsia="Calibri" w:hAnsi="Calibri"/>
          <w:sz w:val="18"/>
          <w:szCs w:val="18"/>
          <w:color w:val="auto"/>
        </w:rPr>
        <w:t>Benefts are provided to our NEOs in accordance with practces the Compensaton Commitee believes are consistent with industry standards. The Compensaton Commitee believes such benefts are a necessary element of compensaton in atractng and retaining employees. In additon, the NEOs receive limited perquisites in an atempt to achieve a compettve pay package, as further detailed in the Summary Compensaton Table.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52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56" w:name="page57"/>
    <w:bookmarkEnd w:id="56"/>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EXECUTIVE COMPENSATION AND RELATED MATTERS</w:t>
      </w:r>
    </w:p>
    <w:p>
      <w:pPr>
        <w:spacing w:after="0" w:line="165"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Deferred Compensaton Plan</w:t>
      </w:r>
    </w:p>
    <w:p>
      <w:pPr>
        <w:spacing w:after="0" w:line="146" w:lineRule="exact"/>
        <w:rPr>
          <w:sz w:val="20"/>
          <w:szCs w:val="20"/>
          <w:color w:val="auto"/>
        </w:rPr>
      </w:pPr>
    </w:p>
    <w:p>
      <w:pPr>
        <w:ind w:left="200" w:right="239"/>
        <w:spacing w:after="0" w:line="234" w:lineRule="auto"/>
        <w:rPr>
          <w:sz w:val="20"/>
          <w:szCs w:val="20"/>
          <w:color w:val="auto"/>
        </w:rPr>
      </w:pPr>
      <w:r>
        <w:rPr>
          <w:rFonts w:ascii="Calibri" w:cs="Calibri" w:eastAsia="Calibri" w:hAnsi="Calibri"/>
          <w:sz w:val="18"/>
          <w:szCs w:val="18"/>
          <w:color w:val="auto"/>
        </w:rPr>
        <w:t>We provide a non-qualifed deferred compensaton plan for the beneft of certain of our highly-compensated executves, including the NEOs. Under the non-qualifed deferred compensaton plan, eligible partcipants may elect in advance of each calendar year to defer up to 100% of their cash salary and bonus compensaton earned with respect to such year. Amounts deferred are credited to an unfunded liability account maintained by the Company on behalf of the applicable partcipant, which account is deemed invested in and earns a rate of return based upon certain notatonal and self-directed investment optons ofered under the plan. In our discreton, we may elect to credit each eligible partcipant’s account under the deferred compensaton plan with an employer matching contributon but, to date, we have never elected to do so. Partcipant account balances under the deferred compensaton plan are fully-vested and will be paid by the Company to each partcipant upon retrement or separaton from employment, or on other specifed dates, in a lump sum or in installments according to a schedule elected in advance by the partcipant.</w:t>
      </w:r>
    </w:p>
    <w:p>
      <w:pPr>
        <w:spacing w:after="0" w:line="175"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The Company and its subsidiaries do not maintain any other executve pension or retrement plans for the NEOs.</w:t>
      </w:r>
    </w:p>
    <w:p>
      <w:pPr>
        <w:spacing w:after="0" w:line="165"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Employment Agreements</w:t>
      </w:r>
    </w:p>
    <w:p>
      <w:pPr>
        <w:spacing w:after="0" w:line="146" w:lineRule="exact"/>
        <w:rPr>
          <w:sz w:val="20"/>
          <w:szCs w:val="20"/>
          <w:color w:val="auto"/>
        </w:rPr>
      </w:pPr>
    </w:p>
    <w:p>
      <w:pPr>
        <w:ind w:left="200" w:right="359"/>
        <w:spacing w:after="0" w:line="235" w:lineRule="auto"/>
        <w:rPr>
          <w:sz w:val="20"/>
          <w:szCs w:val="20"/>
          <w:color w:val="auto"/>
        </w:rPr>
      </w:pPr>
      <w:r>
        <w:rPr>
          <w:rFonts w:ascii="Calibri" w:cs="Calibri" w:eastAsia="Calibri" w:hAnsi="Calibri"/>
          <w:sz w:val="18"/>
          <w:szCs w:val="18"/>
          <w:color w:val="auto"/>
        </w:rPr>
        <w:t>The Compensaton Commitee has determined that executve employment agreements are necessary to provide compettve compensaton arrangements to our NEOs, partcularly because such agreements are common in our industry. Moreover, the Compensaton Commitee believes that the change in control provisions within the executve employment agreements help to retain the NEOs by reducing personal uncertainty and anxiety that may arise from the possibility of a future business combinaton.</w:t>
      </w:r>
    </w:p>
    <w:p>
      <w:pPr>
        <w:spacing w:after="0" w:line="180" w:lineRule="exact"/>
        <w:rPr>
          <w:sz w:val="20"/>
          <w:szCs w:val="20"/>
          <w:color w:val="auto"/>
        </w:rPr>
      </w:pPr>
    </w:p>
    <w:p>
      <w:pPr>
        <w:ind w:left="200" w:right="239"/>
        <w:spacing w:after="0" w:line="231" w:lineRule="auto"/>
        <w:rPr>
          <w:sz w:val="20"/>
          <w:szCs w:val="20"/>
          <w:color w:val="auto"/>
        </w:rPr>
      </w:pPr>
      <w:r>
        <w:rPr>
          <w:rFonts w:ascii="Calibri" w:cs="Calibri" w:eastAsia="Calibri" w:hAnsi="Calibri"/>
          <w:sz w:val="18"/>
          <w:szCs w:val="18"/>
          <w:color w:val="auto"/>
        </w:rPr>
        <w:t>We have entered into employment agreements with each of the NEOs. In 2016, the Company entered into an employment agreement with each of Messrs. Lampropoulos, Wright and Lloyd. These employment agreements were amended in 2017. In 2018, the Company entered into an employment agreement with Mr. Parra. In 2022, the Company entered into an employment agreement with Mr. Peterson.</w:t>
      </w:r>
    </w:p>
    <w:p>
      <w:pPr>
        <w:spacing w:after="0" w:line="194" w:lineRule="exact"/>
        <w:rPr>
          <w:sz w:val="20"/>
          <w:szCs w:val="20"/>
          <w:color w:val="auto"/>
        </w:rPr>
      </w:pPr>
    </w:p>
    <w:p>
      <w:pPr>
        <w:ind w:left="200" w:right="219"/>
        <w:spacing w:after="0" w:line="233" w:lineRule="auto"/>
        <w:rPr>
          <w:sz w:val="20"/>
          <w:szCs w:val="20"/>
          <w:color w:val="auto"/>
        </w:rPr>
      </w:pPr>
      <w:r>
        <w:rPr>
          <w:rFonts w:ascii="Calibri" w:cs="Calibri" w:eastAsia="Calibri" w:hAnsi="Calibri"/>
          <w:sz w:val="18"/>
          <w:szCs w:val="18"/>
          <w:color w:val="auto"/>
        </w:rPr>
        <w:t xml:space="preserve">On June 8, 2023, the Company entered into an Amended and Restated Employment Agreement (the </w:t>
      </w:r>
      <w:r>
        <w:rPr>
          <w:rFonts w:ascii="Calibri" w:cs="Calibri" w:eastAsia="Calibri" w:hAnsi="Calibri"/>
          <w:sz w:val="18"/>
          <w:szCs w:val="18"/>
          <w:u w:val="single" w:color="auto"/>
          <w:color w:val="AF0000"/>
        </w:rPr>
        <w:t>CEO Employment</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F0000"/>
        </w:rPr>
        <w:t>Agreement</w:t>
      </w:r>
      <w:r>
        <w:rPr>
          <w:rFonts w:ascii="Calibri" w:cs="Calibri" w:eastAsia="Calibri" w:hAnsi="Calibri"/>
          <w:sz w:val="18"/>
          <w:szCs w:val="18"/>
          <w:color w:val="000000"/>
        </w:rPr>
        <w:t>) with Mr. Lampropoulos. The CEO Employment Agreement was recommended by the Compensaton</w:t>
      </w:r>
      <w:r>
        <w:rPr>
          <w:rFonts w:ascii="Calibri" w:cs="Calibri" w:eastAsia="Calibri" w:hAnsi="Calibri"/>
          <w:sz w:val="18"/>
          <w:szCs w:val="18"/>
          <w:color w:val="AF0000"/>
        </w:rPr>
        <w:t xml:space="preserve"> </w:t>
      </w:r>
      <w:r>
        <w:rPr>
          <w:rFonts w:ascii="Calibri" w:cs="Calibri" w:eastAsia="Calibri" w:hAnsi="Calibri"/>
          <w:sz w:val="18"/>
          <w:szCs w:val="18"/>
          <w:color w:val="000000"/>
        </w:rPr>
        <w:t xml:space="preserve">Commitee and the Governance Commitee and approved by our Board. The Board made its decision based upon a review of best practces and the interests of the Company and its shareholders and in consultaton with external advisors to the Board and the Compensaton Commitee. The CEO Employment Agreement amended and restated Mr. Lampropoulos’s prior employment agreement to (i) extend his term of employment through December 31, 2025, (ii) provide additonal severance and incentve benefts (including, but not limited to, increasing his base salary and allowing him to terminate the CEO Employment Agreement for Good Reason (as defned therein) if the Company fails to maintain his base salary or annual bonus above certain thresholds) and (iii) make certain other changes. The foregoing descripton of the CEO Employment Agreement is a summary only and is qualifed in its entrety by reference to the CEO Employment Agreement, a copy of which is atached as Exhibit 99.3 to our Current Report on Form 8-K fled with the SEC on June 8, 2023. The CEO Employment Agreement and the employment agreements of the other NEOs described above are sometmes collectvely referred to in this Proxy Statement as the </w:t>
      </w:r>
      <w:r>
        <w:rPr>
          <w:rFonts w:ascii="Calibri" w:cs="Calibri" w:eastAsia="Calibri" w:hAnsi="Calibri"/>
          <w:sz w:val="18"/>
          <w:szCs w:val="18"/>
          <w:u w:val="single" w:color="auto"/>
          <w:color w:val="AF0000"/>
        </w:rPr>
        <w:t>Employment Agreements</w:t>
      </w:r>
      <w:r>
        <w:rPr>
          <w:rFonts w:ascii="Calibri" w:cs="Calibri" w:eastAsia="Calibri" w:hAnsi="Calibri"/>
          <w:sz w:val="18"/>
          <w:szCs w:val="18"/>
          <w:color w:val="000000"/>
        </w:rPr>
        <w:t>. The annual base salaries paid under the Employment Agreements for 2023 were:</w:t>
      </w:r>
    </w:p>
    <w:p>
      <w:pPr>
        <w:spacing w:after="0" w:line="188" w:lineRule="exact"/>
        <w:rPr>
          <w:sz w:val="20"/>
          <w:szCs w:val="20"/>
          <w:color w:val="auto"/>
        </w:rPr>
      </w:pPr>
    </w:p>
    <w:tbl>
      <w:tblPr>
        <w:tblLayout w:type="fixed"/>
        <w:tblInd w:w="2340" w:type="dxa"/>
        <w:tblCellMar>
          <w:top w:w="0" w:type="dxa"/>
          <w:left w:w="0" w:type="dxa"/>
          <w:bottom w:w="0" w:type="dxa"/>
          <w:right w:w="0" w:type="dxa"/>
        </w:tblCellMar>
      </w:tblPr>
      <w:tr>
        <w:trPr>
          <w:trHeight w:val="263"/>
        </w:trPr>
        <w:tc>
          <w:tcPr>
            <w:tcW w:w="2240" w:type="dxa"/>
            <w:vAlign w:val="bottom"/>
            <w:tcBorders>
              <w:top w:val="single" w:sz="8" w:color="AF0000"/>
              <w:bottom w:val="single" w:sz="8" w:color="AF0000"/>
            </w:tcBorders>
          </w:tcPr>
          <w:p>
            <w:pPr>
              <w:ind w:left="100"/>
              <w:spacing w:after="0"/>
              <w:rPr>
                <w:sz w:val="20"/>
                <w:szCs w:val="20"/>
                <w:color w:val="auto"/>
              </w:rPr>
            </w:pPr>
            <w:r>
              <w:rPr>
                <w:rFonts w:ascii="Calibri" w:cs="Calibri" w:eastAsia="Calibri" w:hAnsi="Calibri"/>
                <w:sz w:val="18"/>
                <w:szCs w:val="18"/>
                <w:b w:val="1"/>
                <w:bCs w:val="1"/>
                <w:color w:val="auto"/>
              </w:rPr>
              <w:t>Named Executve Ofcer</w:t>
            </w:r>
          </w:p>
        </w:tc>
        <w:tc>
          <w:tcPr>
            <w:tcW w:w="600" w:type="dxa"/>
            <w:vAlign w:val="bottom"/>
            <w:tcBorders>
              <w:top w:val="single" w:sz="8" w:color="AF0000"/>
              <w:bottom w:val="single" w:sz="8" w:color="AF0000"/>
            </w:tcBorders>
          </w:tcPr>
          <w:p>
            <w:pPr>
              <w:spacing w:after="0"/>
              <w:rPr>
                <w:sz w:val="22"/>
                <w:szCs w:val="22"/>
                <w:color w:val="auto"/>
              </w:rPr>
            </w:pPr>
          </w:p>
        </w:tc>
        <w:tc>
          <w:tcPr>
            <w:tcW w:w="1480" w:type="dxa"/>
            <w:vAlign w:val="bottom"/>
            <w:tcBorders>
              <w:top w:val="single" w:sz="8" w:color="AF0000"/>
              <w:bottom w:val="single" w:sz="8" w:color="AF0000"/>
            </w:tcBorders>
          </w:tcPr>
          <w:p>
            <w:pPr>
              <w:jc w:val="right"/>
              <w:ind w:right="290"/>
              <w:spacing w:after="0" w:line="257" w:lineRule="exact"/>
              <w:rPr>
                <w:sz w:val="20"/>
                <w:szCs w:val="20"/>
                <w:color w:val="auto"/>
              </w:rPr>
            </w:pPr>
            <w:r>
              <w:rPr>
                <w:rFonts w:ascii="Calibri" w:cs="Calibri" w:eastAsia="Calibri" w:hAnsi="Calibri"/>
                <w:sz w:val="18"/>
                <w:szCs w:val="18"/>
                <w:b w:val="1"/>
                <w:bCs w:val="1"/>
                <w:color w:val="auto"/>
              </w:rPr>
              <w:t>Base Salary</w:t>
            </w:r>
            <w:r>
              <w:rPr>
                <w:rFonts w:ascii="Calibri" w:cs="Calibri" w:eastAsia="Calibri" w:hAnsi="Calibri"/>
                <w:sz w:val="24"/>
                <w:szCs w:val="24"/>
                <w:b w:val="1"/>
                <w:bCs w:val="1"/>
                <w:color w:val="AF0000"/>
                <w:vertAlign w:val="superscript"/>
              </w:rPr>
              <w:t>(1)</w:t>
            </w:r>
          </w:p>
        </w:tc>
      </w:tr>
      <w:tr>
        <w:trPr>
          <w:trHeight w:val="215"/>
        </w:trPr>
        <w:tc>
          <w:tcPr>
            <w:tcW w:w="2240" w:type="dxa"/>
            <w:vAlign w:val="bottom"/>
            <w:tcBorders>
              <w:bottom w:val="single" w:sz="8" w:color="A6A6A6"/>
            </w:tcBorders>
          </w:tcPr>
          <w:p>
            <w:pPr>
              <w:ind w:left="100"/>
              <w:spacing w:after="0" w:line="215" w:lineRule="exact"/>
              <w:rPr>
                <w:sz w:val="20"/>
                <w:szCs w:val="20"/>
                <w:color w:val="auto"/>
              </w:rPr>
            </w:pPr>
            <w:r>
              <w:rPr>
                <w:rFonts w:ascii="Calibri" w:cs="Calibri" w:eastAsia="Calibri" w:hAnsi="Calibri"/>
                <w:sz w:val="18"/>
                <w:szCs w:val="18"/>
                <w:color w:val="auto"/>
              </w:rPr>
              <w:t>Fred P. Lampropoulos</w:t>
            </w:r>
          </w:p>
        </w:tc>
        <w:tc>
          <w:tcPr>
            <w:tcW w:w="600" w:type="dxa"/>
            <w:vAlign w:val="bottom"/>
            <w:tcBorders>
              <w:bottom w:val="single" w:sz="8" w:color="A6A6A6"/>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A6A6A6"/>
            </w:tcBorders>
          </w:tcPr>
          <w:p>
            <w:pPr>
              <w:jc w:val="right"/>
              <w:ind w:right="410"/>
              <w:spacing w:after="0" w:line="215" w:lineRule="exact"/>
              <w:rPr>
                <w:sz w:val="20"/>
                <w:szCs w:val="20"/>
                <w:color w:val="auto"/>
              </w:rPr>
            </w:pPr>
            <w:r>
              <w:rPr>
                <w:rFonts w:ascii="Calibri" w:cs="Calibri" w:eastAsia="Calibri" w:hAnsi="Calibri"/>
                <w:sz w:val="18"/>
                <w:szCs w:val="18"/>
                <w:color w:val="auto"/>
              </w:rPr>
              <w:t>1,890,000</w:t>
            </w:r>
          </w:p>
        </w:tc>
      </w:tr>
      <w:tr>
        <w:trPr>
          <w:trHeight w:val="210"/>
        </w:trPr>
        <w:tc>
          <w:tcPr>
            <w:tcW w:w="2240" w:type="dxa"/>
            <w:vAlign w:val="bottom"/>
            <w:tcBorders>
              <w:bottom w:val="single" w:sz="8" w:color="A6A6A6"/>
            </w:tcBorders>
          </w:tcPr>
          <w:p>
            <w:pPr>
              <w:ind w:left="100"/>
              <w:spacing w:after="0" w:line="209" w:lineRule="exact"/>
              <w:rPr>
                <w:sz w:val="20"/>
                <w:szCs w:val="20"/>
                <w:color w:val="auto"/>
              </w:rPr>
            </w:pPr>
            <w:r>
              <w:rPr>
                <w:rFonts w:ascii="Calibri" w:cs="Calibri" w:eastAsia="Calibri" w:hAnsi="Calibri"/>
                <w:sz w:val="18"/>
                <w:szCs w:val="18"/>
                <w:color w:val="auto"/>
              </w:rPr>
              <w:t>Raul Parra</w:t>
            </w:r>
          </w:p>
        </w:tc>
        <w:tc>
          <w:tcPr>
            <w:tcW w:w="600" w:type="dxa"/>
            <w:vAlign w:val="bottom"/>
            <w:tcBorders>
              <w:bottom w:val="single" w:sz="8" w:color="A6A6A6"/>
            </w:tcBorders>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A6A6A6"/>
            </w:tcBorders>
          </w:tcPr>
          <w:p>
            <w:pPr>
              <w:jc w:val="right"/>
              <w:ind w:right="410"/>
              <w:spacing w:after="0" w:line="209" w:lineRule="exact"/>
              <w:rPr>
                <w:sz w:val="20"/>
                <w:szCs w:val="20"/>
                <w:color w:val="auto"/>
              </w:rPr>
            </w:pPr>
            <w:r>
              <w:rPr>
                <w:rFonts w:ascii="Calibri" w:cs="Calibri" w:eastAsia="Calibri" w:hAnsi="Calibri"/>
                <w:sz w:val="18"/>
                <w:szCs w:val="18"/>
                <w:color w:val="auto"/>
              </w:rPr>
              <w:t>630,000</w:t>
            </w:r>
          </w:p>
        </w:tc>
      </w:tr>
      <w:tr>
        <w:trPr>
          <w:trHeight w:val="210"/>
        </w:trPr>
        <w:tc>
          <w:tcPr>
            <w:tcW w:w="2240" w:type="dxa"/>
            <w:vAlign w:val="bottom"/>
            <w:tcBorders>
              <w:bottom w:val="single" w:sz="8" w:color="A6A6A6"/>
            </w:tcBorders>
          </w:tcPr>
          <w:p>
            <w:pPr>
              <w:ind w:left="100"/>
              <w:spacing w:after="0" w:line="209" w:lineRule="exact"/>
              <w:rPr>
                <w:sz w:val="20"/>
                <w:szCs w:val="20"/>
                <w:color w:val="auto"/>
              </w:rPr>
            </w:pPr>
            <w:r>
              <w:rPr>
                <w:rFonts w:ascii="Calibri" w:cs="Calibri" w:eastAsia="Calibri" w:hAnsi="Calibri"/>
                <w:sz w:val="18"/>
                <w:szCs w:val="18"/>
                <w:color w:val="auto"/>
              </w:rPr>
              <w:t>Joseph C. Wright</w:t>
            </w:r>
          </w:p>
        </w:tc>
        <w:tc>
          <w:tcPr>
            <w:tcW w:w="600" w:type="dxa"/>
            <w:vAlign w:val="bottom"/>
            <w:tcBorders>
              <w:bottom w:val="single" w:sz="8" w:color="A6A6A6"/>
            </w:tcBorders>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A6A6A6"/>
            </w:tcBorders>
          </w:tcPr>
          <w:p>
            <w:pPr>
              <w:jc w:val="right"/>
              <w:ind w:right="410"/>
              <w:spacing w:after="0" w:line="209" w:lineRule="exact"/>
              <w:rPr>
                <w:sz w:val="20"/>
                <w:szCs w:val="20"/>
                <w:color w:val="auto"/>
              </w:rPr>
            </w:pPr>
            <w:r>
              <w:rPr>
                <w:rFonts w:ascii="Calibri" w:cs="Calibri" w:eastAsia="Calibri" w:hAnsi="Calibri"/>
                <w:sz w:val="18"/>
                <w:szCs w:val="18"/>
                <w:color w:val="auto"/>
              </w:rPr>
              <w:t>700,000</w:t>
            </w:r>
          </w:p>
        </w:tc>
      </w:tr>
      <w:tr>
        <w:trPr>
          <w:trHeight w:val="210"/>
        </w:trPr>
        <w:tc>
          <w:tcPr>
            <w:tcW w:w="2240" w:type="dxa"/>
            <w:vAlign w:val="bottom"/>
            <w:tcBorders>
              <w:bottom w:val="single" w:sz="8" w:color="A6A6A6"/>
            </w:tcBorders>
          </w:tcPr>
          <w:p>
            <w:pPr>
              <w:ind w:left="100"/>
              <w:spacing w:after="0" w:line="209" w:lineRule="exact"/>
              <w:rPr>
                <w:sz w:val="20"/>
                <w:szCs w:val="20"/>
                <w:color w:val="auto"/>
              </w:rPr>
            </w:pPr>
            <w:r>
              <w:rPr>
                <w:rFonts w:ascii="Calibri" w:cs="Calibri" w:eastAsia="Calibri" w:hAnsi="Calibri"/>
                <w:sz w:val="18"/>
                <w:szCs w:val="18"/>
                <w:color w:val="auto"/>
              </w:rPr>
              <w:t>Neil W. Peterson</w:t>
            </w:r>
          </w:p>
        </w:tc>
        <w:tc>
          <w:tcPr>
            <w:tcW w:w="600" w:type="dxa"/>
            <w:vAlign w:val="bottom"/>
            <w:tcBorders>
              <w:bottom w:val="single" w:sz="8" w:color="A6A6A6"/>
            </w:tcBorders>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A6A6A6"/>
            </w:tcBorders>
          </w:tcPr>
          <w:p>
            <w:pPr>
              <w:jc w:val="right"/>
              <w:ind w:right="410"/>
              <w:spacing w:after="0" w:line="209" w:lineRule="exact"/>
              <w:rPr>
                <w:sz w:val="20"/>
                <w:szCs w:val="20"/>
                <w:color w:val="auto"/>
              </w:rPr>
            </w:pPr>
            <w:r>
              <w:rPr>
                <w:rFonts w:ascii="Calibri" w:cs="Calibri" w:eastAsia="Calibri" w:hAnsi="Calibri"/>
                <w:sz w:val="18"/>
                <w:szCs w:val="18"/>
                <w:color w:val="auto"/>
              </w:rPr>
              <w:t>630,000</w:t>
            </w:r>
          </w:p>
        </w:tc>
      </w:tr>
      <w:tr>
        <w:trPr>
          <w:trHeight w:val="217"/>
        </w:trPr>
        <w:tc>
          <w:tcPr>
            <w:tcW w:w="2240" w:type="dxa"/>
            <w:vAlign w:val="bottom"/>
            <w:tcBorders>
              <w:bottom w:val="single" w:sz="8" w:color="AF0000"/>
            </w:tcBorders>
          </w:tcPr>
          <w:p>
            <w:pPr>
              <w:ind w:left="100"/>
              <w:spacing w:after="0" w:line="209" w:lineRule="exact"/>
              <w:rPr>
                <w:sz w:val="20"/>
                <w:szCs w:val="20"/>
                <w:color w:val="auto"/>
              </w:rPr>
            </w:pPr>
            <w:r>
              <w:rPr>
                <w:rFonts w:ascii="Calibri" w:cs="Calibri" w:eastAsia="Calibri" w:hAnsi="Calibri"/>
                <w:sz w:val="18"/>
                <w:szCs w:val="18"/>
                <w:color w:val="auto"/>
              </w:rPr>
              <w:t>Brian G. Lloyd</w:t>
            </w:r>
          </w:p>
        </w:tc>
        <w:tc>
          <w:tcPr>
            <w:tcW w:w="600" w:type="dxa"/>
            <w:vAlign w:val="bottom"/>
            <w:tcBorders>
              <w:bottom w:val="single" w:sz="8" w:color="AF0000"/>
            </w:tcBorders>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AF0000"/>
            </w:tcBorders>
          </w:tcPr>
          <w:p>
            <w:pPr>
              <w:jc w:val="right"/>
              <w:ind w:right="410"/>
              <w:spacing w:after="0" w:line="209" w:lineRule="exact"/>
              <w:rPr>
                <w:sz w:val="20"/>
                <w:szCs w:val="20"/>
                <w:color w:val="auto"/>
              </w:rPr>
            </w:pPr>
            <w:r>
              <w:rPr>
                <w:rFonts w:ascii="Calibri" w:cs="Calibri" w:eastAsia="Calibri" w:hAnsi="Calibri"/>
                <w:sz w:val="18"/>
                <w:szCs w:val="18"/>
                <w:color w:val="auto"/>
              </w:rPr>
              <w:t>630,000</w:t>
            </w:r>
          </w:p>
        </w:tc>
      </w:tr>
    </w:tbl>
    <w:p>
      <w:pPr>
        <w:spacing w:after="0" w:line="89" w:lineRule="exact"/>
        <w:rPr>
          <w:sz w:val="20"/>
          <w:szCs w:val="20"/>
          <w:color w:val="auto"/>
        </w:rPr>
      </w:pPr>
    </w:p>
    <w:p>
      <w:pPr>
        <w:ind w:left="540" w:right="559" w:hanging="331"/>
        <w:spacing w:after="0" w:line="235" w:lineRule="auto"/>
        <w:tabs>
          <w:tab w:leader="none" w:pos="540" w:val="left"/>
        </w:tabs>
        <w:numPr>
          <w:ilvl w:val="0"/>
          <w:numId w:val="77"/>
        </w:numPr>
        <w:rPr>
          <w:rFonts w:ascii="Calibri" w:cs="Calibri" w:eastAsia="Calibri" w:hAnsi="Calibri"/>
          <w:sz w:val="16"/>
          <w:szCs w:val="16"/>
          <w:color w:val="AE0000"/>
        </w:rPr>
      </w:pPr>
      <w:r>
        <w:rPr>
          <w:rFonts w:ascii="Calibri" w:cs="Calibri" w:eastAsia="Calibri" w:hAnsi="Calibri"/>
          <w:sz w:val="16"/>
          <w:szCs w:val="16"/>
          <w:color w:val="auto"/>
        </w:rPr>
        <w:t>The base salary amounts shown above were efectve January 8, 2023 and amounts paid to the NEOs during 2023 are refected in the Summary Compensaton Table shown on page 58. The annual base salary amounts for fscal year 2024 as</w:t>
      </w:r>
    </w:p>
    <w:p>
      <w:pPr>
        <w:spacing w:after="0" w:line="200" w:lineRule="exact"/>
        <w:rPr>
          <w:sz w:val="20"/>
          <w:szCs w:val="20"/>
          <w:color w:val="auto"/>
        </w:rPr>
      </w:pPr>
    </w:p>
    <w:p>
      <w:pPr>
        <w:spacing w:after="0" w:line="237"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57" w:name="page58"/>
    <w:bookmarkEnd w:id="57"/>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40" w:lineRule="exact"/>
        <w:rPr>
          <w:sz w:val="20"/>
          <w:szCs w:val="20"/>
          <w:color w:val="auto"/>
        </w:rPr>
      </w:pPr>
    </w:p>
    <w:p>
      <w:pPr>
        <w:ind w:left="540" w:right="419"/>
        <w:spacing w:after="0" w:line="235" w:lineRule="auto"/>
        <w:rPr>
          <w:sz w:val="20"/>
          <w:szCs w:val="20"/>
          <w:color w:val="auto"/>
        </w:rPr>
      </w:pPr>
      <w:r>
        <w:rPr>
          <w:rFonts w:ascii="Calibri" w:cs="Calibri" w:eastAsia="Calibri" w:hAnsi="Calibri"/>
          <w:sz w:val="16"/>
          <w:szCs w:val="16"/>
          <w:color w:val="auto"/>
        </w:rPr>
        <w:t>approved by the Compensaton Commitee are: Mr. Lampropoulos, $1,890,000; Mr. Parra, $630,000; Mr. Wright, $700,000, Mr. Peterson, $630,000; and Mr. Lloyd, $630,000.</w:t>
      </w:r>
    </w:p>
    <w:p>
      <w:pPr>
        <w:spacing w:after="0" w:line="194" w:lineRule="exact"/>
        <w:rPr>
          <w:sz w:val="20"/>
          <w:szCs w:val="20"/>
          <w:color w:val="auto"/>
        </w:rPr>
      </w:pPr>
    </w:p>
    <w:p>
      <w:pPr>
        <w:ind w:left="200" w:right="259"/>
        <w:spacing w:after="0" w:line="248" w:lineRule="auto"/>
        <w:rPr>
          <w:sz w:val="20"/>
          <w:szCs w:val="20"/>
          <w:color w:val="auto"/>
        </w:rPr>
      </w:pPr>
      <w:r>
        <w:rPr>
          <w:rFonts w:ascii="Calibri" w:cs="Calibri" w:eastAsia="Calibri" w:hAnsi="Calibri"/>
          <w:sz w:val="17"/>
          <w:szCs w:val="17"/>
          <w:color w:val="auto"/>
        </w:rPr>
        <w:t>The amount of the base salary payable to each NEO may be subject to change based on review by the Compensaton Commitee on an annual basis. Although the employment status of each of the NEOs is “at will,” the Employment Agreements provide for mandatory severance payments to each NEO in the event the NEO’s employment terminates for certain reasons in connecton with a “Change in Control” (as defned below under the heading “Potental Payments Upon Terminaton or Change in Control-Employment Agreements”). Additonally, in certain circumstances, the CEO Employment Agreement provides for mandatory severance payments to Mr. Lampropoulos other than in connecton with a Change in Control. Those severance arrangements are discussed in greater detail below under the heading “Executve Compensaton Tables—Potental Payments upon Terminaton or Change in Control.”</w:t>
      </w:r>
    </w:p>
    <w:p>
      <w:pPr>
        <w:spacing w:after="0" w:line="175" w:lineRule="exact"/>
        <w:rPr>
          <w:sz w:val="20"/>
          <w:szCs w:val="20"/>
          <w:color w:val="auto"/>
        </w:rPr>
      </w:pPr>
    </w:p>
    <w:p>
      <w:pPr>
        <w:ind w:left="200" w:right="219"/>
        <w:spacing w:after="0" w:line="232" w:lineRule="auto"/>
        <w:rPr>
          <w:sz w:val="20"/>
          <w:szCs w:val="20"/>
          <w:color w:val="auto"/>
        </w:rPr>
      </w:pPr>
      <w:r>
        <w:rPr>
          <w:rFonts w:ascii="Calibri" w:cs="Calibri" w:eastAsia="Calibri" w:hAnsi="Calibri"/>
          <w:sz w:val="18"/>
          <w:szCs w:val="18"/>
          <w:color w:val="auto"/>
        </w:rPr>
        <w:t>In additon to the annual base salary described above, the Employment Agreements also allow the NEOs to receive an annual cash bonus payment in an amount to be determined in the sole discreton of the Board (which has delegated that authority to the Compensaton Commitee). Notably, in fscal years ending afer a Change in Control, the annual bonus must be at least equal to an NEO’s average annual cash bonus for the last three full fscal years ending prior to the Change in Control.</w:t>
      </w:r>
    </w:p>
    <w:p>
      <w:pPr>
        <w:spacing w:after="0" w:line="180" w:lineRule="exact"/>
        <w:rPr>
          <w:sz w:val="20"/>
          <w:szCs w:val="20"/>
          <w:color w:val="auto"/>
        </w:rPr>
      </w:pPr>
    </w:p>
    <w:p>
      <w:pPr>
        <w:ind w:left="200" w:right="279"/>
        <w:spacing w:after="0" w:line="235" w:lineRule="auto"/>
        <w:rPr>
          <w:sz w:val="20"/>
          <w:szCs w:val="20"/>
          <w:color w:val="auto"/>
        </w:rPr>
      </w:pPr>
      <w:r>
        <w:rPr>
          <w:rFonts w:ascii="Calibri" w:cs="Calibri" w:eastAsia="Calibri" w:hAnsi="Calibri"/>
          <w:sz w:val="18"/>
          <w:szCs w:val="18"/>
          <w:color w:val="auto"/>
        </w:rPr>
        <w:t>The NEOs (and to the extent applicable, their spouses and eligible dependents) are eligible to partcipate in all incentve, savings and retrement, health insurance, term life insurance, long-term disability insurance, deferred compensaton, employee stock purchase and other employee beneft plans, policies or arrangements we maintain for our employees generally and, at the discreton of the Compensaton Commitee, in the 2018 Incentve Plan and other beneft plans maintained by the Company for our executves.</w:t>
      </w:r>
    </w:p>
    <w:p>
      <w:pPr>
        <w:spacing w:after="0" w:line="180" w:lineRule="exact"/>
        <w:rPr>
          <w:sz w:val="20"/>
          <w:szCs w:val="20"/>
          <w:color w:val="auto"/>
        </w:rPr>
      </w:pPr>
    </w:p>
    <w:p>
      <w:pPr>
        <w:ind w:left="200" w:right="459"/>
        <w:spacing w:after="0" w:line="232" w:lineRule="auto"/>
        <w:rPr>
          <w:sz w:val="20"/>
          <w:szCs w:val="20"/>
          <w:color w:val="auto"/>
        </w:rPr>
      </w:pPr>
      <w:r>
        <w:rPr>
          <w:rFonts w:ascii="Calibri" w:cs="Calibri" w:eastAsia="Calibri" w:hAnsi="Calibri"/>
          <w:sz w:val="18"/>
          <w:szCs w:val="18"/>
          <w:color w:val="auto"/>
        </w:rPr>
        <w:t>The terms of the Employment Agreements refect in part the concern of the Compensaton Commitee that a future threatened or actual Change in Control, such as through an acquisiton or merger, could cause disrupton and harm to the Company in the event of the resultng loss of any of its key executves. The Change in Control provisions in the Employment Agreements are intended to provide a measure of incentve and security to our key executves untl the resoluton of any such threatened or actual Change in Control.</w:t>
      </w:r>
    </w:p>
    <w:p>
      <w:pPr>
        <w:spacing w:after="0" w:line="193" w:lineRule="exact"/>
        <w:rPr>
          <w:sz w:val="20"/>
          <w:szCs w:val="20"/>
          <w:color w:val="auto"/>
        </w:rPr>
      </w:pPr>
    </w:p>
    <w:p>
      <w:pPr>
        <w:ind w:left="200" w:right="299"/>
        <w:spacing w:after="0" w:line="246" w:lineRule="auto"/>
        <w:rPr>
          <w:sz w:val="20"/>
          <w:szCs w:val="20"/>
          <w:color w:val="auto"/>
        </w:rPr>
      </w:pPr>
      <w:r>
        <w:rPr>
          <w:rFonts w:ascii="Calibri" w:cs="Calibri" w:eastAsia="Calibri" w:hAnsi="Calibri"/>
          <w:sz w:val="17"/>
          <w:szCs w:val="17"/>
          <w:color w:val="auto"/>
        </w:rPr>
        <w:t>However, the Compensaton Commitee believes that such agreements should not include provisions that would obligate a potental acquirer of the Company to make large payouts to the NEOs simply because a Change in Control has occurred. Because of this concern, the occurrence of a Change in Control event alone will not trigger any payment obligatons to the NEOs under their respectve Employment Agreements. Additonal Change in Control payment obligatons under the Employment Agreements only arise in the event the NEO’s employment is terminated “without Cause” in connecton with the Change in Control or the NEO resigns “for Good Reason” (with each capitalized term in this sentence defned in the Employment Agreements and described under the heading “Potental Payments Upon Terminaton or Change in Control—Employment Agreements” below) in connecton with a Change in Control. Thus, the Compensaton Commitee regards the employment agreements as “double trigger” change in control agreements.</w:t>
      </w:r>
    </w:p>
    <w:p>
      <w:pPr>
        <w:spacing w:after="0" w:line="180"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Tax Deductbility and Executve Compensaton</w:t>
      </w:r>
    </w:p>
    <w:p>
      <w:pPr>
        <w:spacing w:after="0" w:line="146" w:lineRule="exact"/>
        <w:rPr>
          <w:sz w:val="20"/>
          <w:szCs w:val="20"/>
          <w:color w:val="auto"/>
        </w:rPr>
      </w:pPr>
    </w:p>
    <w:p>
      <w:pPr>
        <w:ind w:left="200" w:right="319"/>
        <w:spacing w:after="0" w:line="234" w:lineRule="auto"/>
        <w:rPr>
          <w:sz w:val="20"/>
          <w:szCs w:val="20"/>
          <w:color w:val="auto"/>
        </w:rPr>
      </w:pPr>
      <w:r>
        <w:rPr>
          <w:rFonts w:ascii="Calibri" w:cs="Calibri" w:eastAsia="Calibri" w:hAnsi="Calibri"/>
          <w:sz w:val="18"/>
          <w:szCs w:val="18"/>
          <w:color w:val="auto"/>
        </w:rPr>
        <w:t>Secton 162(m) (</w:t>
      </w:r>
      <w:r>
        <w:rPr>
          <w:rFonts w:ascii="Calibri" w:cs="Calibri" w:eastAsia="Calibri" w:hAnsi="Calibri"/>
          <w:sz w:val="18"/>
          <w:szCs w:val="18"/>
          <w:u w:val="single" w:color="auto"/>
          <w:color w:val="AF0000"/>
        </w:rPr>
        <w:t>Secton 162(m)</w:t>
      </w:r>
      <w:r>
        <w:rPr>
          <w:rFonts w:ascii="Calibri" w:cs="Calibri" w:eastAsia="Calibri" w:hAnsi="Calibri"/>
          <w:sz w:val="18"/>
          <w:szCs w:val="18"/>
          <w:color w:val="auto"/>
        </w:rPr>
        <w:t>) of the Code imposes a $1.0 million annual limit on the amount that a public company may deduct for compensaton paid to certain of a company’s ofcers including its chief executve ofcer, chief fnancial ofcer, or any of the company’s three other most highly compensated executve ofcers for a tax year. For tax years beginning before 2018, the limit did not apply to compensaton that met the requirements of Secton 162(m) for “qualifed performance-based” compensaton (i.e., compensaton paid only if the executve meets pre-established, objectve goals based upon performance criteria approved by our shareholders). Qualifed performance-based awards, such as stock optons, issued prior to 2018 remain under certain conditons exempt from Secton 162(m) even if exercised afer 2017. Because of limited guidance regarding this transiton rule, we cannot provide any assurance that it will apply to stock optons issued prior to 2018 and exercised afer 2017.</w:t>
      </w: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54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58" w:name="page59"/>
    <w:bookmarkEnd w:id="58"/>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5080"/>
        <w:spacing w:after="0"/>
        <w:rPr>
          <w:sz w:val="20"/>
          <w:szCs w:val="20"/>
          <w:color w:val="auto"/>
        </w:rPr>
      </w:pPr>
      <w:r>
        <w:rPr>
          <w:rFonts w:ascii="Calibri" w:cs="Calibri" w:eastAsia="Calibri" w:hAnsi="Calibri"/>
          <w:sz w:val="17"/>
          <w:szCs w:val="17"/>
          <w:color w:val="auto"/>
        </w:rPr>
        <w:t>EXECUTIVE COMPENSATION AND RELATED MATTERS</w:t>
      </w:r>
    </w:p>
    <w:p>
      <w:pPr>
        <w:spacing w:after="0" w:line="184" w:lineRule="exact"/>
        <w:rPr>
          <w:sz w:val="20"/>
          <w:szCs w:val="20"/>
          <w:color w:val="auto"/>
        </w:rPr>
      </w:pPr>
    </w:p>
    <w:p>
      <w:pPr>
        <w:ind w:left="200" w:right="299"/>
        <w:spacing w:after="0" w:line="235" w:lineRule="auto"/>
        <w:rPr>
          <w:sz w:val="20"/>
          <w:szCs w:val="20"/>
          <w:color w:val="auto"/>
        </w:rPr>
      </w:pPr>
      <w:r>
        <w:rPr>
          <w:rFonts w:ascii="Calibri" w:cs="Calibri" w:eastAsia="Calibri" w:hAnsi="Calibri"/>
          <w:sz w:val="18"/>
          <w:szCs w:val="18"/>
          <w:color w:val="auto"/>
        </w:rPr>
        <w:t>The Compensaton Commitee reviews and considers the deductbility of executve compensaton under Secton 162(m) and, to the extent practcal, atempts to implement compensaton policies and practces that maximize the potental income tax deductons available to the Company.</w:t>
      </w:r>
    </w:p>
    <w:p>
      <w:pPr>
        <w:spacing w:after="0" w:line="178" w:lineRule="exact"/>
        <w:rPr>
          <w:sz w:val="20"/>
          <w:szCs w:val="20"/>
          <w:color w:val="auto"/>
        </w:rPr>
      </w:pPr>
    </w:p>
    <w:p>
      <w:pPr>
        <w:ind w:left="200" w:right="319"/>
        <w:spacing w:after="0" w:line="233" w:lineRule="auto"/>
        <w:rPr>
          <w:sz w:val="20"/>
          <w:szCs w:val="20"/>
          <w:color w:val="auto"/>
        </w:rPr>
      </w:pPr>
      <w:r>
        <w:rPr>
          <w:rFonts w:ascii="Calibri" w:cs="Calibri" w:eastAsia="Calibri" w:hAnsi="Calibri"/>
          <w:sz w:val="18"/>
          <w:szCs w:val="18"/>
          <w:color w:val="auto"/>
        </w:rPr>
        <w:t>In certain situatons, the Compensaton Commitee may approve compensaton that will exceed the deducton limitatons of Secton 162(m) in order to ensure compettve levels of total compensaton for its executve ofcers. In such situatons, the porton of the compensaton payable to the executve ofcer that exceeds the $1.0 million limit will not be deductble for tax purposes. Although deductbility of executve compensaton for tax purposes is generally preferred, tax deductbility is not the primary objectve of our executve compensaton programs. The Company and the Compensaton Commitee believe that meetng the compensaton objectves described above is more important than the beneft of being able to deduct the compensaton for tax purposes.</w:t>
      </w:r>
    </w:p>
    <w:p>
      <w:pPr>
        <w:spacing w:after="0" w:line="181" w:lineRule="exact"/>
        <w:rPr>
          <w:sz w:val="20"/>
          <w:szCs w:val="20"/>
          <w:color w:val="auto"/>
        </w:rPr>
      </w:pPr>
    </w:p>
    <w:p>
      <w:pPr>
        <w:ind w:left="200" w:right="599"/>
        <w:spacing w:after="0" w:line="235" w:lineRule="auto"/>
        <w:rPr>
          <w:sz w:val="20"/>
          <w:szCs w:val="20"/>
          <w:color w:val="auto"/>
        </w:rPr>
      </w:pPr>
      <w:r>
        <w:rPr>
          <w:rFonts w:ascii="Calibri" w:cs="Calibri" w:eastAsia="Calibri" w:hAnsi="Calibri"/>
          <w:sz w:val="18"/>
          <w:szCs w:val="18"/>
          <w:color w:val="auto"/>
        </w:rPr>
        <w:t>The compensaton paid to the NEOs, other than Mr. Peterson, during 2023 exceeded the deducton limits of Secton 162(m); the Compensaton Commitee approved those compensaton amounts in order to provide the NEOs with compensaton packages that the Compensaton Commitee considers compettve and in the best interests of the Company and its shareholders.</w:t>
      </w:r>
    </w:p>
    <w:p>
      <w:pPr>
        <w:spacing w:after="0" w:line="179" w:lineRule="exact"/>
        <w:rPr>
          <w:sz w:val="20"/>
          <w:szCs w:val="20"/>
          <w:color w:val="auto"/>
        </w:rPr>
      </w:pPr>
    </w:p>
    <w:p>
      <w:pPr>
        <w:ind w:left="200" w:right="279"/>
        <w:spacing w:after="0" w:line="233" w:lineRule="auto"/>
        <w:rPr>
          <w:sz w:val="20"/>
          <w:szCs w:val="20"/>
          <w:color w:val="auto"/>
        </w:rPr>
      </w:pPr>
      <w:r>
        <w:rPr>
          <w:rFonts w:ascii="Calibri" w:cs="Calibri" w:eastAsia="Calibri" w:hAnsi="Calibri"/>
          <w:sz w:val="18"/>
          <w:szCs w:val="18"/>
          <w:color w:val="auto"/>
        </w:rPr>
        <w:t xml:space="preserve">Additonally, under Sectons 280G and 4999 of the Code, our NEOs and other Company executves may be subject to additonal taxes if they receive payments or benefts in connecton with a change of control of the Company that exceed certain prescribed limits (so-called </w:t>
      </w:r>
      <w:r>
        <w:rPr>
          <w:rFonts w:ascii="Calibri" w:cs="Calibri" w:eastAsia="Calibri" w:hAnsi="Calibri"/>
          <w:sz w:val="18"/>
          <w:szCs w:val="18"/>
          <w:u w:val="single" w:color="auto"/>
          <w:color w:val="AF0000"/>
        </w:rPr>
        <w:t>Excess Parachute Payments</w:t>
      </w:r>
      <w:r>
        <w:rPr>
          <w:rFonts w:ascii="Calibri" w:cs="Calibri" w:eastAsia="Calibri" w:hAnsi="Calibri"/>
          <w:sz w:val="18"/>
          <w:szCs w:val="18"/>
          <w:color w:val="auto"/>
        </w:rPr>
        <w:t>), and the Company or its successor may not deduct such Excess Parachute Payments. The Company is not obligated to provide any NEO or other executve with a “gross-up” or other reimbursement payment for any tax liability that the executve might owe as a result of the applicaton of Sectons 280G or 4999 of the Code. Certain potental future payments described in the table captoned “Terminaton Without Cause or For Good Reason in Connecton with a Change in Control” on page 66 may, however, consttute Excess Parachute Payments that the Company or its successor could not fully deduct.</w:t>
      </w:r>
    </w:p>
    <w:p>
      <w:pPr>
        <w:spacing w:after="0" w:line="165"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Compensaton Policies and Practces Relatng to Risk Management</w:t>
      </w:r>
    </w:p>
    <w:p>
      <w:pPr>
        <w:spacing w:after="0" w:line="199" w:lineRule="exact"/>
        <w:rPr>
          <w:sz w:val="20"/>
          <w:szCs w:val="20"/>
          <w:color w:val="auto"/>
        </w:rPr>
      </w:pPr>
    </w:p>
    <w:p>
      <w:pPr>
        <w:ind w:left="200" w:right="239"/>
        <w:spacing w:after="0" w:line="233" w:lineRule="auto"/>
        <w:rPr>
          <w:sz w:val="20"/>
          <w:szCs w:val="20"/>
          <w:color w:val="auto"/>
        </w:rPr>
      </w:pPr>
      <w:r>
        <w:rPr>
          <w:rFonts w:ascii="Calibri" w:cs="Calibri" w:eastAsia="Calibri" w:hAnsi="Calibri"/>
          <w:sz w:val="18"/>
          <w:szCs w:val="18"/>
          <w:color w:val="auto"/>
        </w:rPr>
        <w:t>The Compensaton Commitee has reviewed our company-wide compensaton program, which applies to all of our full-tme employees, including the NEOs. The Compensaton Commitee has also reviewed our executve compensaton practces with Pearl Meyer. Based on the Compensaton Commitee’s review of the various elements of our executve compensaton practces and policies, the Compensaton Commitee believes our compensaton policies and practces are designed to create appropriate and meaningful incentves for our employees without encouraging excessive or inappropriate risk taking.</w:t>
      </w:r>
    </w:p>
    <w:p>
      <w:pPr>
        <w:spacing w:after="0" w:line="173"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Afer undertaking this review, the Compensaton Commitee came to the following conclusions:</w:t>
      </w:r>
    </w:p>
    <w:p>
      <w:pPr>
        <w:spacing w:after="0" w:line="177" w:lineRule="exact"/>
        <w:rPr>
          <w:sz w:val="20"/>
          <w:szCs w:val="20"/>
          <w:color w:val="auto"/>
        </w:rPr>
      </w:pPr>
    </w:p>
    <w:p>
      <w:pPr>
        <w:ind w:left="540" w:right="639" w:hanging="331"/>
        <w:spacing w:after="0" w:line="235" w:lineRule="auto"/>
        <w:tabs>
          <w:tab w:leader="none" w:pos="540" w:val="left"/>
        </w:tabs>
        <w:numPr>
          <w:ilvl w:val="0"/>
          <w:numId w:val="7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our compensaton policies and practces are designed to include a signifcant level of long-term compensaton, which discourages short-term risk taking;</w:t>
      </w:r>
    </w:p>
    <w:p>
      <w:pPr>
        <w:spacing w:after="0" w:line="190" w:lineRule="exact"/>
        <w:rPr>
          <w:rFonts w:ascii="Times New Roman" w:cs="Times New Roman" w:eastAsia="Times New Roman" w:hAnsi="Times New Roman"/>
          <w:sz w:val="18"/>
          <w:szCs w:val="18"/>
          <w:color w:val="AF0000"/>
        </w:rPr>
      </w:pPr>
    </w:p>
    <w:p>
      <w:pPr>
        <w:ind w:left="540" w:right="339" w:hanging="331"/>
        <w:spacing w:after="0" w:line="230" w:lineRule="auto"/>
        <w:tabs>
          <w:tab w:leader="none" w:pos="540" w:val="left"/>
        </w:tabs>
        <w:numPr>
          <w:ilvl w:val="0"/>
          <w:numId w:val="7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the base salaries we provide to our executve employees are generally consistent with salaries paid for comparable positons in our industry, and provide our employees with steady income while reducing the incentve for employees to take risks in pursuit of short-term benefts;</w:t>
      </w:r>
    </w:p>
    <w:p>
      <w:pPr>
        <w:spacing w:after="0" w:line="191" w:lineRule="exact"/>
        <w:rPr>
          <w:rFonts w:ascii="Times New Roman" w:cs="Times New Roman" w:eastAsia="Times New Roman" w:hAnsi="Times New Roman"/>
          <w:sz w:val="18"/>
          <w:szCs w:val="18"/>
          <w:color w:val="AF0000"/>
        </w:rPr>
      </w:pPr>
    </w:p>
    <w:p>
      <w:pPr>
        <w:ind w:left="540" w:right="339" w:hanging="331"/>
        <w:spacing w:after="0" w:line="235" w:lineRule="auto"/>
        <w:tabs>
          <w:tab w:leader="none" w:pos="540" w:val="left"/>
        </w:tabs>
        <w:numPr>
          <w:ilvl w:val="0"/>
          <w:numId w:val="7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our incentve compensaton for our NEOs is capped at levels established by the Compensaton Commitee, which it believes reduces the incentve for excessive risk-taking;</w:t>
      </w:r>
    </w:p>
    <w:p>
      <w:pPr>
        <w:spacing w:after="0" w:line="177" w:lineRule="exact"/>
        <w:rPr>
          <w:rFonts w:ascii="Times New Roman" w:cs="Times New Roman" w:eastAsia="Times New Roman" w:hAnsi="Times New Roman"/>
          <w:sz w:val="18"/>
          <w:szCs w:val="18"/>
          <w:color w:val="AF0000"/>
        </w:rPr>
      </w:pPr>
    </w:p>
    <w:p>
      <w:pPr>
        <w:ind w:left="540" w:right="919" w:hanging="331"/>
        <w:spacing w:after="0" w:line="235" w:lineRule="auto"/>
        <w:tabs>
          <w:tab w:leader="none" w:pos="540" w:val="left"/>
        </w:tabs>
        <w:numPr>
          <w:ilvl w:val="0"/>
          <w:numId w:val="7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we use diferent performance metrics in our Executve Bonus Plan and for our PSUs, providing balance and mitgatng against taking undue risk to meet a single goal;</w:t>
      </w:r>
    </w:p>
    <w:p>
      <w:pPr>
        <w:spacing w:after="0" w:line="190" w:lineRule="exact"/>
        <w:rPr>
          <w:rFonts w:ascii="Times New Roman" w:cs="Times New Roman" w:eastAsia="Times New Roman" w:hAnsi="Times New Roman"/>
          <w:sz w:val="18"/>
          <w:szCs w:val="18"/>
          <w:color w:val="AF0000"/>
        </w:rPr>
      </w:pPr>
    </w:p>
    <w:p>
      <w:pPr>
        <w:ind w:left="540" w:right="419" w:hanging="331"/>
        <w:spacing w:after="0" w:line="227" w:lineRule="auto"/>
        <w:tabs>
          <w:tab w:leader="none" w:pos="540" w:val="left"/>
        </w:tabs>
        <w:numPr>
          <w:ilvl w:val="0"/>
          <w:numId w:val="7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Executve Bonus Plan payments and PSU awards are subject to clawback in the event of a material restatement of our fnancial results and in certain other cases;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59" w:name="page60"/>
    <w:bookmarkEnd w:id="59"/>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36" w:lineRule="exact"/>
        <w:rPr>
          <w:sz w:val="20"/>
          <w:szCs w:val="20"/>
          <w:color w:val="auto"/>
        </w:rPr>
      </w:pPr>
    </w:p>
    <w:p>
      <w:pPr>
        <w:ind w:left="540" w:right="339" w:hanging="331"/>
        <w:spacing w:after="0" w:line="258" w:lineRule="auto"/>
        <w:tabs>
          <w:tab w:leader="none" w:pos="540" w:val="left"/>
        </w:tabs>
        <w:numPr>
          <w:ilvl w:val="0"/>
          <w:numId w:val="79"/>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our stock-based long-term incentves either vest or are earned over a mult-year period, providing upside potental while at the same tme requiring our NEOs to bear the economic risk of the award over the vestng period;</w:t>
      </w:r>
    </w:p>
    <w:p>
      <w:pPr>
        <w:spacing w:after="0" w:line="174" w:lineRule="exact"/>
        <w:rPr>
          <w:rFonts w:ascii="Times New Roman" w:cs="Times New Roman" w:eastAsia="Times New Roman" w:hAnsi="Times New Roman"/>
          <w:sz w:val="17"/>
          <w:szCs w:val="17"/>
          <w:color w:val="AF0000"/>
        </w:rPr>
      </w:pPr>
    </w:p>
    <w:p>
      <w:pPr>
        <w:ind w:left="540" w:right="819" w:hanging="331"/>
        <w:spacing w:after="0" w:line="227" w:lineRule="auto"/>
        <w:tabs>
          <w:tab w:leader="none" w:pos="540" w:val="left"/>
        </w:tabs>
        <w:numPr>
          <w:ilvl w:val="0"/>
          <w:numId w:val="79"/>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we have established and adopted codes of ethics and business conduct, which are designed to reinforce the balanced compensaton objectves established by the Compensaton Commitee;</w:t>
      </w:r>
    </w:p>
    <w:p>
      <w:pPr>
        <w:spacing w:after="0" w:line="191" w:lineRule="exact"/>
        <w:rPr>
          <w:rFonts w:ascii="Times New Roman" w:cs="Times New Roman" w:eastAsia="Times New Roman" w:hAnsi="Times New Roman"/>
          <w:sz w:val="18"/>
          <w:szCs w:val="18"/>
          <w:color w:val="AF0000"/>
        </w:rPr>
      </w:pPr>
    </w:p>
    <w:p>
      <w:pPr>
        <w:ind w:left="540" w:right="1059" w:hanging="331"/>
        <w:spacing w:after="0" w:line="235" w:lineRule="auto"/>
        <w:tabs>
          <w:tab w:leader="none" w:pos="540" w:val="left"/>
        </w:tabs>
        <w:numPr>
          <w:ilvl w:val="0"/>
          <w:numId w:val="79"/>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we have adopted equity ownership guidelines for our CEO, which the Compensaton Commitee believes discourages excessive risk-taking; and</w:t>
      </w:r>
    </w:p>
    <w:p>
      <w:pPr>
        <w:spacing w:after="0" w:line="177" w:lineRule="exact"/>
        <w:rPr>
          <w:rFonts w:ascii="Times New Roman" w:cs="Times New Roman" w:eastAsia="Times New Roman" w:hAnsi="Times New Roman"/>
          <w:sz w:val="18"/>
          <w:szCs w:val="18"/>
          <w:color w:val="AF0000"/>
        </w:rPr>
      </w:pPr>
    </w:p>
    <w:p>
      <w:pPr>
        <w:ind w:left="540" w:right="319" w:hanging="331"/>
        <w:spacing w:after="0" w:line="235" w:lineRule="auto"/>
        <w:tabs>
          <w:tab w:leader="none" w:pos="540" w:val="left"/>
        </w:tabs>
        <w:numPr>
          <w:ilvl w:val="0"/>
          <w:numId w:val="79"/>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our CEO owns a signifcant number of shares of Common Stock, which serve to align his interests with the interests of the Company’s shareholders and discourages excessive risk-taking.</w:t>
      </w:r>
    </w:p>
    <w:p>
      <w:pPr>
        <w:spacing w:after="0" w:line="177" w:lineRule="exact"/>
        <w:rPr>
          <w:sz w:val="20"/>
          <w:szCs w:val="20"/>
          <w:color w:val="auto"/>
        </w:rPr>
      </w:pPr>
    </w:p>
    <w:p>
      <w:pPr>
        <w:jc w:val="both"/>
        <w:ind w:left="200" w:right="279"/>
        <w:spacing w:after="0" w:line="235" w:lineRule="auto"/>
        <w:rPr>
          <w:sz w:val="20"/>
          <w:szCs w:val="20"/>
          <w:color w:val="auto"/>
        </w:rPr>
      </w:pPr>
      <w:r>
        <w:rPr>
          <w:rFonts w:ascii="Calibri" w:cs="Calibri" w:eastAsia="Calibri" w:hAnsi="Calibri"/>
          <w:sz w:val="18"/>
          <w:szCs w:val="18"/>
          <w:color w:val="auto"/>
        </w:rPr>
        <w:t>Based on the review outlined above, the Compensaton Commitee has further concluded that the risks arising from our compensaton policies and practces for its employees are not reasonably likely to have a material adverse efect on the Company.</w:t>
      </w:r>
    </w:p>
    <w:p>
      <w:pPr>
        <w:spacing w:after="0" w:line="160"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Compensaton Commitee Report</w:t>
      </w:r>
    </w:p>
    <w:p>
      <w:pPr>
        <w:spacing w:after="0" w:line="199" w:lineRule="exact"/>
        <w:rPr>
          <w:sz w:val="20"/>
          <w:szCs w:val="20"/>
          <w:color w:val="auto"/>
        </w:rPr>
      </w:pPr>
    </w:p>
    <w:p>
      <w:pPr>
        <w:ind w:left="200" w:right="879"/>
        <w:spacing w:after="0" w:line="235" w:lineRule="auto"/>
        <w:rPr>
          <w:sz w:val="20"/>
          <w:szCs w:val="20"/>
          <w:color w:val="auto"/>
        </w:rPr>
      </w:pPr>
      <w:r>
        <w:rPr>
          <w:rFonts w:ascii="Calibri" w:cs="Calibri" w:eastAsia="Calibri" w:hAnsi="Calibri"/>
          <w:sz w:val="18"/>
          <w:szCs w:val="18"/>
          <w:color w:val="auto"/>
        </w:rPr>
        <w:t>The Compensaton Commitee establishes and oversees the design and functon of our executve compensaton programs.</w:t>
      </w:r>
    </w:p>
    <w:p>
      <w:pPr>
        <w:spacing w:after="0" w:line="177" w:lineRule="exact"/>
        <w:rPr>
          <w:sz w:val="20"/>
          <w:szCs w:val="20"/>
          <w:color w:val="auto"/>
        </w:rPr>
      </w:pPr>
    </w:p>
    <w:p>
      <w:pPr>
        <w:ind w:left="200" w:right="339"/>
        <w:spacing w:after="0" w:line="235" w:lineRule="auto"/>
        <w:rPr>
          <w:sz w:val="20"/>
          <w:szCs w:val="20"/>
          <w:color w:val="auto"/>
        </w:rPr>
      </w:pPr>
      <w:r>
        <w:rPr>
          <w:rFonts w:ascii="Calibri" w:cs="Calibri" w:eastAsia="Calibri" w:hAnsi="Calibri"/>
          <w:sz w:val="18"/>
          <w:szCs w:val="18"/>
          <w:color w:val="auto"/>
        </w:rPr>
        <w:t>The members of the Compensaton Commitee have reviewed and discussed the foregoing Compensaton Discussion and Analysis with the management of the Company and recommended to the Board that the Compensaton Discussion and Analysis be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127635</wp:posOffset>
            </wp:positionV>
            <wp:extent cx="2674620" cy="13798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74620" cy="13798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AF0000"/>
        </w:rPr>
        <w:t>COMPENSATION COMMITTEE:</w:t>
      </w:r>
    </w:p>
    <w:p>
      <w:pPr>
        <w:spacing w:after="0" w:line="103"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A. Scot Anderson (Chair)</w:t>
      </w:r>
    </w:p>
    <w:p>
      <w:pPr>
        <w:spacing w:after="0" w:line="133"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F. Ann Millner. Ed. D.</w:t>
      </w:r>
    </w:p>
    <w:p>
      <w:pPr>
        <w:spacing w:after="0" w:line="133"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Lonny J. Carpenter</w:t>
      </w:r>
    </w:p>
    <w:p>
      <w:pPr>
        <w:spacing w:after="0" w:line="14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Stephen C. Evans</w:t>
      </w:r>
    </w:p>
    <w:p>
      <w:pPr>
        <w:spacing w:after="0" w:line="391" w:lineRule="exact"/>
        <w:rPr>
          <w:sz w:val="20"/>
          <w:szCs w:val="20"/>
          <w:color w:val="auto"/>
        </w:rPr>
      </w:pPr>
    </w:p>
    <w:p>
      <w:pPr>
        <w:ind w:left="200" w:right="239"/>
        <w:spacing w:after="0" w:line="247" w:lineRule="auto"/>
        <w:rPr>
          <w:sz w:val="20"/>
          <w:szCs w:val="20"/>
          <w:color w:val="auto"/>
        </w:rPr>
      </w:pPr>
      <w:r>
        <w:rPr>
          <w:rFonts w:ascii="Calibri" w:cs="Calibri" w:eastAsia="Calibri" w:hAnsi="Calibri"/>
          <w:sz w:val="17"/>
          <w:szCs w:val="17"/>
          <w:i w:val="1"/>
          <w:iCs w:val="1"/>
          <w:color w:val="auto"/>
        </w:rPr>
        <w:t>The informaton contained in this Compensaton Commitee Report shall not be deemed to be “solicitng material,” to be “fled” with the SEC or be subject to Regulaton 14A or Regulaton 14C or to the liabilites of Secton 18 of the Exchange Act, and shall not be deemed to be incorporated by reference into any fling of the Company, except to the extent that the Company specifcally incorporates it by reference into a document fled under the Securites Act or the Exchange Act.</w:t>
      </w: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56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60" w:name="page61"/>
    <w:bookmarkEnd w:id="60"/>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tbl>
      <w:tblPr>
        <w:tblLayout w:type="fixed"/>
        <w:tblInd w:w="230" w:type="dxa"/>
        <w:tblCellMar>
          <w:top w:w="0" w:type="dxa"/>
          <w:left w:w="0" w:type="dxa"/>
          <w:bottom w:w="0" w:type="dxa"/>
          <w:right w:w="0" w:type="dxa"/>
        </w:tblCellMar>
      </w:tblPr>
      <w:tr>
        <w:trPr>
          <w:trHeight w:val="220"/>
        </w:trPr>
        <w:tc>
          <w:tcPr>
            <w:tcW w:w="4560" w:type="dxa"/>
            <w:vAlign w:val="bottom"/>
          </w:tcPr>
          <w:p>
            <w:pPr>
              <w:spacing w:after="0"/>
              <w:rPr>
                <w:sz w:val="19"/>
                <w:szCs w:val="19"/>
                <w:color w:val="auto"/>
              </w:rPr>
            </w:pPr>
          </w:p>
        </w:tc>
        <w:tc>
          <w:tcPr>
            <w:tcW w:w="4020" w:type="dxa"/>
            <w:vAlign w:val="bottom"/>
          </w:tcPr>
          <w:p>
            <w:pPr>
              <w:ind w:left="300"/>
              <w:spacing w:after="0"/>
              <w:rPr>
                <w:sz w:val="20"/>
                <w:szCs w:val="20"/>
                <w:color w:val="auto"/>
              </w:rPr>
            </w:pPr>
            <w:r>
              <w:rPr>
                <w:rFonts w:ascii="Calibri" w:cs="Calibri" w:eastAsia="Calibri" w:hAnsi="Calibri"/>
                <w:sz w:val="18"/>
                <w:szCs w:val="18"/>
                <w:color w:val="auto"/>
                <w:w w:val="95"/>
              </w:rPr>
              <w:t>EXECUTIVE COMPENSATION AND RELATED MATTERS</w:t>
            </w:r>
          </w:p>
        </w:tc>
        <w:tc>
          <w:tcPr>
            <w:tcW w:w="0" w:type="dxa"/>
            <w:vAlign w:val="bottom"/>
          </w:tcPr>
          <w:p>
            <w:pPr>
              <w:spacing w:after="0"/>
              <w:rPr>
                <w:sz w:val="1"/>
                <w:szCs w:val="1"/>
                <w:color w:val="auto"/>
              </w:rPr>
            </w:pPr>
          </w:p>
        </w:tc>
      </w:tr>
      <w:tr>
        <w:trPr>
          <w:trHeight w:val="206"/>
        </w:trPr>
        <w:tc>
          <w:tcPr>
            <w:tcW w:w="4560" w:type="dxa"/>
            <w:vAlign w:val="bottom"/>
            <w:tcBorders>
              <w:bottom w:val="single" w:sz="8" w:color="AF0000"/>
            </w:tcBorders>
          </w:tcPr>
          <w:p>
            <w:pPr>
              <w:spacing w:after="0"/>
              <w:rPr>
                <w:sz w:val="17"/>
                <w:szCs w:val="17"/>
                <w:color w:val="auto"/>
              </w:rPr>
            </w:pPr>
          </w:p>
        </w:tc>
        <w:tc>
          <w:tcPr>
            <w:tcW w:w="4020" w:type="dxa"/>
            <w:vAlign w:val="bottom"/>
            <w:tcBorders>
              <w:bottom w:val="single" w:sz="8" w:color="AF0000"/>
            </w:tcBorders>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560" w:type="dxa"/>
            <w:vAlign w:val="bottom"/>
            <w:tcBorders>
              <w:left w:val="single" w:sz="8" w:color="AF0000"/>
            </w:tcBorders>
          </w:tcPr>
          <w:p>
            <w:pPr>
              <w:ind w:left="140"/>
              <w:spacing w:after="0"/>
              <w:rPr>
                <w:sz w:val="20"/>
                <w:szCs w:val="20"/>
                <w:color w:val="auto"/>
              </w:rPr>
            </w:pPr>
            <w:r>
              <w:rPr>
                <w:rFonts w:ascii="Calibri" w:cs="Calibri" w:eastAsia="Calibri" w:hAnsi="Calibri"/>
                <w:sz w:val="22"/>
                <w:szCs w:val="22"/>
                <w:b w:val="1"/>
                <w:bCs w:val="1"/>
                <w:color w:val="AF0000"/>
              </w:rPr>
              <w:t xml:space="preserve">PROPOSAL 2: </w:t>
            </w:r>
            <w:r>
              <w:rPr>
                <w:rFonts w:ascii="Calibri" w:cs="Calibri" w:eastAsia="Calibri" w:hAnsi="Calibri"/>
                <w:sz w:val="25"/>
                <w:szCs w:val="25"/>
                <w:b w:val="1"/>
                <w:bCs w:val="1"/>
                <w:color w:val="000000"/>
              </w:rPr>
              <w:t>Advisory Vote on Executve</w:t>
            </w:r>
          </w:p>
        </w:tc>
        <w:tc>
          <w:tcPr>
            <w:tcW w:w="4020" w:type="dxa"/>
            <w:vAlign w:val="bottom"/>
            <w:tcBorders>
              <w:right w:val="single" w:sz="8" w:color="AF0000"/>
            </w:tcBorders>
          </w:tcPr>
          <w:p>
            <w:pPr>
              <w:ind w:left="760"/>
              <w:spacing w:after="0"/>
              <w:rPr>
                <w:sz w:val="20"/>
                <w:szCs w:val="20"/>
                <w:color w:val="auto"/>
              </w:rPr>
            </w:pPr>
            <w:r>
              <w:rPr>
                <w:rFonts w:ascii="Calibri" w:cs="Calibri" w:eastAsia="Calibri" w:hAnsi="Calibri"/>
                <w:sz w:val="18"/>
                <w:szCs w:val="18"/>
                <w:b w:val="1"/>
                <w:bCs w:val="1"/>
                <w:color w:val="AF0000"/>
              </w:rPr>
              <w:t>The Board unanimously</w:t>
            </w:r>
          </w:p>
        </w:tc>
        <w:tc>
          <w:tcPr>
            <w:tcW w:w="0" w:type="dxa"/>
            <w:vAlign w:val="bottom"/>
          </w:tcPr>
          <w:p>
            <w:pPr>
              <w:spacing w:after="0"/>
              <w:rPr>
                <w:sz w:val="1"/>
                <w:szCs w:val="1"/>
                <w:color w:val="auto"/>
              </w:rPr>
            </w:pPr>
          </w:p>
        </w:tc>
      </w:tr>
      <w:tr>
        <w:trPr>
          <w:trHeight w:val="207"/>
        </w:trPr>
        <w:tc>
          <w:tcPr>
            <w:tcW w:w="4560" w:type="dxa"/>
            <w:vAlign w:val="bottom"/>
            <w:tcBorders>
              <w:left w:val="single" w:sz="8" w:color="AF0000"/>
            </w:tcBorders>
            <w:vMerge w:val="restart"/>
          </w:tcPr>
          <w:p>
            <w:pPr>
              <w:ind w:left="140"/>
              <w:spacing w:after="0"/>
              <w:rPr>
                <w:sz w:val="20"/>
                <w:szCs w:val="20"/>
                <w:color w:val="auto"/>
              </w:rPr>
            </w:pPr>
            <w:r>
              <w:rPr>
                <w:rFonts w:ascii="Calibri" w:cs="Calibri" w:eastAsia="Calibri" w:hAnsi="Calibri"/>
                <w:sz w:val="25"/>
                <w:szCs w:val="25"/>
                <w:b w:val="1"/>
                <w:bCs w:val="1"/>
                <w:color w:val="auto"/>
              </w:rPr>
              <w:t>Compensaton</w:t>
            </w:r>
          </w:p>
        </w:tc>
        <w:tc>
          <w:tcPr>
            <w:tcW w:w="4020" w:type="dxa"/>
            <w:vAlign w:val="bottom"/>
            <w:tcBorders>
              <w:right w:val="single" w:sz="8" w:color="AF0000"/>
            </w:tcBorders>
          </w:tcPr>
          <w:p>
            <w:pPr>
              <w:ind w:left="760"/>
              <w:spacing w:after="0" w:line="207" w:lineRule="exact"/>
              <w:rPr>
                <w:sz w:val="20"/>
                <w:szCs w:val="20"/>
                <w:color w:val="auto"/>
              </w:rPr>
            </w:pPr>
            <w:r>
              <w:rPr>
                <w:rFonts w:ascii="Calibri" w:cs="Calibri" w:eastAsia="Calibri" w:hAnsi="Calibri"/>
                <w:sz w:val="18"/>
                <w:szCs w:val="18"/>
                <w:b w:val="1"/>
                <w:bCs w:val="1"/>
                <w:color w:val="AF0000"/>
              </w:rPr>
              <w:t>recommends a vote FOR this</w:t>
            </w:r>
          </w:p>
        </w:tc>
        <w:tc>
          <w:tcPr>
            <w:tcW w:w="0" w:type="dxa"/>
            <w:vAlign w:val="bottom"/>
          </w:tcPr>
          <w:p>
            <w:pPr>
              <w:spacing w:after="0"/>
              <w:rPr>
                <w:sz w:val="1"/>
                <w:szCs w:val="1"/>
                <w:color w:val="auto"/>
              </w:rPr>
            </w:pPr>
          </w:p>
        </w:tc>
      </w:tr>
      <w:tr>
        <w:trPr>
          <w:trHeight w:val="152"/>
        </w:trPr>
        <w:tc>
          <w:tcPr>
            <w:tcW w:w="4560" w:type="dxa"/>
            <w:vAlign w:val="bottom"/>
            <w:tcBorders>
              <w:left w:val="single" w:sz="8" w:color="AF0000"/>
            </w:tcBorders>
            <w:vMerge w:val="continue"/>
          </w:tcPr>
          <w:p>
            <w:pPr>
              <w:spacing w:after="0"/>
              <w:rPr>
                <w:sz w:val="13"/>
                <w:szCs w:val="13"/>
                <w:color w:val="auto"/>
              </w:rPr>
            </w:pPr>
          </w:p>
        </w:tc>
        <w:tc>
          <w:tcPr>
            <w:tcW w:w="4020" w:type="dxa"/>
            <w:vAlign w:val="bottom"/>
            <w:tcBorders>
              <w:right w:val="single" w:sz="8" w:color="AF0000"/>
            </w:tcBorders>
            <w:vMerge w:val="restart"/>
          </w:tcPr>
          <w:p>
            <w:pPr>
              <w:ind w:left="760"/>
              <w:spacing w:after="0" w:line="215" w:lineRule="exact"/>
              <w:rPr>
                <w:sz w:val="20"/>
                <w:szCs w:val="20"/>
                <w:color w:val="auto"/>
              </w:rPr>
            </w:pPr>
            <w:r>
              <w:rPr>
                <w:rFonts w:ascii="Calibri" w:cs="Calibri" w:eastAsia="Calibri" w:hAnsi="Calibri"/>
                <w:sz w:val="18"/>
                <w:szCs w:val="18"/>
                <w:b w:val="1"/>
                <w:bCs w:val="1"/>
                <w:color w:val="AF0000"/>
              </w:rPr>
              <w:t>proposal</w:t>
            </w:r>
          </w:p>
        </w:tc>
        <w:tc>
          <w:tcPr>
            <w:tcW w:w="0" w:type="dxa"/>
            <w:vAlign w:val="bottom"/>
          </w:tcPr>
          <w:p>
            <w:pPr>
              <w:spacing w:after="0"/>
              <w:rPr>
                <w:sz w:val="1"/>
                <w:szCs w:val="1"/>
                <w:color w:val="auto"/>
              </w:rPr>
            </w:pPr>
          </w:p>
        </w:tc>
      </w:tr>
      <w:tr>
        <w:trPr>
          <w:trHeight w:val="63"/>
        </w:trPr>
        <w:tc>
          <w:tcPr>
            <w:tcW w:w="4560" w:type="dxa"/>
            <w:vAlign w:val="bottom"/>
            <w:tcBorders>
              <w:left w:val="single" w:sz="8" w:color="AF0000"/>
            </w:tcBorders>
          </w:tcPr>
          <w:p>
            <w:pPr>
              <w:spacing w:after="0"/>
              <w:rPr>
                <w:sz w:val="5"/>
                <w:szCs w:val="5"/>
                <w:color w:val="auto"/>
              </w:rPr>
            </w:pPr>
          </w:p>
        </w:tc>
        <w:tc>
          <w:tcPr>
            <w:tcW w:w="4020" w:type="dxa"/>
            <w:vAlign w:val="bottom"/>
            <w:tcBorders>
              <w:right w:val="single" w:sz="8" w:color="AF000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4560" w:type="dxa"/>
            <w:vAlign w:val="bottom"/>
            <w:tcBorders>
              <w:left w:val="single" w:sz="8" w:color="AF0000"/>
              <w:bottom w:val="single" w:sz="8" w:color="AF0000"/>
            </w:tcBorders>
          </w:tcPr>
          <w:p>
            <w:pPr>
              <w:spacing w:after="0"/>
              <w:rPr>
                <w:sz w:val="12"/>
                <w:szCs w:val="12"/>
                <w:color w:val="auto"/>
              </w:rPr>
            </w:pPr>
          </w:p>
        </w:tc>
        <w:tc>
          <w:tcPr>
            <w:tcW w:w="4020" w:type="dxa"/>
            <w:vAlign w:val="bottom"/>
            <w:tcBorders>
              <w:bottom w:val="single" w:sz="8" w:color="AF0000"/>
              <w:right w:val="single" w:sz="8" w:color="AF000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-419735</wp:posOffset>
            </wp:positionV>
            <wp:extent cx="274320" cy="240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4320" cy="240030"/>
                    </a:xfrm>
                    <a:prstGeom prst="rect">
                      <a:avLst/>
                    </a:prstGeom>
                    <a:noFill/>
                  </pic:spPr>
                </pic:pic>
              </a:graphicData>
            </a:graphic>
          </wp:anchor>
        </w:drawing>
      </w:r>
    </w:p>
    <w:p>
      <w:pPr>
        <w:spacing w:after="0" w:line="174" w:lineRule="exact"/>
        <w:rPr>
          <w:sz w:val="20"/>
          <w:szCs w:val="20"/>
          <w:color w:val="auto"/>
        </w:rPr>
      </w:pPr>
    </w:p>
    <w:p>
      <w:pPr>
        <w:ind w:left="200" w:right="339"/>
        <w:spacing w:after="0" w:line="231" w:lineRule="auto"/>
        <w:rPr>
          <w:sz w:val="20"/>
          <w:szCs w:val="20"/>
          <w:color w:val="auto"/>
        </w:rPr>
      </w:pPr>
      <w:r>
        <w:rPr>
          <w:rFonts w:ascii="Calibri" w:cs="Calibri" w:eastAsia="Calibri" w:hAnsi="Calibri"/>
          <w:sz w:val="18"/>
          <w:szCs w:val="18"/>
          <w:color w:val="auto"/>
        </w:rPr>
        <w:t>Secton 14A of the Exchange Act (</w:t>
      </w:r>
      <w:r>
        <w:rPr>
          <w:rFonts w:ascii="Calibri" w:cs="Calibri" w:eastAsia="Calibri" w:hAnsi="Calibri"/>
          <w:sz w:val="18"/>
          <w:szCs w:val="18"/>
          <w:u w:val="single" w:color="auto"/>
          <w:color w:val="AF0000"/>
        </w:rPr>
        <w:t>Secton 14A</w:t>
      </w:r>
      <w:r>
        <w:rPr>
          <w:rFonts w:ascii="Calibri" w:cs="Calibri" w:eastAsia="Calibri" w:hAnsi="Calibri"/>
          <w:sz w:val="18"/>
          <w:szCs w:val="18"/>
          <w:color w:val="auto"/>
        </w:rPr>
        <w:t>), which was enacted pursuant to the Dodd-Frank Wall Street Reform and Consumer Protecton Act, requires that we provide shareholders with the opportunity to vote on an advisory (non-binding) resoluton to approve the compensaton of the NEOs disclosed in this Proxy Statement (colloquially referred to as a “Say-on-Pay” proposal).</w:t>
      </w:r>
    </w:p>
    <w:p>
      <w:pPr>
        <w:spacing w:after="0" w:line="175"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Accordingly, the following resoluton will be submited to our shareholders for approval at the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135255</wp:posOffset>
            </wp:positionV>
            <wp:extent cx="4345940" cy="9944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45940" cy="994410"/>
                    </a:xfrm>
                    <a:prstGeom prst="rect">
                      <a:avLst/>
                    </a:prstGeom>
                    <a:noFill/>
                  </pic:spPr>
                </pic:pic>
              </a:graphicData>
            </a:graphic>
          </wp:anchor>
        </w:drawing>
      </w:r>
    </w:p>
    <w:p>
      <w:pPr>
        <w:spacing w:after="0" w:line="319" w:lineRule="exact"/>
        <w:rPr>
          <w:sz w:val="20"/>
          <w:szCs w:val="20"/>
          <w:color w:val="auto"/>
        </w:rPr>
      </w:pPr>
    </w:p>
    <w:p>
      <w:pPr>
        <w:jc w:val="both"/>
        <w:ind w:left="1320" w:right="1359"/>
        <w:spacing w:after="0" w:line="233" w:lineRule="auto"/>
        <w:rPr>
          <w:sz w:val="20"/>
          <w:szCs w:val="20"/>
          <w:color w:val="auto"/>
        </w:rPr>
      </w:pPr>
      <w:r>
        <w:rPr>
          <w:rFonts w:ascii="Calibri" w:cs="Calibri" w:eastAsia="Calibri" w:hAnsi="Calibri"/>
          <w:sz w:val="18"/>
          <w:szCs w:val="18"/>
          <w:color w:val="auto"/>
        </w:rPr>
        <w:t>“RESOLVED, that the Company’s shareholders APPROVE, on an advisory basis, the compensaton of the named executve ofcers, as disclosed in the Company’s proxy statement for the 2024 Annual Meetng of Shareholders, pursuant to the compensaton disclosure rules of the U.S. Securites and Exchange Commission, including the Compensaton Discussion and Analysis, the Summary Compensaton Table and the other related tables and disclosures.”</w:t>
      </w:r>
    </w:p>
    <w:p>
      <w:pPr>
        <w:spacing w:after="0" w:line="354" w:lineRule="exact"/>
        <w:rPr>
          <w:sz w:val="20"/>
          <w:szCs w:val="20"/>
          <w:color w:val="auto"/>
        </w:rPr>
      </w:pPr>
    </w:p>
    <w:p>
      <w:pPr>
        <w:ind w:left="200" w:right="219"/>
        <w:spacing w:after="0" w:line="227" w:lineRule="auto"/>
        <w:rPr>
          <w:sz w:val="20"/>
          <w:szCs w:val="20"/>
          <w:color w:val="auto"/>
        </w:rPr>
      </w:pPr>
      <w:r>
        <w:rPr>
          <w:rFonts w:ascii="Calibri" w:cs="Calibri" w:eastAsia="Calibri" w:hAnsi="Calibri"/>
          <w:sz w:val="18"/>
          <w:szCs w:val="18"/>
          <w:color w:val="auto"/>
        </w:rPr>
        <w:t>As described above under the heading “Compensaton Discussion and Analysis</w:t>
      </w:r>
      <w:r>
        <w:rPr>
          <w:rFonts w:ascii="Calibri" w:cs="Calibri" w:eastAsia="Calibri" w:hAnsi="Calibri"/>
          <w:sz w:val="18"/>
          <w:szCs w:val="18"/>
          <w:i w:val="1"/>
          <w:iCs w:val="1"/>
          <w:color w:val="auto"/>
        </w:rPr>
        <w:t>,</w:t>
      </w:r>
      <w:r>
        <w:rPr>
          <w:rFonts w:ascii="Calibri" w:cs="Calibri" w:eastAsia="Calibri" w:hAnsi="Calibri"/>
          <w:sz w:val="18"/>
          <w:szCs w:val="18"/>
          <w:color w:val="auto"/>
        </w:rPr>
        <w:t>” the Board believes our compensaton of the NEOs achieves the primary goals of:</w:t>
      </w:r>
    </w:p>
    <w:p>
      <w:pPr>
        <w:spacing w:after="0" w:line="187" w:lineRule="exact"/>
        <w:rPr>
          <w:sz w:val="20"/>
          <w:szCs w:val="20"/>
          <w:color w:val="auto"/>
        </w:rPr>
      </w:pPr>
    </w:p>
    <w:p>
      <w:pPr>
        <w:ind w:left="540" w:hanging="331"/>
        <w:spacing w:after="0"/>
        <w:tabs>
          <w:tab w:leader="none" w:pos="540" w:val="left"/>
        </w:tabs>
        <w:numPr>
          <w:ilvl w:val="0"/>
          <w:numId w:val="80"/>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focusing our executves on achieving or exceeding measurable performance targets;</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80"/>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encouraging contnuaton of our entrepreneurial spirit;</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80"/>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atractng and retaining highly-qualifed and motvated executves;</w:t>
      </w:r>
    </w:p>
    <w:p>
      <w:pPr>
        <w:spacing w:after="0" w:line="190" w:lineRule="exact"/>
        <w:rPr>
          <w:rFonts w:ascii="Times New Roman" w:cs="Times New Roman" w:eastAsia="Times New Roman" w:hAnsi="Times New Roman"/>
          <w:sz w:val="18"/>
          <w:szCs w:val="18"/>
          <w:color w:val="AF0000"/>
        </w:rPr>
      </w:pPr>
    </w:p>
    <w:p>
      <w:pPr>
        <w:ind w:left="540" w:right="959" w:hanging="331"/>
        <w:spacing w:after="0" w:line="227" w:lineRule="auto"/>
        <w:tabs>
          <w:tab w:leader="none" w:pos="540" w:val="left"/>
        </w:tabs>
        <w:numPr>
          <w:ilvl w:val="0"/>
          <w:numId w:val="80"/>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promotng our guiding principles for adherence to a high ethical environment, as well as health and safety standards; and</w:t>
      </w:r>
    </w:p>
    <w:p>
      <w:pPr>
        <w:spacing w:after="0" w:line="187"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80"/>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aligning management compensaton with shareholder value.</w:t>
      </w:r>
    </w:p>
    <w:p>
      <w:pPr>
        <w:spacing w:after="0" w:line="177" w:lineRule="exact"/>
        <w:rPr>
          <w:sz w:val="20"/>
          <w:szCs w:val="20"/>
          <w:color w:val="auto"/>
        </w:rPr>
      </w:pPr>
    </w:p>
    <w:p>
      <w:pPr>
        <w:ind w:left="200" w:right="299"/>
        <w:spacing w:after="0" w:line="235" w:lineRule="auto"/>
        <w:rPr>
          <w:sz w:val="20"/>
          <w:szCs w:val="20"/>
          <w:color w:val="auto"/>
        </w:rPr>
      </w:pPr>
      <w:r>
        <w:rPr>
          <w:rFonts w:ascii="Calibri" w:cs="Calibri" w:eastAsia="Calibri" w:hAnsi="Calibri"/>
          <w:sz w:val="18"/>
          <w:szCs w:val="18"/>
          <w:color w:val="auto"/>
        </w:rPr>
        <w:t>The Board encourages shareholders to review in detail the Compensaton Discussion and Analysis beginning on page 38 of this Proxy Statement and the executve compensaton tables beginning on page 58 of this Proxy Statement. In light of the informaton set forth in such sectons, the Board believes the compensaton of the NEOs for the fscal year ended December 31, 2023 was fair and reasonable and that our compensaton programs and practces are in the best interests of the Company and our shareholders.</w:t>
      </w:r>
    </w:p>
    <w:p>
      <w:pPr>
        <w:spacing w:after="0" w:line="180" w:lineRule="exact"/>
        <w:rPr>
          <w:sz w:val="20"/>
          <w:szCs w:val="20"/>
          <w:color w:val="auto"/>
        </w:rPr>
      </w:pPr>
    </w:p>
    <w:p>
      <w:pPr>
        <w:ind w:left="200" w:right="279"/>
        <w:spacing w:after="0" w:line="233" w:lineRule="auto"/>
        <w:rPr>
          <w:sz w:val="20"/>
          <w:szCs w:val="20"/>
          <w:color w:val="auto"/>
        </w:rPr>
      </w:pPr>
      <w:r>
        <w:rPr>
          <w:rFonts w:ascii="Calibri" w:cs="Calibri" w:eastAsia="Calibri" w:hAnsi="Calibri"/>
          <w:sz w:val="18"/>
          <w:szCs w:val="18"/>
          <w:color w:val="auto"/>
        </w:rPr>
        <w:t>The advisory vote on this Say-on-Pay resoluton is not intended to address any specifc element of compensaton; rather, the vote relates to all aspects of the compensaton of the NEOs, as described in this Proxy Statement. While this vote is only advisory in nature, which means that the vote is not binding on the Company, the Board or the Compensaton Commitee (which is composed solely of independent directors), the Board and Compensaton Commitee value the opinion of our shareholders and will consider the outcome of the vote when addressing future executve compensaton arrangements.</w:t>
      </w:r>
    </w:p>
    <w:p>
      <w:pPr>
        <w:spacing w:after="0" w:line="178" w:lineRule="exact"/>
        <w:rPr>
          <w:sz w:val="20"/>
          <w:szCs w:val="20"/>
          <w:color w:val="auto"/>
        </w:rPr>
      </w:pPr>
    </w:p>
    <w:p>
      <w:pPr>
        <w:ind w:left="200" w:right="359"/>
        <w:spacing w:after="0" w:line="235" w:lineRule="auto"/>
        <w:rPr>
          <w:sz w:val="20"/>
          <w:szCs w:val="20"/>
          <w:color w:val="auto"/>
        </w:rPr>
      </w:pPr>
      <w:r>
        <w:rPr>
          <w:rFonts w:ascii="Calibri" w:cs="Calibri" w:eastAsia="Calibri" w:hAnsi="Calibri"/>
          <w:sz w:val="18"/>
          <w:szCs w:val="18"/>
          <w:color w:val="auto"/>
        </w:rPr>
        <w:t>At our annual meetng of shareholders held on May 18, 2023, our shareholders voted on an advisory basis with respect to the frequency of future advisory votes on executve compensaton. Holders of approximately 96% of the shares represented at that meetng, excluding broker non-votes, expressed their preference for an annual advisory vote. Accordingly, we intend to conduct annual advisory votes on executve compensaton.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 xml:space="preserve">www.merit.com </w:t>
      </w:r>
      <w:r>
        <w:rPr>
          <w:rFonts w:ascii="Calibri" w:cs="Calibri" w:eastAsia="Calibri" w:hAnsi="Calibri"/>
          <w:sz w:val="18"/>
          <w:szCs w:val="18"/>
          <w:color w:val="AF0000"/>
        </w:rPr>
        <w:t>|</w:t>
      </w:r>
      <w:r>
        <w:rPr>
          <w:rFonts w:ascii="Calibri" w:cs="Calibri" w:eastAsia="Calibri" w:hAnsi="Calibri"/>
          <w:sz w:val="18"/>
          <w:szCs w:val="18"/>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358140</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61" w:name="page62"/>
    <w:bookmarkEnd w:id="61"/>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36" w:lineRule="exact"/>
        <w:rPr>
          <w:sz w:val="20"/>
          <w:szCs w:val="20"/>
          <w:color w:val="auto"/>
        </w:rPr>
      </w:pPr>
    </w:p>
    <w:p>
      <w:pPr>
        <w:ind w:left="200" w:right="259"/>
        <w:spacing w:after="0" w:line="235" w:lineRule="auto"/>
        <w:rPr>
          <w:sz w:val="20"/>
          <w:szCs w:val="20"/>
          <w:color w:val="auto"/>
        </w:rPr>
      </w:pPr>
      <w:r>
        <w:rPr>
          <w:rFonts w:ascii="Calibri" w:cs="Calibri" w:eastAsia="Calibri" w:hAnsi="Calibri"/>
          <w:sz w:val="18"/>
          <w:szCs w:val="18"/>
          <w:color w:val="auto"/>
        </w:rPr>
        <w:t>Approval of the resoluton above (on a non-binding, advisory basis) requires that the number of votes cast at the Annual Meetng, in person or by proxy, in favor of the resoluton exceeds the number of votes cast in oppositon to the resoluton.</w:t>
      </w:r>
    </w:p>
    <w:p>
      <w:pPr>
        <w:spacing w:after="0" w:line="160" w:lineRule="exact"/>
        <w:rPr>
          <w:sz w:val="20"/>
          <w:szCs w:val="20"/>
          <w:color w:val="auto"/>
        </w:rPr>
      </w:pPr>
    </w:p>
    <w:p>
      <w:pPr>
        <w:ind w:left="200"/>
        <w:spacing w:after="0"/>
        <w:rPr>
          <w:sz w:val="20"/>
          <w:szCs w:val="20"/>
          <w:color w:val="auto"/>
        </w:rPr>
      </w:pPr>
      <w:r>
        <w:rPr>
          <w:rFonts w:ascii="Calibri" w:cs="Calibri" w:eastAsia="Calibri" w:hAnsi="Calibri"/>
          <w:sz w:val="32"/>
          <w:szCs w:val="32"/>
          <w:b w:val="1"/>
          <w:bCs w:val="1"/>
          <w:color w:val="FFFFFF"/>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-221615</wp:posOffset>
            </wp:positionV>
            <wp:extent cx="5452110" cy="2489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52110" cy="248920"/>
                    </a:xfrm>
                    <a:prstGeom prst="rect">
                      <a:avLst/>
                    </a:prstGeom>
                    <a:noFill/>
                  </pic:spPr>
                </pic:pic>
              </a:graphicData>
            </a:graphic>
          </wp:anchor>
        </w:drawing>
      </w:r>
    </w:p>
    <w:p>
      <w:pPr>
        <w:spacing w:after="0" w:line="197"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Summary Compensaton Table</w:t>
      </w:r>
    </w:p>
    <w:p>
      <w:pPr>
        <w:spacing w:after="0" w:line="186" w:lineRule="exact"/>
        <w:rPr>
          <w:sz w:val="20"/>
          <w:szCs w:val="20"/>
          <w:color w:val="auto"/>
        </w:rPr>
      </w:pPr>
    </w:p>
    <w:p>
      <w:pPr>
        <w:ind w:left="200" w:right="519"/>
        <w:spacing w:after="0" w:line="235" w:lineRule="auto"/>
        <w:rPr>
          <w:sz w:val="20"/>
          <w:szCs w:val="20"/>
          <w:color w:val="auto"/>
        </w:rPr>
      </w:pPr>
      <w:r>
        <w:rPr>
          <w:rFonts w:ascii="Calibri" w:cs="Calibri" w:eastAsia="Calibri" w:hAnsi="Calibri"/>
          <w:sz w:val="18"/>
          <w:szCs w:val="18"/>
          <w:color w:val="auto"/>
        </w:rPr>
        <w:t>The following Summary Compensaton Table summarizes the total compensaton earned by each of the NEOs for the years indicated.</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380" w:type="dxa"/>
            <w:vAlign w:val="bottom"/>
            <w:tcBorders>
              <w:top w:val="single" w:sz="8" w:color="AF0000"/>
            </w:tcBorders>
          </w:tcPr>
          <w:p>
            <w:pPr>
              <w:spacing w:after="0"/>
              <w:rPr>
                <w:sz w:val="15"/>
                <w:szCs w:val="15"/>
                <w:color w:val="auto"/>
              </w:rPr>
            </w:pPr>
          </w:p>
        </w:tc>
        <w:tc>
          <w:tcPr>
            <w:tcW w:w="500" w:type="dxa"/>
            <w:vAlign w:val="bottom"/>
            <w:tcBorders>
              <w:top w:val="single" w:sz="8" w:color="AF0000"/>
            </w:tcBorders>
          </w:tcPr>
          <w:p>
            <w:pPr>
              <w:spacing w:after="0"/>
              <w:rPr>
                <w:sz w:val="15"/>
                <w:szCs w:val="15"/>
                <w:color w:val="auto"/>
              </w:rPr>
            </w:pPr>
          </w:p>
        </w:tc>
        <w:tc>
          <w:tcPr>
            <w:tcW w:w="720" w:type="dxa"/>
            <w:vAlign w:val="bottom"/>
            <w:tcBorders>
              <w:top w:val="single" w:sz="8" w:color="AF0000"/>
            </w:tcBorders>
          </w:tcPr>
          <w:p>
            <w:pPr>
              <w:spacing w:after="0"/>
              <w:rPr>
                <w:sz w:val="15"/>
                <w:szCs w:val="15"/>
                <w:color w:val="auto"/>
              </w:rPr>
            </w:pPr>
          </w:p>
        </w:tc>
        <w:tc>
          <w:tcPr>
            <w:tcW w:w="640" w:type="dxa"/>
            <w:vAlign w:val="bottom"/>
            <w:tcBorders>
              <w:top w:val="single" w:sz="8" w:color="AF0000"/>
            </w:tcBorders>
          </w:tcPr>
          <w:p>
            <w:pPr>
              <w:spacing w:after="0"/>
              <w:rPr>
                <w:sz w:val="15"/>
                <w:szCs w:val="15"/>
                <w:color w:val="auto"/>
              </w:rPr>
            </w:pPr>
          </w:p>
        </w:tc>
        <w:tc>
          <w:tcPr>
            <w:tcW w:w="760" w:type="dxa"/>
            <w:vAlign w:val="bottom"/>
            <w:tcBorders>
              <w:top w:val="single" w:sz="8" w:color="AF0000"/>
            </w:tcBorders>
          </w:tcPr>
          <w:p>
            <w:pPr>
              <w:spacing w:after="0"/>
              <w:rPr>
                <w:sz w:val="15"/>
                <w:szCs w:val="15"/>
                <w:color w:val="auto"/>
              </w:rPr>
            </w:pPr>
          </w:p>
        </w:tc>
        <w:tc>
          <w:tcPr>
            <w:tcW w:w="720" w:type="dxa"/>
            <w:vAlign w:val="bottom"/>
            <w:tcBorders>
              <w:top w:val="single" w:sz="8" w:color="AF0000"/>
            </w:tcBorders>
          </w:tcPr>
          <w:p>
            <w:pPr>
              <w:spacing w:after="0"/>
              <w:rPr>
                <w:sz w:val="15"/>
                <w:szCs w:val="15"/>
                <w:color w:val="auto"/>
              </w:rPr>
            </w:pPr>
          </w:p>
        </w:tc>
        <w:tc>
          <w:tcPr>
            <w:tcW w:w="1000" w:type="dxa"/>
            <w:vAlign w:val="bottom"/>
            <w:tcBorders>
              <w:top w:val="single" w:sz="8" w:color="AF0000"/>
            </w:tcBorders>
          </w:tcPr>
          <w:p>
            <w:pPr>
              <w:jc w:val="center"/>
              <w:spacing w:after="0"/>
              <w:rPr>
                <w:sz w:val="20"/>
                <w:szCs w:val="20"/>
                <w:color w:val="auto"/>
              </w:rPr>
            </w:pPr>
            <w:r>
              <w:rPr>
                <w:rFonts w:ascii="Calibri" w:cs="Calibri" w:eastAsia="Calibri" w:hAnsi="Calibri"/>
                <w:sz w:val="14"/>
                <w:szCs w:val="14"/>
                <w:b w:val="1"/>
                <w:bCs w:val="1"/>
                <w:color w:val="auto"/>
              </w:rPr>
              <w:t>Non-Equity</w:t>
            </w:r>
          </w:p>
        </w:tc>
        <w:tc>
          <w:tcPr>
            <w:tcW w:w="1040" w:type="dxa"/>
            <w:vAlign w:val="bottom"/>
            <w:tcBorders>
              <w:top w:val="single" w:sz="8" w:color="AF0000"/>
            </w:tcBorders>
          </w:tcPr>
          <w:p>
            <w:pPr>
              <w:spacing w:after="0"/>
              <w:rPr>
                <w:sz w:val="15"/>
                <w:szCs w:val="15"/>
                <w:color w:val="auto"/>
              </w:rPr>
            </w:pPr>
          </w:p>
        </w:tc>
        <w:tc>
          <w:tcPr>
            <w:tcW w:w="820" w:type="dxa"/>
            <w:vAlign w:val="bottom"/>
            <w:tcBorders>
              <w:top w:val="single" w:sz="8" w:color="AF0000"/>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vMerge w:val="restart"/>
          </w:tcPr>
          <w:p>
            <w:pPr>
              <w:jc w:val="right"/>
              <w:ind w:right="128"/>
              <w:spacing w:after="0"/>
              <w:rPr>
                <w:sz w:val="20"/>
                <w:szCs w:val="20"/>
                <w:color w:val="auto"/>
              </w:rPr>
            </w:pPr>
            <w:r>
              <w:rPr>
                <w:rFonts w:ascii="Calibri" w:cs="Calibri" w:eastAsia="Calibri" w:hAnsi="Calibri"/>
                <w:sz w:val="14"/>
                <w:szCs w:val="14"/>
                <w:b w:val="1"/>
                <w:bCs w:val="1"/>
                <w:color w:val="auto"/>
              </w:rPr>
              <w:t>Salary</w:t>
            </w:r>
          </w:p>
        </w:tc>
        <w:tc>
          <w:tcPr>
            <w:tcW w:w="640" w:type="dxa"/>
            <w:vAlign w:val="bottom"/>
            <w:vMerge w:val="restart"/>
          </w:tcPr>
          <w:p>
            <w:pPr>
              <w:jc w:val="right"/>
              <w:ind w:right="89"/>
              <w:spacing w:after="0"/>
              <w:rPr>
                <w:sz w:val="20"/>
                <w:szCs w:val="20"/>
                <w:color w:val="auto"/>
              </w:rPr>
            </w:pPr>
            <w:r>
              <w:rPr>
                <w:rFonts w:ascii="Calibri" w:cs="Calibri" w:eastAsia="Calibri" w:hAnsi="Calibri"/>
                <w:sz w:val="14"/>
                <w:szCs w:val="14"/>
                <w:b w:val="1"/>
                <w:bCs w:val="1"/>
                <w:color w:val="auto"/>
              </w:rPr>
              <w:t>Bonus</w:t>
            </w:r>
          </w:p>
        </w:tc>
        <w:tc>
          <w:tcPr>
            <w:tcW w:w="760" w:type="dxa"/>
            <w:vAlign w:val="bottom"/>
          </w:tcPr>
          <w:p>
            <w:pPr>
              <w:jc w:val="right"/>
              <w:ind w:right="189"/>
              <w:spacing w:after="0"/>
              <w:rPr>
                <w:sz w:val="20"/>
                <w:szCs w:val="20"/>
                <w:color w:val="auto"/>
              </w:rPr>
            </w:pPr>
            <w:r>
              <w:rPr>
                <w:rFonts w:ascii="Calibri" w:cs="Calibri" w:eastAsia="Calibri" w:hAnsi="Calibri"/>
                <w:sz w:val="14"/>
                <w:szCs w:val="14"/>
                <w:b w:val="1"/>
                <w:bCs w:val="1"/>
                <w:color w:val="auto"/>
              </w:rPr>
              <w:t>Stock</w:t>
            </w:r>
          </w:p>
        </w:tc>
        <w:tc>
          <w:tcPr>
            <w:tcW w:w="720" w:type="dxa"/>
            <w:vAlign w:val="bottom"/>
          </w:tcPr>
          <w:p>
            <w:pPr>
              <w:jc w:val="right"/>
              <w:ind w:right="89"/>
              <w:spacing w:after="0"/>
              <w:rPr>
                <w:sz w:val="20"/>
                <w:szCs w:val="20"/>
                <w:color w:val="auto"/>
              </w:rPr>
            </w:pPr>
            <w:r>
              <w:rPr>
                <w:rFonts w:ascii="Calibri" w:cs="Calibri" w:eastAsia="Calibri" w:hAnsi="Calibri"/>
                <w:sz w:val="14"/>
                <w:szCs w:val="14"/>
                <w:b w:val="1"/>
                <w:bCs w:val="1"/>
                <w:color w:val="auto"/>
              </w:rPr>
              <w:t>Opton</w:t>
            </w: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Incentve Plan</w:t>
            </w: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All Other</w:t>
            </w:r>
          </w:p>
        </w:tc>
        <w:tc>
          <w:tcPr>
            <w:tcW w:w="820" w:type="dxa"/>
            <w:vAlign w:val="bottom"/>
            <w:vMerge w:val="restart"/>
          </w:tcPr>
          <w:p>
            <w:pPr>
              <w:jc w:val="right"/>
              <w:ind w:right="208"/>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8"/>
        </w:trPr>
        <w:tc>
          <w:tcPr>
            <w:tcW w:w="2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60" w:type="dxa"/>
            <w:vAlign w:val="bottom"/>
          </w:tcPr>
          <w:p>
            <w:pPr>
              <w:jc w:val="right"/>
              <w:ind w:right="129"/>
              <w:spacing w:after="0" w:line="168" w:lineRule="exact"/>
              <w:rPr>
                <w:sz w:val="20"/>
                <w:szCs w:val="20"/>
                <w:color w:val="auto"/>
              </w:rPr>
            </w:pPr>
            <w:r>
              <w:rPr>
                <w:rFonts w:ascii="Calibri" w:cs="Calibri" w:eastAsia="Calibri" w:hAnsi="Calibri"/>
                <w:sz w:val="14"/>
                <w:szCs w:val="14"/>
                <w:b w:val="1"/>
                <w:bCs w:val="1"/>
                <w:color w:val="auto"/>
              </w:rPr>
              <w:t>Awards</w:t>
            </w:r>
          </w:p>
        </w:tc>
        <w:tc>
          <w:tcPr>
            <w:tcW w:w="720" w:type="dxa"/>
            <w:vAlign w:val="bottom"/>
          </w:tcPr>
          <w:p>
            <w:pPr>
              <w:jc w:val="right"/>
              <w:ind w:right="89"/>
              <w:spacing w:after="0" w:line="168" w:lineRule="exact"/>
              <w:rPr>
                <w:sz w:val="20"/>
                <w:szCs w:val="20"/>
                <w:color w:val="auto"/>
              </w:rPr>
            </w:pPr>
            <w:r>
              <w:rPr>
                <w:rFonts w:ascii="Calibri" w:cs="Calibri" w:eastAsia="Calibri" w:hAnsi="Calibri"/>
                <w:sz w:val="14"/>
                <w:szCs w:val="14"/>
                <w:b w:val="1"/>
                <w:bCs w:val="1"/>
                <w:color w:val="auto"/>
              </w:rPr>
              <w:t>Awards</w:t>
            </w:r>
          </w:p>
        </w:tc>
        <w:tc>
          <w:tcPr>
            <w:tcW w:w="100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Compensaton</w:t>
            </w:r>
          </w:p>
        </w:tc>
        <w:tc>
          <w:tcPr>
            <w:tcW w:w="104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Compensaton</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80" w:type="dxa"/>
            <w:vAlign w:val="bottom"/>
            <w:tcBorders>
              <w:bottom w:val="single" w:sz="8" w:color="AF0000"/>
            </w:tcBorders>
          </w:tcPr>
          <w:p>
            <w:pPr>
              <w:spacing w:after="0"/>
              <w:rPr>
                <w:sz w:val="20"/>
                <w:szCs w:val="20"/>
                <w:color w:val="auto"/>
              </w:rPr>
            </w:pPr>
            <w:r>
              <w:rPr>
                <w:rFonts w:ascii="Calibri" w:cs="Calibri" w:eastAsia="Calibri" w:hAnsi="Calibri"/>
                <w:sz w:val="14"/>
                <w:szCs w:val="14"/>
                <w:b w:val="1"/>
                <w:bCs w:val="1"/>
                <w:color w:val="auto"/>
              </w:rPr>
              <w:t>Name and Positon</w:t>
            </w:r>
          </w:p>
        </w:tc>
        <w:tc>
          <w:tcPr>
            <w:tcW w:w="500" w:type="dxa"/>
            <w:vAlign w:val="bottom"/>
            <w:tcBorders>
              <w:bottom w:val="single" w:sz="8" w:color="AF0000"/>
            </w:tcBorders>
          </w:tcPr>
          <w:p>
            <w:pPr>
              <w:ind w:left="120"/>
              <w:spacing w:after="0"/>
              <w:rPr>
                <w:sz w:val="20"/>
                <w:szCs w:val="20"/>
                <w:color w:val="auto"/>
              </w:rPr>
            </w:pPr>
            <w:r>
              <w:rPr>
                <w:rFonts w:ascii="Calibri" w:cs="Calibri" w:eastAsia="Calibri" w:hAnsi="Calibri"/>
                <w:sz w:val="14"/>
                <w:szCs w:val="14"/>
                <w:b w:val="1"/>
                <w:bCs w:val="1"/>
                <w:color w:val="auto"/>
              </w:rPr>
              <w:t>Year</w:t>
            </w:r>
          </w:p>
        </w:tc>
        <w:tc>
          <w:tcPr>
            <w:tcW w:w="720" w:type="dxa"/>
            <w:vAlign w:val="bottom"/>
            <w:tcBorders>
              <w:bottom w:val="single" w:sz="8" w:color="AF0000"/>
            </w:tcBorders>
          </w:tcPr>
          <w:p>
            <w:pPr>
              <w:jc w:val="right"/>
              <w:ind w:right="228"/>
              <w:spacing w:after="0"/>
              <w:rPr>
                <w:sz w:val="20"/>
                <w:szCs w:val="20"/>
                <w:color w:val="auto"/>
              </w:rPr>
            </w:pPr>
            <w:r>
              <w:rPr>
                <w:rFonts w:ascii="Calibri" w:cs="Calibri" w:eastAsia="Calibri" w:hAnsi="Calibri"/>
                <w:sz w:val="14"/>
                <w:szCs w:val="14"/>
                <w:b w:val="1"/>
                <w:bCs w:val="1"/>
                <w:color w:val="auto"/>
              </w:rPr>
              <w:t>($)</w:t>
            </w:r>
          </w:p>
        </w:tc>
        <w:tc>
          <w:tcPr>
            <w:tcW w:w="640" w:type="dxa"/>
            <w:vAlign w:val="bottom"/>
            <w:tcBorders>
              <w:bottom w:val="single" w:sz="8" w:color="AF0000"/>
            </w:tcBorders>
          </w:tcPr>
          <w:p>
            <w:pPr>
              <w:jc w:val="right"/>
              <w:ind w:right="129"/>
              <w:spacing w:after="0" w:line="203" w:lineRule="exact"/>
              <w:rPr>
                <w:sz w:val="20"/>
                <w:szCs w:val="20"/>
                <w:color w:val="auto"/>
              </w:rPr>
            </w:pPr>
            <w:r>
              <w:rPr>
                <w:rFonts w:ascii="Calibri" w:cs="Calibri" w:eastAsia="Calibri" w:hAnsi="Calibri"/>
                <w:sz w:val="22"/>
                <w:szCs w:val="22"/>
                <w:b w:val="1"/>
                <w:bCs w:val="1"/>
                <w:color w:val="auto"/>
                <w:vertAlign w:val="subscript"/>
              </w:rPr>
              <w:t>($)</w:t>
            </w:r>
            <w:r>
              <w:rPr>
                <w:rFonts w:ascii="Calibri" w:cs="Calibri" w:eastAsia="Calibri" w:hAnsi="Calibri"/>
                <w:sz w:val="10"/>
                <w:szCs w:val="10"/>
                <w:b w:val="1"/>
                <w:bCs w:val="1"/>
                <w:color w:val="auto"/>
              </w:rPr>
              <w:t>(1)</w:t>
            </w:r>
          </w:p>
        </w:tc>
        <w:tc>
          <w:tcPr>
            <w:tcW w:w="760" w:type="dxa"/>
            <w:vAlign w:val="bottom"/>
            <w:tcBorders>
              <w:bottom w:val="single" w:sz="8" w:color="AF0000"/>
            </w:tcBorders>
          </w:tcPr>
          <w:p>
            <w:pPr>
              <w:jc w:val="right"/>
              <w:ind w:right="129"/>
              <w:spacing w:after="0" w:line="203" w:lineRule="exact"/>
              <w:rPr>
                <w:sz w:val="20"/>
                <w:szCs w:val="20"/>
                <w:color w:val="auto"/>
              </w:rPr>
            </w:pPr>
            <w:r>
              <w:rPr>
                <w:rFonts w:ascii="Calibri" w:cs="Calibri" w:eastAsia="Calibri" w:hAnsi="Calibri"/>
                <w:sz w:val="22"/>
                <w:szCs w:val="22"/>
                <w:b w:val="1"/>
                <w:bCs w:val="1"/>
                <w:color w:val="auto"/>
                <w:vertAlign w:val="subscript"/>
              </w:rPr>
              <w:t>($)</w:t>
            </w:r>
            <w:r>
              <w:rPr>
                <w:rFonts w:ascii="Calibri" w:cs="Calibri" w:eastAsia="Calibri" w:hAnsi="Calibri"/>
                <w:sz w:val="10"/>
                <w:szCs w:val="10"/>
                <w:b w:val="1"/>
                <w:bCs w:val="1"/>
                <w:color w:val="auto"/>
              </w:rPr>
              <w:t>(2)(3)</w:t>
            </w:r>
          </w:p>
        </w:tc>
        <w:tc>
          <w:tcPr>
            <w:tcW w:w="720" w:type="dxa"/>
            <w:vAlign w:val="bottom"/>
            <w:tcBorders>
              <w:bottom w:val="single" w:sz="8" w:color="AF0000"/>
            </w:tcBorders>
          </w:tcPr>
          <w:p>
            <w:pPr>
              <w:jc w:val="right"/>
              <w:ind w:right="89"/>
              <w:spacing w:after="0" w:line="203" w:lineRule="exact"/>
              <w:rPr>
                <w:sz w:val="20"/>
                <w:szCs w:val="20"/>
                <w:color w:val="auto"/>
              </w:rPr>
            </w:pPr>
            <w:r>
              <w:rPr>
                <w:rFonts w:ascii="Calibri" w:cs="Calibri" w:eastAsia="Calibri" w:hAnsi="Calibri"/>
                <w:sz w:val="22"/>
                <w:szCs w:val="22"/>
                <w:b w:val="1"/>
                <w:bCs w:val="1"/>
                <w:color w:val="auto"/>
                <w:vertAlign w:val="subscript"/>
              </w:rPr>
              <w:t>($)</w:t>
            </w:r>
            <w:r>
              <w:rPr>
                <w:rFonts w:ascii="Calibri" w:cs="Calibri" w:eastAsia="Calibri" w:hAnsi="Calibri"/>
                <w:sz w:val="10"/>
                <w:szCs w:val="10"/>
                <w:b w:val="1"/>
                <w:bCs w:val="1"/>
                <w:color w:val="auto"/>
              </w:rPr>
              <w:t>(3)(4)</w:t>
            </w:r>
          </w:p>
        </w:tc>
        <w:tc>
          <w:tcPr>
            <w:tcW w:w="1000" w:type="dxa"/>
            <w:vAlign w:val="bottom"/>
            <w:tcBorders>
              <w:bottom w:val="single" w:sz="8" w:color="AF0000"/>
            </w:tcBorders>
          </w:tcPr>
          <w:p>
            <w:pPr>
              <w:jc w:val="center"/>
              <w:spacing w:after="0" w:line="203" w:lineRule="exact"/>
              <w:rPr>
                <w:sz w:val="20"/>
                <w:szCs w:val="20"/>
                <w:color w:val="auto"/>
              </w:rPr>
            </w:pPr>
            <w:r>
              <w:rPr>
                <w:rFonts w:ascii="Calibri" w:cs="Calibri" w:eastAsia="Calibri" w:hAnsi="Calibri"/>
                <w:sz w:val="22"/>
                <w:szCs w:val="22"/>
                <w:b w:val="1"/>
                <w:bCs w:val="1"/>
                <w:color w:val="auto"/>
                <w:vertAlign w:val="subscript"/>
              </w:rPr>
              <w:t>($)</w:t>
            </w:r>
            <w:r>
              <w:rPr>
                <w:rFonts w:ascii="Calibri" w:cs="Calibri" w:eastAsia="Calibri" w:hAnsi="Calibri"/>
                <w:sz w:val="10"/>
                <w:szCs w:val="10"/>
                <w:b w:val="1"/>
                <w:bCs w:val="1"/>
                <w:color w:val="auto"/>
              </w:rPr>
              <w:t>(5)</w:t>
            </w:r>
          </w:p>
        </w:tc>
        <w:tc>
          <w:tcPr>
            <w:tcW w:w="1040" w:type="dxa"/>
            <w:vAlign w:val="bottom"/>
            <w:tcBorders>
              <w:bottom w:val="single" w:sz="8" w:color="AF0000"/>
            </w:tcBorders>
          </w:tcPr>
          <w:p>
            <w:pPr>
              <w:jc w:val="center"/>
              <w:spacing w:after="0" w:line="203" w:lineRule="exact"/>
              <w:rPr>
                <w:sz w:val="20"/>
                <w:szCs w:val="20"/>
                <w:color w:val="auto"/>
              </w:rPr>
            </w:pPr>
            <w:r>
              <w:rPr>
                <w:rFonts w:ascii="Calibri" w:cs="Calibri" w:eastAsia="Calibri" w:hAnsi="Calibri"/>
                <w:sz w:val="22"/>
                <w:szCs w:val="22"/>
                <w:b w:val="1"/>
                <w:bCs w:val="1"/>
                <w:color w:val="auto"/>
                <w:vertAlign w:val="subscript"/>
              </w:rPr>
              <w:t>($)</w:t>
            </w:r>
            <w:r>
              <w:rPr>
                <w:rFonts w:ascii="Calibri" w:cs="Calibri" w:eastAsia="Calibri" w:hAnsi="Calibri"/>
                <w:sz w:val="10"/>
                <w:szCs w:val="10"/>
                <w:b w:val="1"/>
                <w:bCs w:val="1"/>
                <w:color w:val="auto"/>
              </w:rPr>
              <w:t>(6)(7)</w:t>
            </w:r>
          </w:p>
        </w:tc>
        <w:tc>
          <w:tcPr>
            <w:tcW w:w="820" w:type="dxa"/>
            <w:vAlign w:val="bottom"/>
            <w:tcBorders>
              <w:bottom w:val="single" w:sz="8" w:color="AF0000"/>
            </w:tcBorders>
          </w:tcPr>
          <w:p>
            <w:pPr>
              <w:jc w:val="right"/>
              <w:ind w:right="288"/>
              <w:spacing w:after="0"/>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148"/>
        </w:trPr>
        <w:tc>
          <w:tcPr>
            <w:tcW w:w="2380" w:type="dxa"/>
            <w:vAlign w:val="bottom"/>
          </w:tcPr>
          <w:p>
            <w:pPr>
              <w:spacing w:after="0" w:line="148" w:lineRule="exact"/>
              <w:rPr>
                <w:sz w:val="20"/>
                <w:szCs w:val="20"/>
                <w:color w:val="auto"/>
              </w:rPr>
            </w:pPr>
            <w:r>
              <w:rPr>
                <w:rFonts w:ascii="Calibri" w:cs="Calibri" w:eastAsia="Calibri" w:hAnsi="Calibri"/>
                <w:sz w:val="14"/>
                <w:szCs w:val="14"/>
                <w:b w:val="1"/>
                <w:bCs w:val="1"/>
                <w:color w:val="auto"/>
              </w:rPr>
              <w:t>Fred P. Lampropoulos</w:t>
            </w:r>
          </w:p>
        </w:tc>
        <w:tc>
          <w:tcPr>
            <w:tcW w:w="500" w:type="dxa"/>
            <w:vAlign w:val="bottom"/>
          </w:tcPr>
          <w:p>
            <w:pPr>
              <w:ind w:left="100"/>
              <w:spacing w:after="0" w:line="148" w:lineRule="exact"/>
              <w:rPr>
                <w:sz w:val="20"/>
                <w:szCs w:val="20"/>
                <w:color w:val="auto"/>
              </w:rPr>
            </w:pPr>
            <w:r>
              <w:rPr>
                <w:rFonts w:ascii="Calibri" w:cs="Calibri" w:eastAsia="Calibri" w:hAnsi="Calibri"/>
                <w:sz w:val="14"/>
                <w:szCs w:val="14"/>
                <w:color w:val="auto"/>
              </w:rPr>
              <w:t>2023</w:t>
            </w:r>
          </w:p>
        </w:tc>
        <w:tc>
          <w:tcPr>
            <w:tcW w:w="720" w:type="dxa"/>
            <w:vAlign w:val="bottom"/>
          </w:tcPr>
          <w:p>
            <w:pPr>
              <w:jc w:val="right"/>
              <w:spacing w:after="0" w:line="148" w:lineRule="exact"/>
              <w:rPr>
                <w:sz w:val="20"/>
                <w:szCs w:val="20"/>
                <w:color w:val="auto"/>
              </w:rPr>
            </w:pPr>
            <w:r>
              <w:rPr>
                <w:rFonts w:ascii="Calibri" w:cs="Calibri" w:eastAsia="Calibri" w:hAnsi="Calibri"/>
                <w:sz w:val="14"/>
                <w:szCs w:val="14"/>
                <w:color w:val="auto"/>
              </w:rPr>
              <w:t>1,888,269</w:t>
            </w:r>
          </w:p>
        </w:tc>
        <w:tc>
          <w:tcPr>
            <w:tcW w:w="640" w:type="dxa"/>
            <w:vAlign w:val="bottom"/>
          </w:tcPr>
          <w:p>
            <w:pPr>
              <w:jc w:val="right"/>
              <w:ind w:right="49"/>
              <w:spacing w:after="0" w:line="148" w:lineRule="exact"/>
              <w:rPr>
                <w:sz w:val="20"/>
                <w:szCs w:val="20"/>
                <w:color w:val="auto"/>
              </w:rPr>
            </w:pPr>
            <w:r>
              <w:rPr>
                <w:rFonts w:ascii="Calibri" w:cs="Calibri" w:eastAsia="Calibri" w:hAnsi="Calibri"/>
                <w:sz w:val="14"/>
                <w:szCs w:val="14"/>
                <w:color w:val="auto"/>
              </w:rPr>
              <w:t>—</w:t>
            </w:r>
          </w:p>
        </w:tc>
        <w:tc>
          <w:tcPr>
            <w:tcW w:w="760" w:type="dxa"/>
            <w:vAlign w:val="bottom"/>
          </w:tcPr>
          <w:p>
            <w:pPr>
              <w:jc w:val="right"/>
              <w:ind w:right="9"/>
              <w:spacing w:after="0" w:line="148" w:lineRule="exact"/>
              <w:rPr>
                <w:sz w:val="20"/>
                <w:szCs w:val="20"/>
                <w:color w:val="auto"/>
              </w:rPr>
            </w:pPr>
            <w:r>
              <w:rPr>
                <w:rFonts w:ascii="Calibri" w:cs="Calibri" w:eastAsia="Calibri" w:hAnsi="Calibri"/>
                <w:sz w:val="14"/>
                <w:szCs w:val="14"/>
                <w:color w:val="auto"/>
              </w:rPr>
              <w:t>5,216,227</w:t>
            </w:r>
          </w:p>
        </w:tc>
        <w:tc>
          <w:tcPr>
            <w:tcW w:w="720" w:type="dxa"/>
            <w:vAlign w:val="bottom"/>
          </w:tcPr>
          <w:p>
            <w:pPr>
              <w:jc w:val="right"/>
              <w:spacing w:after="0" w:line="148" w:lineRule="exact"/>
              <w:rPr>
                <w:sz w:val="20"/>
                <w:szCs w:val="20"/>
                <w:color w:val="auto"/>
              </w:rPr>
            </w:pPr>
            <w:r>
              <w:rPr>
                <w:rFonts w:ascii="Calibri" w:cs="Calibri" w:eastAsia="Calibri" w:hAnsi="Calibri"/>
                <w:sz w:val="14"/>
                <w:szCs w:val="14"/>
                <w:color w:val="auto"/>
              </w:rPr>
              <w:t>1,599,987</w:t>
            </w:r>
          </w:p>
        </w:tc>
        <w:tc>
          <w:tcPr>
            <w:tcW w:w="1000" w:type="dxa"/>
            <w:vAlign w:val="bottom"/>
          </w:tcPr>
          <w:p>
            <w:pPr>
              <w:jc w:val="right"/>
              <w:spacing w:after="0" w:line="148" w:lineRule="exact"/>
              <w:rPr>
                <w:sz w:val="20"/>
                <w:szCs w:val="20"/>
                <w:color w:val="auto"/>
              </w:rPr>
            </w:pPr>
            <w:r>
              <w:rPr>
                <w:rFonts w:ascii="Calibri" w:cs="Calibri" w:eastAsia="Calibri" w:hAnsi="Calibri"/>
                <w:sz w:val="14"/>
                <w:szCs w:val="14"/>
                <w:color w:val="auto"/>
              </w:rPr>
              <w:t>1,339,481</w:t>
            </w:r>
          </w:p>
        </w:tc>
        <w:tc>
          <w:tcPr>
            <w:tcW w:w="1040" w:type="dxa"/>
            <w:vAlign w:val="bottom"/>
          </w:tcPr>
          <w:p>
            <w:pPr>
              <w:jc w:val="right"/>
              <w:ind w:right="29"/>
              <w:spacing w:after="0" w:line="148" w:lineRule="exact"/>
              <w:rPr>
                <w:sz w:val="20"/>
                <w:szCs w:val="20"/>
                <w:color w:val="auto"/>
              </w:rPr>
            </w:pPr>
            <w:r>
              <w:rPr>
                <w:rFonts w:ascii="Calibri" w:cs="Calibri" w:eastAsia="Calibri" w:hAnsi="Calibri"/>
                <w:sz w:val="14"/>
                <w:szCs w:val="14"/>
                <w:color w:val="auto"/>
              </w:rPr>
              <w:t>8,700</w:t>
            </w:r>
          </w:p>
        </w:tc>
        <w:tc>
          <w:tcPr>
            <w:tcW w:w="820" w:type="dxa"/>
            <w:vAlign w:val="bottom"/>
          </w:tcPr>
          <w:p>
            <w:pPr>
              <w:jc w:val="right"/>
              <w:spacing w:after="0" w:line="148" w:lineRule="exact"/>
              <w:rPr>
                <w:sz w:val="20"/>
                <w:szCs w:val="20"/>
                <w:color w:val="auto"/>
              </w:rPr>
            </w:pPr>
            <w:r>
              <w:rPr>
                <w:rFonts w:ascii="Calibri" w:cs="Calibri" w:eastAsia="Calibri" w:hAnsi="Calibri"/>
                <w:sz w:val="14"/>
                <w:szCs w:val="14"/>
                <w:color w:val="auto"/>
              </w:rPr>
              <w:t>10,052,664</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alibri" w:cs="Calibri" w:eastAsia="Calibri" w:hAnsi="Calibri"/>
                <w:sz w:val="14"/>
                <w:szCs w:val="14"/>
                <w:i w:val="1"/>
                <w:iCs w:val="1"/>
                <w:color w:val="auto"/>
              </w:rPr>
              <w:t>Chair of the Board, CEO and President</w:t>
            </w:r>
          </w:p>
        </w:tc>
        <w:tc>
          <w:tcPr>
            <w:tcW w:w="500" w:type="dxa"/>
            <w:vAlign w:val="bottom"/>
          </w:tcPr>
          <w:p>
            <w:pPr>
              <w:ind w:left="100"/>
              <w:spacing w:after="0"/>
              <w:rPr>
                <w:sz w:val="20"/>
                <w:szCs w:val="20"/>
                <w:color w:val="auto"/>
              </w:rPr>
            </w:pPr>
            <w:r>
              <w:rPr>
                <w:rFonts w:ascii="Calibri" w:cs="Calibri" w:eastAsia="Calibri" w:hAnsi="Calibri"/>
                <w:sz w:val="14"/>
                <w:szCs w:val="14"/>
                <w:color w:val="auto"/>
              </w:rPr>
              <w:t>2022</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1,800,000</w:t>
            </w:r>
          </w:p>
        </w:tc>
        <w:tc>
          <w:tcPr>
            <w:tcW w:w="640" w:type="dxa"/>
            <w:vAlign w:val="bottom"/>
          </w:tcPr>
          <w:p>
            <w:pPr>
              <w:jc w:val="right"/>
              <w:ind w:right="49"/>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9"/>
              <w:spacing w:after="0"/>
              <w:rPr>
                <w:sz w:val="20"/>
                <w:szCs w:val="20"/>
                <w:color w:val="auto"/>
              </w:rPr>
            </w:pPr>
            <w:r>
              <w:rPr>
                <w:rFonts w:ascii="Calibri" w:cs="Calibri" w:eastAsia="Calibri" w:hAnsi="Calibri"/>
                <w:sz w:val="14"/>
                <w:szCs w:val="14"/>
                <w:color w:val="auto"/>
              </w:rPr>
              <w:t>4,130,104</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1,199,993</w:t>
            </w:r>
          </w:p>
        </w:tc>
        <w:tc>
          <w:tcPr>
            <w:tcW w:w="1000" w:type="dxa"/>
            <w:vAlign w:val="bottom"/>
          </w:tcPr>
          <w:p>
            <w:pPr>
              <w:jc w:val="right"/>
              <w:spacing w:after="0"/>
              <w:rPr>
                <w:sz w:val="20"/>
                <w:szCs w:val="20"/>
                <w:color w:val="auto"/>
              </w:rPr>
            </w:pPr>
            <w:r>
              <w:rPr>
                <w:rFonts w:ascii="Calibri" w:cs="Calibri" w:eastAsia="Calibri" w:hAnsi="Calibri"/>
                <w:sz w:val="14"/>
                <w:szCs w:val="14"/>
                <w:color w:val="auto"/>
              </w:rPr>
              <w:t>990,036</w:t>
            </w:r>
          </w:p>
        </w:tc>
        <w:tc>
          <w:tcPr>
            <w:tcW w:w="1040" w:type="dxa"/>
            <w:vAlign w:val="bottom"/>
          </w:tcPr>
          <w:p>
            <w:pPr>
              <w:jc w:val="right"/>
              <w:ind w:right="29"/>
              <w:spacing w:after="0"/>
              <w:rPr>
                <w:sz w:val="20"/>
                <w:szCs w:val="20"/>
                <w:color w:val="auto"/>
              </w:rPr>
            </w:pPr>
            <w:r>
              <w:rPr>
                <w:rFonts w:ascii="Calibri" w:cs="Calibri" w:eastAsia="Calibri" w:hAnsi="Calibri"/>
                <w:sz w:val="14"/>
                <w:szCs w:val="14"/>
                <w:color w:val="auto"/>
              </w:rPr>
              <w:t>8,700</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8,128,833</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alibri" w:cs="Calibri" w:eastAsia="Calibri" w:hAnsi="Calibri"/>
                <w:sz w:val="14"/>
                <w:szCs w:val="14"/>
                <w:color w:val="auto"/>
              </w:rPr>
              <w:t>2021</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1,800,000</w:t>
            </w:r>
          </w:p>
        </w:tc>
        <w:tc>
          <w:tcPr>
            <w:tcW w:w="640" w:type="dxa"/>
            <w:vAlign w:val="bottom"/>
          </w:tcPr>
          <w:p>
            <w:pPr>
              <w:jc w:val="right"/>
              <w:ind w:right="49"/>
              <w:spacing w:after="0"/>
              <w:rPr>
                <w:sz w:val="20"/>
                <w:szCs w:val="20"/>
                <w:color w:val="auto"/>
              </w:rPr>
            </w:pPr>
            <w:r>
              <w:rPr>
                <w:rFonts w:ascii="Calibri" w:cs="Calibri" w:eastAsia="Calibri" w:hAnsi="Calibri"/>
                <w:sz w:val="14"/>
                <w:szCs w:val="14"/>
                <w:color w:val="auto"/>
              </w:rPr>
              <w:t>458,501</w:t>
            </w:r>
          </w:p>
        </w:tc>
        <w:tc>
          <w:tcPr>
            <w:tcW w:w="760" w:type="dxa"/>
            <w:vAlign w:val="bottom"/>
          </w:tcPr>
          <w:p>
            <w:pPr>
              <w:jc w:val="right"/>
              <w:ind w:right="9"/>
              <w:spacing w:after="0"/>
              <w:rPr>
                <w:sz w:val="20"/>
                <w:szCs w:val="20"/>
                <w:color w:val="auto"/>
              </w:rPr>
            </w:pPr>
            <w:r>
              <w:rPr>
                <w:rFonts w:ascii="Calibri" w:cs="Calibri" w:eastAsia="Calibri" w:hAnsi="Calibri"/>
                <w:sz w:val="14"/>
                <w:szCs w:val="14"/>
                <w:color w:val="auto"/>
              </w:rPr>
              <w:t>2,946,700</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1,200,059</w:t>
            </w:r>
          </w:p>
        </w:tc>
        <w:tc>
          <w:tcPr>
            <w:tcW w:w="1000" w:type="dxa"/>
            <w:vAlign w:val="bottom"/>
          </w:tcPr>
          <w:p>
            <w:pPr>
              <w:jc w:val="right"/>
              <w:spacing w:after="0"/>
              <w:rPr>
                <w:sz w:val="20"/>
                <w:szCs w:val="20"/>
                <w:color w:val="auto"/>
              </w:rPr>
            </w:pPr>
            <w:r>
              <w:rPr>
                <w:rFonts w:ascii="Calibri" w:cs="Calibri" w:eastAsia="Calibri" w:hAnsi="Calibri"/>
                <w:sz w:val="14"/>
                <w:szCs w:val="14"/>
                <w:color w:val="auto"/>
              </w:rPr>
              <w:t>1,131,840</w:t>
            </w:r>
          </w:p>
        </w:tc>
        <w:tc>
          <w:tcPr>
            <w:tcW w:w="1040" w:type="dxa"/>
            <w:vAlign w:val="bottom"/>
          </w:tcPr>
          <w:p>
            <w:pPr>
              <w:jc w:val="right"/>
              <w:ind w:right="29"/>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7,537,100</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380" w:type="dxa"/>
            <w:vAlign w:val="bottom"/>
          </w:tcPr>
          <w:p>
            <w:pPr>
              <w:spacing w:after="0" w:line="141" w:lineRule="exact"/>
              <w:rPr>
                <w:sz w:val="20"/>
                <w:szCs w:val="20"/>
                <w:color w:val="auto"/>
              </w:rPr>
            </w:pPr>
            <w:r>
              <w:rPr>
                <w:rFonts w:ascii="Calibri" w:cs="Calibri" w:eastAsia="Calibri" w:hAnsi="Calibri"/>
                <w:sz w:val="14"/>
                <w:szCs w:val="14"/>
                <w:b w:val="1"/>
                <w:bCs w:val="1"/>
                <w:color w:val="auto"/>
              </w:rPr>
              <w:t>Raul Parra</w:t>
            </w:r>
          </w:p>
        </w:tc>
        <w:tc>
          <w:tcPr>
            <w:tcW w:w="500" w:type="dxa"/>
            <w:vAlign w:val="bottom"/>
          </w:tcPr>
          <w:p>
            <w:pPr>
              <w:ind w:left="100"/>
              <w:spacing w:after="0" w:line="141" w:lineRule="exact"/>
              <w:rPr>
                <w:sz w:val="20"/>
                <w:szCs w:val="20"/>
                <w:color w:val="auto"/>
              </w:rPr>
            </w:pPr>
            <w:r>
              <w:rPr>
                <w:rFonts w:ascii="Calibri" w:cs="Calibri" w:eastAsia="Calibri" w:hAnsi="Calibri"/>
                <w:sz w:val="14"/>
                <w:szCs w:val="14"/>
                <w:color w:val="auto"/>
              </w:rPr>
              <w:t>2023</w:t>
            </w:r>
          </w:p>
        </w:tc>
        <w:tc>
          <w:tcPr>
            <w:tcW w:w="720" w:type="dxa"/>
            <w:vAlign w:val="bottom"/>
          </w:tcPr>
          <w:p>
            <w:pPr>
              <w:jc w:val="right"/>
              <w:spacing w:after="0" w:line="141" w:lineRule="exact"/>
              <w:rPr>
                <w:sz w:val="20"/>
                <w:szCs w:val="20"/>
                <w:color w:val="auto"/>
              </w:rPr>
            </w:pPr>
            <w:r>
              <w:rPr>
                <w:rFonts w:ascii="Calibri" w:cs="Calibri" w:eastAsia="Calibri" w:hAnsi="Calibri"/>
                <w:sz w:val="14"/>
                <w:szCs w:val="14"/>
                <w:color w:val="auto"/>
              </w:rPr>
              <w:t>629,423</w:t>
            </w:r>
          </w:p>
        </w:tc>
        <w:tc>
          <w:tcPr>
            <w:tcW w:w="640" w:type="dxa"/>
            <w:vAlign w:val="bottom"/>
          </w:tcPr>
          <w:p>
            <w:pPr>
              <w:jc w:val="right"/>
              <w:ind w:right="49"/>
              <w:spacing w:after="0" w:line="141" w:lineRule="exact"/>
              <w:rPr>
                <w:sz w:val="20"/>
                <w:szCs w:val="20"/>
                <w:color w:val="auto"/>
              </w:rPr>
            </w:pPr>
            <w:r>
              <w:rPr>
                <w:rFonts w:ascii="Calibri" w:cs="Calibri" w:eastAsia="Calibri" w:hAnsi="Calibri"/>
                <w:sz w:val="14"/>
                <w:szCs w:val="14"/>
                <w:color w:val="auto"/>
              </w:rPr>
              <w:t>—</w:t>
            </w:r>
          </w:p>
        </w:tc>
        <w:tc>
          <w:tcPr>
            <w:tcW w:w="760" w:type="dxa"/>
            <w:vAlign w:val="bottom"/>
          </w:tcPr>
          <w:p>
            <w:pPr>
              <w:jc w:val="right"/>
              <w:ind w:right="9"/>
              <w:spacing w:after="0" w:line="141" w:lineRule="exact"/>
              <w:rPr>
                <w:sz w:val="20"/>
                <w:szCs w:val="20"/>
                <w:color w:val="auto"/>
              </w:rPr>
            </w:pPr>
            <w:r>
              <w:rPr>
                <w:rFonts w:ascii="Calibri" w:cs="Calibri" w:eastAsia="Calibri" w:hAnsi="Calibri"/>
                <w:sz w:val="14"/>
                <w:szCs w:val="14"/>
                <w:color w:val="auto"/>
              </w:rPr>
              <w:t>1,304,054</w:t>
            </w:r>
          </w:p>
        </w:tc>
        <w:tc>
          <w:tcPr>
            <w:tcW w:w="720" w:type="dxa"/>
            <w:vAlign w:val="bottom"/>
          </w:tcPr>
          <w:p>
            <w:pPr>
              <w:jc w:val="right"/>
              <w:spacing w:after="0" w:line="141" w:lineRule="exact"/>
              <w:rPr>
                <w:sz w:val="20"/>
                <w:szCs w:val="20"/>
                <w:color w:val="auto"/>
              </w:rPr>
            </w:pPr>
            <w:r>
              <w:rPr>
                <w:rFonts w:ascii="Calibri" w:cs="Calibri" w:eastAsia="Calibri" w:hAnsi="Calibri"/>
                <w:sz w:val="14"/>
                <w:szCs w:val="14"/>
                <w:color w:val="auto"/>
              </w:rPr>
              <w:t>400,011</w:t>
            </w:r>
          </w:p>
        </w:tc>
        <w:tc>
          <w:tcPr>
            <w:tcW w:w="1000" w:type="dxa"/>
            <w:vAlign w:val="bottom"/>
          </w:tcPr>
          <w:p>
            <w:pPr>
              <w:jc w:val="right"/>
              <w:spacing w:after="0" w:line="141" w:lineRule="exact"/>
              <w:rPr>
                <w:sz w:val="20"/>
                <w:szCs w:val="20"/>
                <w:color w:val="auto"/>
              </w:rPr>
            </w:pPr>
            <w:r>
              <w:rPr>
                <w:rFonts w:ascii="Calibri" w:cs="Calibri" w:eastAsia="Calibri" w:hAnsi="Calibri"/>
                <w:sz w:val="14"/>
                <w:szCs w:val="14"/>
                <w:color w:val="auto"/>
              </w:rPr>
              <w:t>372,078</w:t>
            </w:r>
          </w:p>
        </w:tc>
        <w:tc>
          <w:tcPr>
            <w:tcW w:w="1040" w:type="dxa"/>
            <w:vAlign w:val="bottom"/>
          </w:tcPr>
          <w:p>
            <w:pPr>
              <w:jc w:val="right"/>
              <w:ind w:right="29"/>
              <w:spacing w:after="0" w:line="141" w:lineRule="exact"/>
              <w:rPr>
                <w:sz w:val="20"/>
                <w:szCs w:val="20"/>
                <w:color w:val="auto"/>
              </w:rPr>
            </w:pPr>
            <w:r>
              <w:rPr>
                <w:rFonts w:ascii="Calibri" w:cs="Calibri" w:eastAsia="Calibri" w:hAnsi="Calibri"/>
                <w:sz w:val="14"/>
                <w:szCs w:val="14"/>
                <w:color w:val="auto"/>
              </w:rPr>
              <w:t>68,634</w:t>
            </w:r>
          </w:p>
        </w:tc>
        <w:tc>
          <w:tcPr>
            <w:tcW w:w="820" w:type="dxa"/>
            <w:vAlign w:val="bottom"/>
          </w:tcPr>
          <w:p>
            <w:pPr>
              <w:jc w:val="right"/>
              <w:spacing w:after="0" w:line="141" w:lineRule="exact"/>
              <w:rPr>
                <w:sz w:val="20"/>
                <w:szCs w:val="20"/>
                <w:color w:val="auto"/>
              </w:rPr>
            </w:pPr>
            <w:r>
              <w:rPr>
                <w:rFonts w:ascii="Calibri" w:cs="Calibri" w:eastAsia="Calibri" w:hAnsi="Calibri"/>
                <w:sz w:val="14"/>
                <w:szCs w:val="14"/>
                <w:color w:val="auto"/>
              </w:rPr>
              <w:t>2,774,200</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alibri" w:cs="Calibri" w:eastAsia="Calibri" w:hAnsi="Calibri"/>
                <w:sz w:val="14"/>
                <w:szCs w:val="14"/>
                <w:i w:val="1"/>
                <w:iCs w:val="1"/>
                <w:color w:val="auto"/>
              </w:rPr>
              <w:t>Chief Financial Ofcer and Treasurer</w:t>
            </w:r>
          </w:p>
        </w:tc>
        <w:tc>
          <w:tcPr>
            <w:tcW w:w="500" w:type="dxa"/>
            <w:vAlign w:val="bottom"/>
          </w:tcPr>
          <w:p>
            <w:pPr>
              <w:ind w:left="100"/>
              <w:spacing w:after="0"/>
              <w:rPr>
                <w:sz w:val="20"/>
                <w:szCs w:val="20"/>
                <w:color w:val="auto"/>
              </w:rPr>
            </w:pPr>
            <w:r>
              <w:rPr>
                <w:rFonts w:ascii="Calibri" w:cs="Calibri" w:eastAsia="Calibri" w:hAnsi="Calibri"/>
                <w:sz w:val="14"/>
                <w:szCs w:val="14"/>
                <w:color w:val="auto"/>
              </w:rPr>
              <w:t>2022</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600,000</w:t>
            </w:r>
          </w:p>
        </w:tc>
        <w:tc>
          <w:tcPr>
            <w:tcW w:w="640" w:type="dxa"/>
            <w:vAlign w:val="bottom"/>
          </w:tcPr>
          <w:p>
            <w:pPr>
              <w:jc w:val="right"/>
              <w:ind w:right="49"/>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9"/>
              <w:spacing w:after="0"/>
              <w:rPr>
                <w:sz w:val="20"/>
                <w:szCs w:val="20"/>
                <w:color w:val="auto"/>
              </w:rPr>
            </w:pPr>
            <w:r>
              <w:rPr>
                <w:rFonts w:ascii="Calibri" w:cs="Calibri" w:eastAsia="Calibri" w:hAnsi="Calibri"/>
                <w:sz w:val="14"/>
                <w:szCs w:val="14"/>
                <w:color w:val="auto"/>
              </w:rPr>
              <w:t>1,239,123</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360,003</w:t>
            </w:r>
          </w:p>
        </w:tc>
        <w:tc>
          <w:tcPr>
            <w:tcW w:w="1000" w:type="dxa"/>
            <w:vAlign w:val="bottom"/>
          </w:tcPr>
          <w:p>
            <w:pPr>
              <w:jc w:val="right"/>
              <w:spacing w:after="0"/>
              <w:rPr>
                <w:sz w:val="20"/>
                <w:szCs w:val="20"/>
                <w:color w:val="auto"/>
              </w:rPr>
            </w:pPr>
            <w:r>
              <w:rPr>
                <w:rFonts w:ascii="Calibri" w:cs="Calibri" w:eastAsia="Calibri" w:hAnsi="Calibri"/>
                <w:sz w:val="14"/>
                <w:szCs w:val="14"/>
                <w:color w:val="auto"/>
              </w:rPr>
              <w:t>275,010</w:t>
            </w:r>
          </w:p>
        </w:tc>
        <w:tc>
          <w:tcPr>
            <w:tcW w:w="1040" w:type="dxa"/>
            <w:vAlign w:val="bottom"/>
          </w:tcPr>
          <w:p>
            <w:pPr>
              <w:jc w:val="right"/>
              <w:ind w:right="29"/>
              <w:spacing w:after="0"/>
              <w:rPr>
                <w:sz w:val="20"/>
                <w:szCs w:val="20"/>
                <w:color w:val="auto"/>
              </w:rPr>
            </w:pPr>
            <w:r>
              <w:rPr>
                <w:rFonts w:ascii="Calibri" w:cs="Calibri" w:eastAsia="Calibri" w:hAnsi="Calibri"/>
                <w:sz w:val="14"/>
                <w:szCs w:val="14"/>
                <w:color w:val="auto"/>
              </w:rPr>
              <w:t>53,339</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2,527,475</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alibri" w:cs="Calibri" w:eastAsia="Calibri" w:hAnsi="Calibri"/>
                <w:sz w:val="14"/>
                <w:szCs w:val="14"/>
                <w:color w:val="auto"/>
              </w:rPr>
              <w:t>2021</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600,000</w:t>
            </w:r>
          </w:p>
        </w:tc>
        <w:tc>
          <w:tcPr>
            <w:tcW w:w="640" w:type="dxa"/>
            <w:vAlign w:val="bottom"/>
          </w:tcPr>
          <w:p>
            <w:pPr>
              <w:jc w:val="right"/>
              <w:ind w:right="49"/>
              <w:spacing w:after="0"/>
              <w:rPr>
                <w:sz w:val="20"/>
                <w:szCs w:val="20"/>
                <w:color w:val="auto"/>
              </w:rPr>
            </w:pPr>
            <w:r>
              <w:rPr>
                <w:rFonts w:ascii="Calibri" w:cs="Calibri" w:eastAsia="Calibri" w:hAnsi="Calibri"/>
                <w:sz w:val="14"/>
                <w:szCs w:val="14"/>
                <w:color w:val="auto"/>
              </w:rPr>
              <w:t>101,889</w:t>
            </w:r>
          </w:p>
        </w:tc>
        <w:tc>
          <w:tcPr>
            <w:tcW w:w="760" w:type="dxa"/>
            <w:vAlign w:val="bottom"/>
          </w:tcPr>
          <w:p>
            <w:pPr>
              <w:jc w:val="right"/>
              <w:ind w:right="9"/>
              <w:spacing w:after="0"/>
              <w:rPr>
                <w:sz w:val="20"/>
                <w:szCs w:val="20"/>
                <w:color w:val="auto"/>
              </w:rPr>
            </w:pPr>
            <w:r>
              <w:rPr>
                <w:rFonts w:ascii="Calibri" w:cs="Calibri" w:eastAsia="Calibri" w:hAnsi="Calibri"/>
                <w:sz w:val="14"/>
                <w:szCs w:val="14"/>
                <w:color w:val="auto"/>
              </w:rPr>
              <w:t>491,090</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200,020</w:t>
            </w:r>
          </w:p>
        </w:tc>
        <w:tc>
          <w:tcPr>
            <w:tcW w:w="1000" w:type="dxa"/>
            <w:vAlign w:val="bottom"/>
          </w:tcPr>
          <w:p>
            <w:pPr>
              <w:jc w:val="right"/>
              <w:spacing w:after="0"/>
              <w:rPr>
                <w:sz w:val="20"/>
                <w:szCs w:val="20"/>
                <w:color w:val="auto"/>
              </w:rPr>
            </w:pPr>
            <w:r>
              <w:rPr>
                <w:rFonts w:ascii="Calibri" w:cs="Calibri" w:eastAsia="Calibri" w:hAnsi="Calibri"/>
                <w:sz w:val="14"/>
                <w:szCs w:val="14"/>
                <w:color w:val="auto"/>
              </w:rPr>
              <w:t>251,520</w:t>
            </w:r>
          </w:p>
        </w:tc>
        <w:tc>
          <w:tcPr>
            <w:tcW w:w="1040" w:type="dxa"/>
            <w:vAlign w:val="bottom"/>
          </w:tcPr>
          <w:p>
            <w:pPr>
              <w:jc w:val="right"/>
              <w:ind w:right="29"/>
              <w:spacing w:after="0"/>
              <w:rPr>
                <w:sz w:val="20"/>
                <w:szCs w:val="20"/>
                <w:color w:val="auto"/>
              </w:rPr>
            </w:pPr>
            <w:r>
              <w:rPr>
                <w:rFonts w:ascii="Calibri" w:cs="Calibri" w:eastAsia="Calibri" w:hAnsi="Calibri"/>
                <w:sz w:val="14"/>
                <w:szCs w:val="14"/>
                <w:color w:val="auto"/>
              </w:rPr>
              <w:t>57,980</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1,702,499</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380" w:type="dxa"/>
            <w:vAlign w:val="bottom"/>
          </w:tcPr>
          <w:p>
            <w:pPr>
              <w:spacing w:after="0" w:line="141" w:lineRule="exact"/>
              <w:rPr>
                <w:sz w:val="20"/>
                <w:szCs w:val="20"/>
                <w:color w:val="auto"/>
              </w:rPr>
            </w:pPr>
            <w:r>
              <w:rPr>
                <w:rFonts w:ascii="Calibri" w:cs="Calibri" w:eastAsia="Calibri" w:hAnsi="Calibri"/>
                <w:sz w:val="14"/>
                <w:szCs w:val="14"/>
                <w:b w:val="1"/>
                <w:bCs w:val="1"/>
                <w:color w:val="auto"/>
              </w:rPr>
              <w:t>Neil W. Peterson</w:t>
            </w:r>
          </w:p>
        </w:tc>
        <w:tc>
          <w:tcPr>
            <w:tcW w:w="500" w:type="dxa"/>
            <w:vAlign w:val="bottom"/>
          </w:tcPr>
          <w:p>
            <w:pPr>
              <w:ind w:left="100"/>
              <w:spacing w:after="0" w:line="141" w:lineRule="exact"/>
              <w:rPr>
                <w:sz w:val="20"/>
                <w:szCs w:val="20"/>
                <w:color w:val="auto"/>
              </w:rPr>
            </w:pPr>
            <w:r>
              <w:rPr>
                <w:rFonts w:ascii="Calibri" w:cs="Calibri" w:eastAsia="Calibri" w:hAnsi="Calibri"/>
                <w:sz w:val="14"/>
                <w:szCs w:val="14"/>
                <w:color w:val="auto"/>
              </w:rPr>
              <w:t>2023</w:t>
            </w:r>
          </w:p>
        </w:tc>
        <w:tc>
          <w:tcPr>
            <w:tcW w:w="720" w:type="dxa"/>
            <w:vAlign w:val="bottom"/>
          </w:tcPr>
          <w:p>
            <w:pPr>
              <w:jc w:val="right"/>
              <w:spacing w:after="0" w:line="141" w:lineRule="exact"/>
              <w:rPr>
                <w:sz w:val="20"/>
                <w:szCs w:val="20"/>
                <w:color w:val="auto"/>
              </w:rPr>
            </w:pPr>
            <w:r>
              <w:rPr>
                <w:rFonts w:ascii="Calibri" w:cs="Calibri" w:eastAsia="Calibri" w:hAnsi="Calibri"/>
                <w:sz w:val="14"/>
                <w:szCs w:val="14"/>
                <w:color w:val="auto"/>
              </w:rPr>
              <w:t>629,423</w:t>
            </w:r>
          </w:p>
        </w:tc>
        <w:tc>
          <w:tcPr>
            <w:tcW w:w="640" w:type="dxa"/>
            <w:vAlign w:val="bottom"/>
          </w:tcPr>
          <w:p>
            <w:pPr>
              <w:jc w:val="right"/>
              <w:ind w:right="49"/>
              <w:spacing w:after="0" w:line="141" w:lineRule="exact"/>
              <w:rPr>
                <w:sz w:val="20"/>
                <w:szCs w:val="20"/>
                <w:color w:val="auto"/>
              </w:rPr>
            </w:pPr>
            <w:r>
              <w:rPr>
                <w:rFonts w:ascii="Calibri" w:cs="Calibri" w:eastAsia="Calibri" w:hAnsi="Calibri"/>
                <w:sz w:val="14"/>
                <w:szCs w:val="14"/>
                <w:color w:val="auto"/>
              </w:rPr>
              <w:t>—</w:t>
            </w:r>
          </w:p>
        </w:tc>
        <w:tc>
          <w:tcPr>
            <w:tcW w:w="760" w:type="dxa"/>
            <w:vAlign w:val="bottom"/>
          </w:tcPr>
          <w:p>
            <w:pPr>
              <w:jc w:val="right"/>
              <w:ind w:right="9"/>
              <w:spacing w:after="0" w:line="141" w:lineRule="exact"/>
              <w:rPr>
                <w:sz w:val="20"/>
                <w:szCs w:val="20"/>
                <w:color w:val="auto"/>
              </w:rPr>
            </w:pPr>
            <w:r>
              <w:rPr>
                <w:rFonts w:ascii="Calibri" w:cs="Calibri" w:eastAsia="Calibri" w:hAnsi="Calibri"/>
                <w:sz w:val="14"/>
                <w:szCs w:val="14"/>
                <w:color w:val="auto"/>
              </w:rPr>
              <w:t>1,304,054</w:t>
            </w:r>
          </w:p>
        </w:tc>
        <w:tc>
          <w:tcPr>
            <w:tcW w:w="720" w:type="dxa"/>
            <w:vAlign w:val="bottom"/>
          </w:tcPr>
          <w:p>
            <w:pPr>
              <w:jc w:val="right"/>
              <w:spacing w:after="0" w:line="141" w:lineRule="exact"/>
              <w:rPr>
                <w:sz w:val="20"/>
                <w:szCs w:val="20"/>
                <w:color w:val="auto"/>
              </w:rPr>
            </w:pPr>
            <w:r>
              <w:rPr>
                <w:rFonts w:ascii="Calibri" w:cs="Calibri" w:eastAsia="Calibri" w:hAnsi="Calibri"/>
                <w:sz w:val="14"/>
                <w:szCs w:val="14"/>
                <w:color w:val="auto"/>
              </w:rPr>
              <w:t>400,011</w:t>
            </w:r>
          </w:p>
        </w:tc>
        <w:tc>
          <w:tcPr>
            <w:tcW w:w="1000" w:type="dxa"/>
            <w:vAlign w:val="bottom"/>
          </w:tcPr>
          <w:p>
            <w:pPr>
              <w:jc w:val="right"/>
              <w:spacing w:after="0" w:line="141" w:lineRule="exact"/>
              <w:rPr>
                <w:sz w:val="20"/>
                <w:szCs w:val="20"/>
                <w:color w:val="auto"/>
              </w:rPr>
            </w:pPr>
            <w:r>
              <w:rPr>
                <w:rFonts w:ascii="Calibri" w:cs="Calibri" w:eastAsia="Calibri" w:hAnsi="Calibri"/>
                <w:sz w:val="14"/>
                <w:szCs w:val="14"/>
                <w:color w:val="auto"/>
              </w:rPr>
              <w:t>297,662</w:t>
            </w:r>
          </w:p>
        </w:tc>
        <w:tc>
          <w:tcPr>
            <w:tcW w:w="1040" w:type="dxa"/>
            <w:vAlign w:val="bottom"/>
          </w:tcPr>
          <w:p>
            <w:pPr>
              <w:jc w:val="right"/>
              <w:ind w:right="29"/>
              <w:spacing w:after="0" w:line="141" w:lineRule="exact"/>
              <w:rPr>
                <w:sz w:val="20"/>
                <w:szCs w:val="20"/>
                <w:color w:val="auto"/>
              </w:rPr>
            </w:pPr>
            <w:r>
              <w:rPr>
                <w:rFonts w:ascii="Calibri" w:cs="Calibri" w:eastAsia="Calibri" w:hAnsi="Calibri"/>
                <w:sz w:val="14"/>
                <w:szCs w:val="14"/>
                <w:color w:val="auto"/>
              </w:rPr>
              <w:t>81,391</w:t>
            </w:r>
          </w:p>
        </w:tc>
        <w:tc>
          <w:tcPr>
            <w:tcW w:w="820" w:type="dxa"/>
            <w:vAlign w:val="bottom"/>
          </w:tcPr>
          <w:p>
            <w:pPr>
              <w:jc w:val="right"/>
              <w:spacing w:after="0" w:line="141" w:lineRule="exact"/>
              <w:rPr>
                <w:sz w:val="20"/>
                <w:szCs w:val="20"/>
                <w:color w:val="auto"/>
              </w:rPr>
            </w:pPr>
            <w:r>
              <w:rPr>
                <w:rFonts w:ascii="Calibri" w:cs="Calibri" w:eastAsia="Calibri" w:hAnsi="Calibri"/>
                <w:sz w:val="14"/>
                <w:szCs w:val="14"/>
                <w:color w:val="auto"/>
              </w:rPr>
              <w:t>2,712,541</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alibri" w:cs="Calibri" w:eastAsia="Calibri" w:hAnsi="Calibri"/>
                <w:sz w:val="14"/>
                <w:szCs w:val="14"/>
                <w:i w:val="1"/>
                <w:iCs w:val="1"/>
                <w:color w:val="auto"/>
              </w:rPr>
              <w:t xml:space="preserve">Chief Operatng Ofcer </w:t>
            </w:r>
            <w:r>
              <w:rPr>
                <w:rFonts w:ascii="Calibri" w:cs="Calibri" w:eastAsia="Calibri" w:hAnsi="Calibri"/>
                <w:sz w:val="14"/>
                <w:szCs w:val="14"/>
                <w:i w:val="1"/>
                <w:iCs w:val="1"/>
                <w:color w:val="AF0000"/>
              </w:rPr>
              <w:t>(8)</w:t>
            </w:r>
          </w:p>
        </w:tc>
        <w:tc>
          <w:tcPr>
            <w:tcW w:w="500" w:type="dxa"/>
            <w:vAlign w:val="bottom"/>
          </w:tcPr>
          <w:p>
            <w:pPr>
              <w:ind w:left="100"/>
              <w:spacing w:after="0"/>
              <w:rPr>
                <w:sz w:val="20"/>
                <w:szCs w:val="20"/>
                <w:color w:val="auto"/>
              </w:rPr>
            </w:pPr>
            <w:r>
              <w:rPr>
                <w:rFonts w:ascii="Calibri" w:cs="Calibri" w:eastAsia="Calibri" w:hAnsi="Calibri"/>
                <w:sz w:val="14"/>
                <w:szCs w:val="14"/>
                <w:color w:val="auto"/>
              </w:rPr>
              <w:t>2022</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526,308</w:t>
            </w:r>
          </w:p>
        </w:tc>
        <w:tc>
          <w:tcPr>
            <w:tcW w:w="640" w:type="dxa"/>
            <w:vAlign w:val="bottom"/>
          </w:tcPr>
          <w:p>
            <w:pPr>
              <w:jc w:val="right"/>
              <w:ind w:right="49"/>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9"/>
              <w:spacing w:after="0"/>
              <w:rPr>
                <w:sz w:val="20"/>
                <w:szCs w:val="20"/>
                <w:color w:val="auto"/>
              </w:rPr>
            </w:pPr>
            <w:r>
              <w:rPr>
                <w:rFonts w:ascii="Calibri" w:cs="Calibri" w:eastAsia="Calibri" w:hAnsi="Calibri"/>
                <w:sz w:val="14"/>
                <w:szCs w:val="14"/>
                <w:color w:val="auto"/>
              </w:rPr>
              <w:t>636,225</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0" w:type="dxa"/>
            <w:vAlign w:val="bottom"/>
          </w:tcPr>
          <w:p>
            <w:pPr>
              <w:jc w:val="right"/>
              <w:spacing w:after="0"/>
              <w:rPr>
                <w:sz w:val="20"/>
                <w:szCs w:val="20"/>
                <w:color w:val="auto"/>
              </w:rPr>
            </w:pPr>
            <w:r>
              <w:rPr>
                <w:rFonts w:ascii="Calibri" w:cs="Calibri" w:eastAsia="Calibri" w:hAnsi="Calibri"/>
                <w:sz w:val="14"/>
                <w:szCs w:val="14"/>
                <w:color w:val="auto"/>
              </w:rPr>
              <w:t>220,008</w:t>
            </w:r>
          </w:p>
        </w:tc>
        <w:tc>
          <w:tcPr>
            <w:tcW w:w="1040" w:type="dxa"/>
            <w:vAlign w:val="bottom"/>
          </w:tcPr>
          <w:p>
            <w:pPr>
              <w:jc w:val="right"/>
              <w:ind w:right="29"/>
              <w:spacing w:after="0"/>
              <w:rPr>
                <w:sz w:val="20"/>
                <w:szCs w:val="20"/>
                <w:color w:val="auto"/>
              </w:rPr>
            </w:pPr>
            <w:r>
              <w:rPr>
                <w:rFonts w:ascii="Calibri" w:cs="Calibri" w:eastAsia="Calibri" w:hAnsi="Calibri"/>
                <w:sz w:val="14"/>
                <w:szCs w:val="14"/>
                <w:color w:val="auto"/>
              </w:rPr>
              <w:t>50,309</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1,432,850</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alibri" w:cs="Calibri" w:eastAsia="Calibri" w:hAnsi="Calibri"/>
                <w:sz w:val="14"/>
                <w:szCs w:val="14"/>
                <w:color w:val="auto"/>
              </w:rPr>
              <w:t>2021</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ind w:right="49"/>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9"/>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29"/>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380" w:type="dxa"/>
            <w:vAlign w:val="bottom"/>
          </w:tcPr>
          <w:p>
            <w:pPr>
              <w:spacing w:after="0" w:line="141" w:lineRule="exact"/>
              <w:rPr>
                <w:sz w:val="20"/>
                <w:szCs w:val="20"/>
                <w:color w:val="auto"/>
              </w:rPr>
            </w:pPr>
            <w:r>
              <w:rPr>
                <w:rFonts w:ascii="Calibri" w:cs="Calibri" w:eastAsia="Calibri" w:hAnsi="Calibri"/>
                <w:sz w:val="14"/>
                <w:szCs w:val="14"/>
                <w:b w:val="1"/>
                <w:bCs w:val="1"/>
                <w:color w:val="auto"/>
              </w:rPr>
              <w:t>Joseph C. Wright</w:t>
            </w:r>
          </w:p>
        </w:tc>
        <w:tc>
          <w:tcPr>
            <w:tcW w:w="500" w:type="dxa"/>
            <w:vAlign w:val="bottom"/>
          </w:tcPr>
          <w:p>
            <w:pPr>
              <w:ind w:left="100"/>
              <w:spacing w:after="0" w:line="141" w:lineRule="exact"/>
              <w:rPr>
                <w:sz w:val="20"/>
                <w:szCs w:val="20"/>
                <w:color w:val="auto"/>
              </w:rPr>
            </w:pPr>
            <w:r>
              <w:rPr>
                <w:rFonts w:ascii="Calibri" w:cs="Calibri" w:eastAsia="Calibri" w:hAnsi="Calibri"/>
                <w:sz w:val="14"/>
                <w:szCs w:val="14"/>
                <w:color w:val="auto"/>
              </w:rPr>
              <w:t>2023</w:t>
            </w:r>
          </w:p>
        </w:tc>
        <w:tc>
          <w:tcPr>
            <w:tcW w:w="720" w:type="dxa"/>
            <w:vAlign w:val="bottom"/>
          </w:tcPr>
          <w:p>
            <w:pPr>
              <w:jc w:val="right"/>
              <w:spacing w:after="0" w:line="141" w:lineRule="exact"/>
              <w:rPr>
                <w:sz w:val="20"/>
                <w:szCs w:val="20"/>
                <w:color w:val="auto"/>
              </w:rPr>
            </w:pPr>
            <w:r>
              <w:rPr>
                <w:rFonts w:ascii="Calibri" w:cs="Calibri" w:eastAsia="Calibri" w:hAnsi="Calibri"/>
                <w:sz w:val="14"/>
                <w:szCs w:val="14"/>
                <w:color w:val="auto"/>
              </w:rPr>
              <w:t>700,000</w:t>
            </w:r>
          </w:p>
        </w:tc>
        <w:tc>
          <w:tcPr>
            <w:tcW w:w="640" w:type="dxa"/>
            <w:vAlign w:val="bottom"/>
          </w:tcPr>
          <w:p>
            <w:pPr>
              <w:jc w:val="right"/>
              <w:ind w:right="49"/>
              <w:spacing w:after="0" w:line="141" w:lineRule="exact"/>
              <w:rPr>
                <w:sz w:val="20"/>
                <w:szCs w:val="20"/>
                <w:color w:val="auto"/>
              </w:rPr>
            </w:pPr>
            <w:r>
              <w:rPr>
                <w:rFonts w:ascii="Calibri" w:cs="Calibri" w:eastAsia="Calibri" w:hAnsi="Calibri"/>
                <w:sz w:val="14"/>
                <w:szCs w:val="14"/>
                <w:color w:val="auto"/>
              </w:rPr>
              <w:t>—</w:t>
            </w:r>
          </w:p>
        </w:tc>
        <w:tc>
          <w:tcPr>
            <w:tcW w:w="760" w:type="dxa"/>
            <w:vAlign w:val="bottom"/>
          </w:tcPr>
          <w:p>
            <w:pPr>
              <w:jc w:val="right"/>
              <w:ind w:right="9"/>
              <w:spacing w:after="0" w:line="141" w:lineRule="exact"/>
              <w:rPr>
                <w:sz w:val="20"/>
                <w:szCs w:val="20"/>
                <w:color w:val="auto"/>
              </w:rPr>
            </w:pPr>
            <w:r>
              <w:rPr>
                <w:rFonts w:ascii="Calibri" w:cs="Calibri" w:eastAsia="Calibri" w:hAnsi="Calibri"/>
                <w:sz w:val="14"/>
                <w:szCs w:val="14"/>
                <w:color w:val="auto"/>
              </w:rPr>
              <w:t>1,304,054</w:t>
            </w:r>
          </w:p>
        </w:tc>
        <w:tc>
          <w:tcPr>
            <w:tcW w:w="720" w:type="dxa"/>
            <w:vAlign w:val="bottom"/>
          </w:tcPr>
          <w:p>
            <w:pPr>
              <w:jc w:val="right"/>
              <w:spacing w:after="0" w:line="141" w:lineRule="exact"/>
              <w:rPr>
                <w:sz w:val="20"/>
                <w:szCs w:val="20"/>
                <w:color w:val="auto"/>
              </w:rPr>
            </w:pPr>
            <w:r>
              <w:rPr>
                <w:rFonts w:ascii="Calibri" w:cs="Calibri" w:eastAsia="Calibri" w:hAnsi="Calibri"/>
                <w:sz w:val="14"/>
                <w:szCs w:val="14"/>
                <w:color w:val="auto"/>
              </w:rPr>
              <w:t>400,011</w:t>
            </w:r>
          </w:p>
        </w:tc>
        <w:tc>
          <w:tcPr>
            <w:tcW w:w="1000" w:type="dxa"/>
            <w:vAlign w:val="bottom"/>
          </w:tcPr>
          <w:p>
            <w:pPr>
              <w:jc w:val="right"/>
              <w:spacing w:after="0" w:line="141" w:lineRule="exact"/>
              <w:rPr>
                <w:sz w:val="20"/>
                <w:szCs w:val="20"/>
                <w:color w:val="auto"/>
              </w:rPr>
            </w:pPr>
            <w:r>
              <w:rPr>
                <w:rFonts w:ascii="Calibri" w:cs="Calibri" w:eastAsia="Calibri" w:hAnsi="Calibri"/>
                <w:sz w:val="14"/>
                <w:szCs w:val="14"/>
                <w:color w:val="auto"/>
              </w:rPr>
              <w:t>330,736</w:t>
            </w:r>
          </w:p>
        </w:tc>
        <w:tc>
          <w:tcPr>
            <w:tcW w:w="1040" w:type="dxa"/>
            <w:vAlign w:val="bottom"/>
          </w:tcPr>
          <w:p>
            <w:pPr>
              <w:jc w:val="right"/>
              <w:ind w:right="29"/>
              <w:spacing w:after="0" w:line="141" w:lineRule="exact"/>
              <w:rPr>
                <w:sz w:val="20"/>
                <w:szCs w:val="20"/>
                <w:color w:val="auto"/>
              </w:rPr>
            </w:pPr>
            <w:r>
              <w:rPr>
                <w:rFonts w:ascii="Calibri" w:cs="Calibri" w:eastAsia="Calibri" w:hAnsi="Calibri"/>
                <w:sz w:val="14"/>
                <w:szCs w:val="14"/>
                <w:color w:val="auto"/>
              </w:rPr>
              <w:t>79,710</w:t>
            </w:r>
          </w:p>
        </w:tc>
        <w:tc>
          <w:tcPr>
            <w:tcW w:w="820" w:type="dxa"/>
            <w:vAlign w:val="bottom"/>
          </w:tcPr>
          <w:p>
            <w:pPr>
              <w:jc w:val="right"/>
              <w:spacing w:after="0" w:line="141" w:lineRule="exact"/>
              <w:rPr>
                <w:sz w:val="20"/>
                <w:szCs w:val="20"/>
                <w:color w:val="auto"/>
              </w:rPr>
            </w:pPr>
            <w:r>
              <w:rPr>
                <w:rFonts w:ascii="Calibri" w:cs="Calibri" w:eastAsia="Calibri" w:hAnsi="Calibri"/>
                <w:sz w:val="14"/>
                <w:szCs w:val="14"/>
                <w:color w:val="auto"/>
              </w:rPr>
              <w:t>2,814,511</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alibri" w:cs="Calibri" w:eastAsia="Calibri" w:hAnsi="Calibri"/>
                <w:sz w:val="14"/>
                <w:szCs w:val="14"/>
                <w:i w:val="1"/>
                <w:iCs w:val="1"/>
                <w:color w:val="auto"/>
              </w:rPr>
              <w:t>Chief Commercial Ofcer</w:t>
            </w:r>
          </w:p>
        </w:tc>
        <w:tc>
          <w:tcPr>
            <w:tcW w:w="500" w:type="dxa"/>
            <w:vAlign w:val="bottom"/>
          </w:tcPr>
          <w:p>
            <w:pPr>
              <w:ind w:left="100"/>
              <w:spacing w:after="0"/>
              <w:rPr>
                <w:sz w:val="20"/>
                <w:szCs w:val="20"/>
                <w:color w:val="auto"/>
              </w:rPr>
            </w:pPr>
            <w:r>
              <w:rPr>
                <w:rFonts w:ascii="Calibri" w:cs="Calibri" w:eastAsia="Calibri" w:hAnsi="Calibri"/>
                <w:sz w:val="14"/>
                <w:szCs w:val="14"/>
                <w:color w:val="auto"/>
              </w:rPr>
              <w:t>2022</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700,000</w:t>
            </w:r>
          </w:p>
        </w:tc>
        <w:tc>
          <w:tcPr>
            <w:tcW w:w="640" w:type="dxa"/>
            <w:vAlign w:val="bottom"/>
          </w:tcPr>
          <w:p>
            <w:pPr>
              <w:jc w:val="right"/>
              <w:ind w:right="49"/>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9"/>
              <w:spacing w:after="0"/>
              <w:rPr>
                <w:sz w:val="20"/>
                <w:szCs w:val="20"/>
                <w:color w:val="auto"/>
              </w:rPr>
            </w:pPr>
            <w:r>
              <w:rPr>
                <w:rFonts w:ascii="Calibri" w:cs="Calibri" w:eastAsia="Calibri" w:hAnsi="Calibri"/>
                <w:sz w:val="14"/>
                <w:szCs w:val="14"/>
                <w:color w:val="auto"/>
              </w:rPr>
              <w:t>688,352</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199,991</w:t>
            </w:r>
          </w:p>
        </w:tc>
        <w:tc>
          <w:tcPr>
            <w:tcW w:w="1000" w:type="dxa"/>
            <w:vAlign w:val="bottom"/>
          </w:tcPr>
          <w:p>
            <w:pPr>
              <w:jc w:val="right"/>
              <w:spacing w:after="0"/>
              <w:rPr>
                <w:sz w:val="20"/>
                <w:szCs w:val="20"/>
                <w:color w:val="auto"/>
              </w:rPr>
            </w:pPr>
            <w:r>
              <w:rPr>
                <w:rFonts w:ascii="Calibri" w:cs="Calibri" w:eastAsia="Calibri" w:hAnsi="Calibri"/>
                <w:sz w:val="14"/>
                <w:szCs w:val="14"/>
                <w:color w:val="auto"/>
              </w:rPr>
              <w:t>201,674</w:t>
            </w:r>
          </w:p>
        </w:tc>
        <w:tc>
          <w:tcPr>
            <w:tcW w:w="1040" w:type="dxa"/>
            <w:vAlign w:val="bottom"/>
          </w:tcPr>
          <w:p>
            <w:pPr>
              <w:jc w:val="right"/>
              <w:ind w:right="29"/>
              <w:spacing w:after="0"/>
              <w:rPr>
                <w:sz w:val="20"/>
                <w:szCs w:val="20"/>
                <w:color w:val="auto"/>
              </w:rPr>
            </w:pPr>
            <w:r>
              <w:rPr>
                <w:rFonts w:ascii="Calibri" w:cs="Calibri" w:eastAsia="Calibri" w:hAnsi="Calibri"/>
                <w:sz w:val="14"/>
                <w:szCs w:val="14"/>
                <w:color w:val="auto"/>
              </w:rPr>
              <w:t>68,920</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1,858,937</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alibri" w:cs="Calibri" w:eastAsia="Calibri" w:hAnsi="Calibri"/>
                <w:sz w:val="14"/>
                <w:szCs w:val="14"/>
                <w:color w:val="auto"/>
              </w:rPr>
              <w:t>2021</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573,077</w:t>
            </w:r>
          </w:p>
        </w:tc>
        <w:tc>
          <w:tcPr>
            <w:tcW w:w="640" w:type="dxa"/>
            <w:vAlign w:val="bottom"/>
          </w:tcPr>
          <w:p>
            <w:pPr>
              <w:jc w:val="right"/>
              <w:ind w:right="49"/>
              <w:spacing w:after="0"/>
              <w:rPr>
                <w:sz w:val="20"/>
                <w:szCs w:val="20"/>
                <w:color w:val="auto"/>
              </w:rPr>
            </w:pPr>
            <w:r>
              <w:rPr>
                <w:rFonts w:ascii="Calibri" w:cs="Calibri" w:eastAsia="Calibri" w:hAnsi="Calibri"/>
                <w:sz w:val="14"/>
                <w:szCs w:val="14"/>
                <w:color w:val="auto"/>
              </w:rPr>
              <w:t>93,398</w:t>
            </w:r>
          </w:p>
        </w:tc>
        <w:tc>
          <w:tcPr>
            <w:tcW w:w="760" w:type="dxa"/>
            <w:vAlign w:val="bottom"/>
          </w:tcPr>
          <w:p>
            <w:pPr>
              <w:jc w:val="right"/>
              <w:ind w:right="9"/>
              <w:spacing w:after="0"/>
              <w:rPr>
                <w:sz w:val="20"/>
                <w:szCs w:val="20"/>
                <w:color w:val="auto"/>
              </w:rPr>
            </w:pPr>
            <w:r>
              <w:rPr>
                <w:rFonts w:ascii="Calibri" w:cs="Calibri" w:eastAsia="Calibri" w:hAnsi="Calibri"/>
                <w:sz w:val="14"/>
                <w:szCs w:val="14"/>
                <w:color w:val="auto"/>
              </w:rPr>
              <w:t>491,090</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200,020</w:t>
            </w:r>
          </w:p>
        </w:tc>
        <w:tc>
          <w:tcPr>
            <w:tcW w:w="1000" w:type="dxa"/>
            <w:vAlign w:val="bottom"/>
          </w:tcPr>
          <w:p>
            <w:pPr>
              <w:jc w:val="right"/>
              <w:spacing w:after="0"/>
              <w:rPr>
                <w:sz w:val="20"/>
                <w:szCs w:val="20"/>
                <w:color w:val="auto"/>
              </w:rPr>
            </w:pPr>
            <w:r>
              <w:rPr>
                <w:rFonts w:ascii="Calibri" w:cs="Calibri" w:eastAsia="Calibri" w:hAnsi="Calibri"/>
                <w:sz w:val="14"/>
                <w:szCs w:val="14"/>
                <w:color w:val="auto"/>
              </w:rPr>
              <w:t>230,560</w:t>
            </w:r>
          </w:p>
        </w:tc>
        <w:tc>
          <w:tcPr>
            <w:tcW w:w="1040" w:type="dxa"/>
            <w:vAlign w:val="bottom"/>
          </w:tcPr>
          <w:p>
            <w:pPr>
              <w:jc w:val="right"/>
              <w:ind w:right="29"/>
              <w:spacing w:after="0"/>
              <w:rPr>
                <w:sz w:val="20"/>
                <w:szCs w:val="20"/>
                <w:color w:val="auto"/>
              </w:rPr>
            </w:pPr>
            <w:r>
              <w:rPr>
                <w:rFonts w:ascii="Calibri" w:cs="Calibri" w:eastAsia="Calibri" w:hAnsi="Calibri"/>
                <w:sz w:val="14"/>
                <w:szCs w:val="14"/>
                <w:color w:val="auto"/>
              </w:rPr>
              <w:t>51,704</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1,639,849</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380" w:type="dxa"/>
            <w:vAlign w:val="bottom"/>
          </w:tcPr>
          <w:p>
            <w:pPr>
              <w:spacing w:after="0" w:line="141" w:lineRule="exact"/>
              <w:rPr>
                <w:sz w:val="20"/>
                <w:szCs w:val="20"/>
                <w:color w:val="auto"/>
              </w:rPr>
            </w:pPr>
            <w:r>
              <w:rPr>
                <w:rFonts w:ascii="Calibri" w:cs="Calibri" w:eastAsia="Calibri" w:hAnsi="Calibri"/>
                <w:sz w:val="14"/>
                <w:szCs w:val="14"/>
                <w:b w:val="1"/>
                <w:bCs w:val="1"/>
                <w:color w:val="auto"/>
              </w:rPr>
              <w:t>Brian G. Lloyd</w:t>
            </w:r>
          </w:p>
        </w:tc>
        <w:tc>
          <w:tcPr>
            <w:tcW w:w="500" w:type="dxa"/>
            <w:vAlign w:val="bottom"/>
          </w:tcPr>
          <w:p>
            <w:pPr>
              <w:ind w:left="100"/>
              <w:spacing w:after="0" w:line="141" w:lineRule="exact"/>
              <w:rPr>
                <w:sz w:val="20"/>
                <w:szCs w:val="20"/>
                <w:color w:val="auto"/>
              </w:rPr>
            </w:pPr>
            <w:r>
              <w:rPr>
                <w:rFonts w:ascii="Calibri" w:cs="Calibri" w:eastAsia="Calibri" w:hAnsi="Calibri"/>
                <w:sz w:val="14"/>
                <w:szCs w:val="14"/>
                <w:color w:val="auto"/>
              </w:rPr>
              <w:t>2023</w:t>
            </w:r>
          </w:p>
        </w:tc>
        <w:tc>
          <w:tcPr>
            <w:tcW w:w="720" w:type="dxa"/>
            <w:vAlign w:val="bottom"/>
          </w:tcPr>
          <w:p>
            <w:pPr>
              <w:jc w:val="right"/>
              <w:spacing w:after="0" w:line="141" w:lineRule="exact"/>
              <w:rPr>
                <w:sz w:val="20"/>
                <w:szCs w:val="20"/>
                <w:color w:val="auto"/>
              </w:rPr>
            </w:pPr>
            <w:r>
              <w:rPr>
                <w:rFonts w:ascii="Calibri" w:cs="Calibri" w:eastAsia="Calibri" w:hAnsi="Calibri"/>
                <w:sz w:val="14"/>
                <w:szCs w:val="14"/>
                <w:color w:val="auto"/>
              </w:rPr>
              <w:t>629,423</w:t>
            </w:r>
          </w:p>
        </w:tc>
        <w:tc>
          <w:tcPr>
            <w:tcW w:w="640" w:type="dxa"/>
            <w:vAlign w:val="bottom"/>
          </w:tcPr>
          <w:p>
            <w:pPr>
              <w:jc w:val="right"/>
              <w:ind w:right="49"/>
              <w:spacing w:after="0" w:line="141" w:lineRule="exact"/>
              <w:rPr>
                <w:sz w:val="20"/>
                <w:szCs w:val="20"/>
                <w:color w:val="auto"/>
              </w:rPr>
            </w:pPr>
            <w:r>
              <w:rPr>
                <w:rFonts w:ascii="Calibri" w:cs="Calibri" w:eastAsia="Calibri" w:hAnsi="Calibri"/>
                <w:sz w:val="14"/>
                <w:szCs w:val="14"/>
                <w:color w:val="auto"/>
              </w:rPr>
              <w:t>—</w:t>
            </w:r>
          </w:p>
        </w:tc>
        <w:tc>
          <w:tcPr>
            <w:tcW w:w="760" w:type="dxa"/>
            <w:vAlign w:val="bottom"/>
          </w:tcPr>
          <w:p>
            <w:pPr>
              <w:jc w:val="right"/>
              <w:ind w:right="9"/>
              <w:spacing w:after="0" w:line="141" w:lineRule="exact"/>
              <w:rPr>
                <w:sz w:val="20"/>
                <w:szCs w:val="20"/>
                <w:color w:val="auto"/>
              </w:rPr>
            </w:pPr>
            <w:r>
              <w:rPr>
                <w:rFonts w:ascii="Calibri" w:cs="Calibri" w:eastAsia="Calibri" w:hAnsi="Calibri"/>
                <w:sz w:val="14"/>
                <w:szCs w:val="14"/>
                <w:color w:val="auto"/>
              </w:rPr>
              <w:t>1,304,054</w:t>
            </w:r>
          </w:p>
        </w:tc>
        <w:tc>
          <w:tcPr>
            <w:tcW w:w="720" w:type="dxa"/>
            <w:vAlign w:val="bottom"/>
          </w:tcPr>
          <w:p>
            <w:pPr>
              <w:jc w:val="right"/>
              <w:spacing w:after="0" w:line="141" w:lineRule="exact"/>
              <w:rPr>
                <w:sz w:val="20"/>
                <w:szCs w:val="20"/>
                <w:color w:val="auto"/>
              </w:rPr>
            </w:pPr>
            <w:r>
              <w:rPr>
                <w:rFonts w:ascii="Calibri" w:cs="Calibri" w:eastAsia="Calibri" w:hAnsi="Calibri"/>
                <w:sz w:val="14"/>
                <w:szCs w:val="14"/>
                <w:color w:val="auto"/>
              </w:rPr>
              <w:t>400,011</w:t>
            </w:r>
          </w:p>
        </w:tc>
        <w:tc>
          <w:tcPr>
            <w:tcW w:w="1000" w:type="dxa"/>
            <w:vAlign w:val="bottom"/>
          </w:tcPr>
          <w:p>
            <w:pPr>
              <w:jc w:val="right"/>
              <w:spacing w:after="0" w:line="141" w:lineRule="exact"/>
              <w:rPr>
                <w:sz w:val="20"/>
                <w:szCs w:val="20"/>
                <w:color w:val="auto"/>
              </w:rPr>
            </w:pPr>
            <w:r>
              <w:rPr>
                <w:rFonts w:ascii="Calibri" w:cs="Calibri" w:eastAsia="Calibri" w:hAnsi="Calibri"/>
                <w:sz w:val="14"/>
                <w:szCs w:val="14"/>
                <w:color w:val="auto"/>
              </w:rPr>
              <w:t>297,662</w:t>
            </w:r>
          </w:p>
        </w:tc>
        <w:tc>
          <w:tcPr>
            <w:tcW w:w="1040" w:type="dxa"/>
            <w:vAlign w:val="bottom"/>
          </w:tcPr>
          <w:p>
            <w:pPr>
              <w:jc w:val="right"/>
              <w:ind w:right="29"/>
              <w:spacing w:after="0" w:line="141" w:lineRule="exact"/>
              <w:rPr>
                <w:sz w:val="20"/>
                <w:szCs w:val="20"/>
                <w:color w:val="auto"/>
              </w:rPr>
            </w:pPr>
            <w:r>
              <w:rPr>
                <w:rFonts w:ascii="Calibri" w:cs="Calibri" w:eastAsia="Calibri" w:hAnsi="Calibri"/>
                <w:sz w:val="14"/>
                <w:szCs w:val="14"/>
                <w:color w:val="auto"/>
              </w:rPr>
              <w:t>31,506</w:t>
            </w:r>
          </w:p>
        </w:tc>
        <w:tc>
          <w:tcPr>
            <w:tcW w:w="820" w:type="dxa"/>
            <w:vAlign w:val="bottom"/>
          </w:tcPr>
          <w:p>
            <w:pPr>
              <w:jc w:val="right"/>
              <w:spacing w:after="0" w:line="141" w:lineRule="exact"/>
              <w:rPr>
                <w:sz w:val="20"/>
                <w:szCs w:val="20"/>
                <w:color w:val="auto"/>
              </w:rPr>
            </w:pPr>
            <w:r>
              <w:rPr>
                <w:rFonts w:ascii="Calibri" w:cs="Calibri" w:eastAsia="Calibri" w:hAnsi="Calibri"/>
                <w:sz w:val="14"/>
                <w:szCs w:val="14"/>
                <w:color w:val="auto"/>
              </w:rPr>
              <w:t>2,662,656</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Calibri" w:cs="Calibri" w:eastAsia="Calibri" w:hAnsi="Calibri"/>
                <w:sz w:val="14"/>
                <w:szCs w:val="14"/>
                <w:i w:val="1"/>
                <w:iCs w:val="1"/>
                <w:color w:val="auto"/>
              </w:rPr>
              <w:t>Chief Legal Ofcer, Corporate Secretary</w:t>
            </w:r>
          </w:p>
        </w:tc>
        <w:tc>
          <w:tcPr>
            <w:tcW w:w="500" w:type="dxa"/>
            <w:vAlign w:val="bottom"/>
          </w:tcPr>
          <w:p>
            <w:pPr>
              <w:ind w:left="100"/>
              <w:spacing w:after="0"/>
              <w:rPr>
                <w:sz w:val="20"/>
                <w:szCs w:val="20"/>
                <w:color w:val="auto"/>
              </w:rPr>
            </w:pPr>
            <w:r>
              <w:rPr>
                <w:rFonts w:ascii="Calibri" w:cs="Calibri" w:eastAsia="Calibri" w:hAnsi="Calibri"/>
                <w:sz w:val="14"/>
                <w:szCs w:val="14"/>
                <w:color w:val="auto"/>
              </w:rPr>
              <w:t>2022</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600,000</w:t>
            </w:r>
          </w:p>
        </w:tc>
        <w:tc>
          <w:tcPr>
            <w:tcW w:w="640" w:type="dxa"/>
            <w:vAlign w:val="bottom"/>
          </w:tcPr>
          <w:p>
            <w:pPr>
              <w:jc w:val="right"/>
              <w:ind w:right="49"/>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9"/>
              <w:spacing w:after="0"/>
              <w:rPr>
                <w:sz w:val="20"/>
                <w:szCs w:val="20"/>
                <w:color w:val="auto"/>
              </w:rPr>
            </w:pPr>
            <w:r>
              <w:rPr>
                <w:rFonts w:ascii="Calibri" w:cs="Calibri" w:eastAsia="Calibri" w:hAnsi="Calibri"/>
                <w:sz w:val="14"/>
                <w:szCs w:val="14"/>
                <w:color w:val="auto"/>
              </w:rPr>
              <w:t>688,352</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199,991</w:t>
            </w:r>
          </w:p>
        </w:tc>
        <w:tc>
          <w:tcPr>
            <w:tcW w:w="1000" w:type="dxa"/>
            <w:vAlign w:val="bottom"/>
          </w:tcPr>
          <w:p>
            <w:pPr>
              <w:jc w:val="right"/>
              <w:spacing w:after="0"/>
              <w:rPr>
                <w:sz w:val="20"/>
                <w:szCs w:val="20"/>
                <w:color w:val="auto"/>
              </w:rPr>
            </w:pPr>
            <w:r>
              <w:rPr>
                <w:rFonts w:ascii="Calibri" w:cs="Calibri" w:eastAsia="Calibri" w:hAnsi="Calibri"/>
                <w:sz w:val="14"/>
                <w:szCs w:val="14"/>
                <w:color w:val="auto"/>
              </w:rPr>
              <w:t>220,008</w:t>
            </w:r>
          </w:p>
        </w:tc>
        <w:tc>
          <w:tcPr>
            <w:tcW w:w="1040" w:type="dxa"/>
            <w:vAlign w:val="bottom"/>
          </w:tcPr>
          <w:p>
            <w:pPr>
              <w:jc w:val="right"/>
              <w:ind w:right="29"/>
              <w:spacing w:after="0"/>
              <w:rPr>
                <w:sz w:val="20"/>
                <w:szCs w:val="20"/>
                <w:color w:val="auto"/>
              </w:rPr>
            </w:pPr>
            <w:r>
              <w:rPr>
                <w:rFonts w:ascii="Calibri" w:cs="Calibri" w:eastAsia="Calibri" w:hAnsi="Calibri"/>
                <w:sz w:val="14"/>
                <w:szCs w:val="14"/>
                <w:color w:val="auto"/>
              </w:rPr>
              <w:t>28,653</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1,737,004</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alibri" w:cs="Calibri" w:eastAsia="Calibri" w:hAnsi="Calibri"/>
                <w:sz w:val="14"/>
                <w:szCs w:val="14"/>
                <w:color w:val="auto"/>
              </w:rPr>
              <w:t>2021</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600,000</w:t>
            </w:r>
          </w:p>
        </w:tc>
        <w:tc>
          <w:tcPr>
            <w:tcW w:w="640" w:type="dxa"/>
            <w:vAlign w:val="bottom"/>
          </w:tcPr>
          <w:p>
            <w:pPr>
              <w:jc w:val="right"/>
              <w:ind w:right="49"/>
              <w:spacing w:after="0"/>
              <w:rPr>
                <w:sz w:val="20"/>
                <w:szCs w:val="20"/>
                <w:color w:val="auto"/>
              </w:rPr>
            </w:pPr>
            <w:r>
              <w:rPr>
                <w:rFonts w:ascii="Calibri" w:cs="Calibri" w:eastAsia="Calibri" w:hAnsi="Calibri"/>
                <w:sz w:val="14"/>
                <w:szCs w:val="14"/>
                <w:color w:val="auto"/>
              </w:rPr>
              <w:t>101,889</w:t>
            </w:r>
          </w:p>
        </w:tc>
        <w:tc>
          <w:tcPr>
            <w:tcW w:w="760" w:type="dxa"/>
            <w:vAlign w:val="bottom"/>
          </w:tcPr>
          <w:p>
            <w:pPr>
              <w:jc w:val="right"/>
              <w:ind w:right="9"/>
              <w:spacing w:after="0"/>
              <w:rPr>
                <w:sz w:val="20"/>
                <w:szCs w:val="20"/>
                <w:color w:val="auto"/>
              </w:rPr>
            </w:pPr>
            <w:r>
              <w:rPr>
                <w:rFonts w:ascii="Calibri" w:cs="Calibri" w:eastAsia="Calibri" w:hAnsi="Calibri"/>
                <w:sz w:val="14"/>
                <w:szCs w:val="14"/>
                <w:color w:val="auto"/>
              </w:rPr>
              <w:t>491,090</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200,020</w:t>
            </w:r>
          </w:p>
        </w:tc>
        <w:tc>
          <w:tcPr>
            <w:tcW w:w="1000" w:type="dxa"/>
            <w:vAlign w:val="bottom"/>
          </w:tcPr>
          <w:p>
            <w:pPr>
              <w:jc w:val="right"/>
              <w:spacing w:after="0"/>
              <w:rPr>
                <w:sz w:val="20"/>
                <w:szCs w:val="20"/>
                <w:color w:val="auto"/>
              </w:rPr>
            </w:pPr>
            <w:r>
              <w:rPr>
                <w:rFonts w:ascii="Calibri" w:cs="Calibri" w:eastAsia="Calibri" w:hAnsi="Calibri"/>
                <w:sz w:val="14"/>
                <w:szCs w:val="14"/>
                <w:color w:val="auto"/>
              </w:rPr>
              <w:t>251,520</w:t>
            </w:r>
          </w:p>
        </w:tc>
        <w:tc>
          <w:tcPr>
            <w:tcW w:w="1040" w:type="dxa"/>
            <w:vAlign w:val="bottom"/>
          </w:tcPr>
          <w:p>
            <w:pPr>
              <w:jc w:val="right"/>
              <w:ind w:right="29"/>
              <w:spacing w:after="0"/>
              <w:rPr>
                <w:sz w:val="20"/>
                <w:szCs w:val="20"/>
                <w:color w:val="auto"/>
              </w:rPr>
            </w:pPr>
            <w:r>
              <w:rPr>
                <w:rFonts w:ascii="Calibri" w:cs="Calibri" w:eastAsia="Calibri" w:hAnsi="Calibri"/>
                <w:sz w:val="14"/>
                <w:szCs w:val="14"/>
                <w:color w:val="auto"/>
              </w:rPr>
              <w:t>11,885</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1,656,404</w:t>
            </w:r>
          </w:p>
        </w:tc>
        <w:tc>
          <w:tcPr>
            <w:tcW w:w="0" w:type="dxa"/>
            <w:vAlign w:val="bottom"/>
          </w:tcPr>
          <w:p>
            <w:pPr>
              <w:spacing w:after="0"/>
              <w:rPr>
                <w:sz w:val="1"/>
                <w:szCs w:val="1"/>
                <w:color w:val="auto"/>
              </w:rPr>
            </w:pPr>
          </w:p>
        </w:tc>
      </w:tr>
      <w:tr>
        <w:trPr>
          <w:trHeight w:val="40"/>
        </w:trPr>
        <w:tc>
          <w:tcPr>
            <w:tcW w:w="2380" w:type="dxa"/>
            <w:vAlign w:val="bottom"/>
            <w:tcBorders>
              <w:bottom w:val="single" w:sz="8" w:color="AF0000"/>
            </w:tcBorders>
          </w:tcPr>
          <w:p>
            <w:pPr>
              <w:spacing w:after="0"/>
              <w:rPr>
                <w:sz w:val="3"/>
                <w:szCs w:val="3"/>
                <w:color w:val="auto"/>
              </w:rPr>
            </w:pPr>
          </w:p>
        </w:tc>
        <w:tc>
          <w:tcPr>
            <w:tcW w:w="500" w:type="dxa"/>
            <w:vAlign w:val="bottom"/>
            <w:tcBorders>
              <w:bottom w:val="single" w:sz="8" w:color="AF0000"/>
            </w:tcBorders>
          </w:tcPr>
          <w:p>
            <w:pPr>
              <w:spacing w:after="0"/>
              <w:rPr>
                <w:sz w:val="3"/>
                <w:szCs w:val="3"/>
                <w:color w:val="auto"/>
              </w:rPr>
            </w:pPr>
          </w:p>
        </w:tc>
        <w:tc>
          <w:tcPr>
            <w:tcW w:w="720" w:type="dxa"/>
            <w:vAlign w:val="bottom"/>
            <w:tcBorders>
              <w:bottom w:val="single" w:sz="8" w:color="AF0000"/>
            </w:tcBorders>
          </w:tcPr>
          <w:p>
            <w:pPr>
              <w:spacing w:after="0"/>
              <w:rPr>
                <w:sz w:val="3"/>
                <w:szCs w:val="3"/>
                <w:color w:val="auto"/>
              </w:rPr>
            </w:pPr>
          </w:p>
        </w:tc>
        <w:tc>
          <w:tcPr>
            <w:tcW w:w="640" w:type="dxa"/>
            <w:vAlign w:val="bottom"/>
            <w:tcBorders>
              <w:bottom w:val="single" w:sz="8" w:color="AF0000"/>
            </w:tcBorders>
          </w:tcPr>
          <w:p>
            <w:pPr>
              <w:spacing w:after="0"/>
              <w:rPr>
                <w:sz w:val="3"/>
                <w:szCs w:val="3"/>
                <w:color w:val="auto"/>
              </w:rPr>
            </w:pPr>
          </w:p>
        </w:tc>
        <w:tc>
          <w:tcPr>
            <w:tcW w:w="760" w:type="dxa"/>
            <w:vAlign w:val="bottom"/>
            <w:tcBorders>
              <w:bottom w:val="single" w:sz="8" w:color="AF0000"/>
            </w:tcBorders>
          </w:tcPr>
          <w:p>
            <w:pPr>
              <w:spacing w:after="0"/>
              <w:rPr>
                <w:sz w:val="3"/>
                <w:szCs w:val="3"/>
                <w:color w:val="auto"/>
              </w:rPr>
            </w:pPr>
          </w:p>
        </w:tc>
        <w:tc>
          <w:tcPr>
            <w:tcW w:w="720" w:type="dxa"/>
            <w:vAlign w:val="bottom"/>
            <w:tcBorders>
              <w:bottom w:val="single" w:sz="8" w:color="AF0000"/>
            </w:tcBorders>
          </w:tcPr>
          <w:p>
            <w:pPr>
              <w:spacing w:after="0"/>
              <w:rPr>
                <w:sz w:val="3"/>
                <w:szCs w:val="3"/>
                <w:color w:val="auto"/>
              </w:rPr>
            </w:pPr>
          </w:p>
        </w:tc>
        <w:tc>
          <w:tcPr>
            <w:tcW w:w="1000" w:type="dxa"/>
            <w:vAlign w:val="bottom"/>
            <w:tcBorders>
              <w:bottom w:val="single" w:sz="8" w:color="AF0000"/>
            </w:tcBorders>
          </w:tcPr>
          <w:p>
            <w:pPr>
              <w:spacing w:after="0"/>
              <w:rPr>
                <w:sz w:val="3"/>
                <w:szCs w:val="3"/>
                <w:color w:val="auto"/>
              </w:rPr>
            </w:pPr>
          </w:p>
        </w:tc>
        <w:tc>
          <w:tcPr>
            <w:tcW w:w="1040" w:type="dxa"/>
            <w:vAlign w:val="bottom"/>
            <w:tcBorders>
              <w:bottom w:val="single" w:sz="8" w:color="AF0000"/>
            </w:tcBorders>
          </w:tcPr>
          <w:p>
            <w:pPr>
              <w:spacing w:after="0"/>
              <w:rPr>
                <w:sz w:val="3"/>
                <w:szCs w:val="3"/>
                <w:color w:val="auto"/>
              </w:rPr>
            </w:pPr>
          </w:p>
        </w:tc>
        <w:tc>
          <w:tcPr>
            <w:tcW w:w="820" w:type="dxa"/>
            <w:vAlign w:val="bottom"/>
            <w:tcBorders>
              <w:bottom w:val="single" w:sz="8" w:color="AF000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540" w:hanging="331"/>
        <w:spacing w:after="0"/>
        <w:tabs>
          <w:tab w:leader="none" w:pos="540" w:val="left"/>
        </w:tabs>
        <w:numPr>
          <w:ilvl w:val="0"/>
          <w:numId w:val="81"/>
        </w:numPr>
        <w:rPr>
          <w:rFonts w:ascii="Calibri" w:cs="Calibri" w:eastAsia="Calibri" w:hAnsi="Calibri"/>
          <w:sz w:val="16"/>
          <w:szCs w:val="16"/>
          <w:color w:val="AF0000"/>
        </w:rPr>
      </w:pPr>
      <w:r>
        <w:rPr>
          <w:rFonts w:ascii="Calibri" w:cs="Calibri" w:eastAsia="Calibri" w:hAnsi="Calibri"/>
          <w:sz w:val="16"/>
          <w:szCs w:val="16"/>
          <w:color w:val="auto"/>
        </w:rPr>
        <w:t>Bonus amounts represent discretonary bonuses not based solely upon pre-determined performance criteria.</w:t>
      </w:r>
    </w:p>
    <w:p>
      <w:pPr>
        <w:ind w:left="540" w:right="279" w:hanging="331"/>
        <w:spacing w:after="0" w:line="237" w:lineRule="auto"/>
        <w:tabs>
          <w:tab w:leader="none" w:pos="540" w:val="left"/>
        </w:tabs>
        <w:numPr>
          <w:ilvl w:val="0"/>
          <w:numId w:val="81"/>
        </w:numPr>
        <w:rPr>
          <w:rFonts w:ascii="Calibri" w:cs="Calibri" w:eastAsia="Calibri" w:hAnsi="Calibri"/>
          <w:sz w:val="16"/>
          <w:szCs w:val="16"/>
          <w:color w:val="AF0000"/>
        </w:rPr>
      </w:pPr>
      <w:r>
        <w:rPr>
          <w:rFonts w:ascii="Calibri" w:cs="Calibri" w:eastAsia="Calibri" w:hAnsi="Calibri"/>
          <w:sz w:val="16"/>
          <w:szCs w:val="16"/>
          <w:color w:val="auto"/>
        </w:rPr>
        <w:t>Stock Awards include the aggregate grant date fair value of PSUs granted to the NEOs in the year shown under our 2018 Incentve Plan computed in accordance with ASC Topic 718, including the porton of Mr. Lampropoulos’ PSU payable in cash (i.e., his PSU Cash Incentve). Such amounts have been calculated in accordance with current fnancial statement reportng guidance, using the same assumptons the Company used on the grant date for fnancial statement reportng purposes with respect to our long-term incentve plans, which may not be indicatve of the realized value of the awards when they vest. The grant-date fair value of PSUs granted to Mr. Lampropoulos in 2023 includes $2,318,334 of shares and $2,897,893 of potental PSU Cash Incentve, in 2022 includes $1,835,704 of shares and $2,294,400 of potental PSU Cash Incentve, and in 2021 includes $1,309,633 of shares and $1,637,067 of potental PSU Cash Incentve. See footnote 1 to the Grants of Plan-Based Awards table for additonal details. The table below shows the Free Cash Flow multplier that was assessed as probable as of each grant date and the grant date fair value of stock awards based on maximum potental atainment.</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4560" w:type="dxa"/>
            <w:vAlign w:val="bottom"/>
            <w:tcBorders>
              <w:top w:val="single" w:sz="8" w:color="AF0000"/>
              <w:bottom w:val="single" w:sz="8" w:color="AF0000"/>
            </w:tcBorders>
          </w:tcPr>
          <w:p>
            <w:pPr>
              <w:ind w:left="100"/>
              <w:spacing w:after="0"/>
              <w:rPr>
                <w:sz w:val="20"/>
                <w:szCs w:val="20"/>
                <w:color w:val="auto"/>
              </w:rPr>
            </w:pPr>
            <w:r>
              <w:rPr>
                <w:rFonts w:ascii="Calibri" w:cs="Calibri" w:eastAsia="Calibri" w:hAnsi="Calibri"/>
                <w:sz w:val="14"/>
                <w:szCs w:val="14"/>
                <w:b w:val="1"/>
                <w:bCs w:val="1"/>
                <w:color w:val="auto"/>
              </w:rPr>
              <w:t>Descripton</w:t>
            </w:r>
          </w:p>
        </w:tc>
        <w:tc>
          <w:tcPr>
            <w:tcW w:w="380" w:type="dxa"/>
            <w:vAlign w:val="bottom"/>
            <w:tcBorders>
              <w:top w:val="single" w:sz="8" w:color="AF0000"/>
              <w:bottom w:val="single" w:sz="8" w:color="AF0000"/>
            </w:tcBorders>
          </w:tcPr>
          <w:p>
            <w:pPr>
              <w:spacing w:after="0"/>
              <w:rPr>
                <w:sz w:val="18"/>
                <w:szCs w:val="18"/>
                <w:color w:val="auto"/>
              </w:rPr>
            </w:pPr>
          </w:p>
        </w:tc>
        <w:tc>
          <w:tcPr>
            <w:tcW w:w="760" w:type="dxa"/>
            <w:vAlign w:val="bottom"/>
            <w:tcBorders>
              <w:top w:val="single" w:sz="8" w:color="AF0000"/>
              <w:bottom w:val="single" w:sz="8" w:color="AF0000"/>
            </w:tcBorders>
          </w:tcPr>
          <w:p>
            <w:pPr>
              <w:jc w:val="right"/>
              <w:ind w:right="248"/>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Borders>
              <w:top w:val="single" w:sz="8" w:color="AF0000"/>
              <w:bottom w:val="single" w:sz="8" w:color="AF0000"/>
            </w:tcBorders>
          </w:tcPr>
          <w:p>
            <w:pPr>
              <w:spacing w:after="0"/>
              <w:rPr>
                <w:sz w:val="18"/>
                <w:szCs w:val="18"/>
                <w:color w:val="auto"/>
              </w:rPr>
            </w:pPr>
          </w:p>
        </w:tc>
        <w:tc>
          <w:tcPr>
            <w:tcW w:w="760" w:type="dxa"/>
            <w:vAlign w:val="bottom"/>
            <w:tcBorders>
              <w:top w:val="single" w:sz="8" w:color="AF0000"/>
              <w:bottom w:val="single" w:sz="8" w:color="AF0000"/>
            </w:tcBorders>
          </w:tcPr>
          <w:p>
            <w:pPr>
              <w:jc w:val="right"/>
              <w:ind w:right="228"/>
              <w:spacing w:after="0"/>
              <w:rPr>
                <w:sz w:val="20"/>
                <w:szCs w:val="20"/>
                <w:color w:val="auto"/>
              </w:rPr>
            </w:pPr>
            <w:r>
              <w:rPr>
                <w:rFonts w:ascii="Calibri" w:cs="Calibri" w:eastAsia="Calibri" w:hAnsi="Calibri"/>
                <w:sz w:val="14"/>
                <w:szCs w:val="14"/>
                <w:b w:val="1"/>
                <w:bCs w:val="1"/>
                <w:color w:val="auto"/>
              </w:rPr>
              <w:t>2022</w:t>
            </w:r>
          </w:p>
        </w:tc>
        <w:tc>
          <w:tcPr>
            <w:tcW w:w="260" w:type="dxa"/>
            <w:vAlign w:val="bottom"/>
            <w:tcBorders>
              <w:top w:val="single" w:sz="8" w:color="AF0000"/>
              <w:bottom w:val="single" w:sz="8" w:color="AF0000"/>
            </w:tcBorders>
          </w:tcPr>
          <w:p>
            <w:pPr>
              <w:spacing w:after="0"/>
              <w:rPr>
                <w:sz w:val="18"/>
                <w:szCs w:val="18"/>
                <w:color w:val="auto"/>
              </w:rPr>
            </w:pPr>
          </w:p>
        </w:tc>
        <w:tc>
          <w:tcPr>
            <w:tcW w:w="760" w:type="dxa"/>
            <w:vAlign w:val="bottom"/>
            <w:tcBorders>
              <w:top w:val="single" w:sz="8" w:color="AF0000"/>
              <w:bottom w:val="single" w:sz="8" w:color="AF0000"/>
            </w:tcBorders>
          </w:tcPr>
          <w:p>
            <w:pPr>
              <w:jc w:val="right"/>
              <w:ind w:right="228"/>
              <w:spacing w:after="0"/>
              <w:rPr>
                <w:sz w:val="20"/>
                <w:szCs w:val="20"/>
                <w:color w:val="auto"/>
              </w:rPr>
            </w:pPr>
            <w:r>
              <w:rPr>
                <w:rFonts w:ascii="Calibri" w:cs="Calibri" w:eastAsia="Calibri" w:hAnsi="Calibri"/>
                <w:sz w:val="14"/>
                <w:szCs w:val="14"/>
                <w:b w:val="1"/>
                <w:bCs w:val="1"/>
                <w:color w:val="auto"/>
              </w:rPr>
              <w:t>2021</w:t>
            </w:r>
          </w:p>
        </w:tc>
      </w:tr>
      <w:tr>
        <w:trPr>
          <w:trHeight w:val="148"/>
        </w:trPr>
        <w:tc>
          <w:tcPr>
            <w:tcW w:w="4560" w:type="dxa"/>
            <w:vAlign w:val="bottom"/>
          </w:tcPr>
          <w:p>
            <w:pPr>
              <w:ind w:left="100"/>
              <w:spacing w:after="0" w:line="148" w:lineRule="exact"/>
              <w:rPr>
                <w:sz w:val="20"/>
                <w:szCs w:val="20"/>
                <w:color w:val="auto"/>
              </w:rPr>
            </w:pPr>
            <w:r>
              <w:rPr>
                <w:rFonts w:ascii="Calibri" w:cs="Calibri" w:eastAsia="Calibri" w:hAnsi="Calibri"/>
                <w:sz w:val="14"/>
                <w:szCs w:val="14"/>
                <w:color w:val="auto"/>
              </w:rPr>
              <w:t>Probable Grant-Date Free Cash Flow Multplier</w:t>
            </w:r>
          </w:p>
        </w:tc>
        <w:tc>
          <w:tcPr>
            <w:tcW w:w="380" w:type="dxa"/>
            <w:vAlign w:val="bottom"/>
          </w:tcPr>
          <w:p>
            <w:pPr>
              <w:spacing w:after="0"/>
              <w:rPr>
                <w:sz w:val="12"/>
                <w:szCs w:val="12"/>
                <w:color w:val="auto"/>
              </w:rPr>
            </w:pPr>
          </w:p>
        </w:tc>
        <w:tc>
          <w:tcPr>
            <w:tcW w:w="760" w:type="dxa"/>
            <w:vAlign w:val="bottom"/>
          </w:tcPr>
          <w:p>
            <w:pPr>
              <w:jc w:val="right"/>
              <w:ind w:right="48"/>
              <w:spacing w:after="0" w:line="148" w:lineRule="exact"/>
              <w:rPr>
                <w:sz w:val="20"/>
                <w:szCs w:val="20"/>
                <w:color w:val="auto"/>
              </w:rPr>
            </w:pPr>
            <w:r>
              <w:rPr>
                <w:rFonts w:ascii="Calibri" w:cs="Calibri" w:eastAsia="Calibri" w:hAnsi="Calibri"/>
                <w:sz w:val="14"/>
                <w:szCs w:val="14"/>
                <w:color w:val="auto"/>
              </w:rPr>
              <w:t>200%</w:t>
            </w:r>
          </w:p>
        </w:tc>
        <w:tc>
          <w:tcPr>
            <w:tcW w:w="240" w:type="dxa"/>
            <w:vAlign w:val="bottom"/>
          </w:tcPr>
          <w:p>
            <w:pPr>
              <w:spacing w:after="0"/>
              <w:rPr>
                <w:sz w:val="12"/>
                <w:szCs w:val="12"/>
                <w:color w:val="auto"/>
              </w:rPr>
            </w:pPr>
          </w:p>
        </w:tc>
        <w:tc>
          <w:tcPr>
            <w:tcW w:w="760" w:type="dxa"/>
            <w:vAlign w:val="bottom"/>
          </w:tcPr>
          <w:p>
            <w:pPr>
              <w:jc w:val="right"/>
              <w:ind w:right="48"/>
              <w:spacing w:after="0" w:line="148" w:lineRule="exact"/>
              <w:rPr>
                <w:sz w:val="20"/>
                <w:szCs w:val="20"/>
                <w:color w:val="auto"/>
              </w:rPr>
            </w:pPr>
            <w:r>
              <w:rPr>
                <w:rFonts w:ascii="Calibri" w:cs="Calibri" w:eastAsia="Calibri" w:hAnsi="Calibri"/>
                <w:sz w:val="14"/>
                <w:szCs w:val="14"/>
                <w:color w:val="auto"/>
              </w:rPr>
              <w:t>200%</w:t>
            </w:r>
          </w:p>
        </w:tc>
        <w:tc>
          <w:tcPr>
            <w:tcW w:w="260" w:type="dxa"/>
            <w:vAlign w:val="bottom"/>
          </w:tcPr>
          <w:p>
            <w:pPr>
              <w:spacing w:after="0"/>
              <w:rPr>
                <w:sz w:val="12"/>
                <w:szCs w:val="12"/>
                <w:color w:val="auto"/>
              </w:rPr>
            </w:pPr>
          </w:p>
        </w:tc>
        <w:tc>
          <w:tcPr>
            <w:tcW w:w="760" w:type="dxa"/>
            <w:vAlign w:val="bottom"/>
          </w:tcPr>
          <w:p>
            <w:pPr>
              <w:jc w:val="right"/>
              <w:ind w:right="28"/>
              <w:spacing w:after="0" w:line="148" w:lineRule="exact"/>
              <w:rPr>
                <w:sz w:val="20"/>
                <w:szCs w:val="20"/>
                <w:color w:val="auto"/>
              </w:rPr>
            </w:pPr>
            <w:r>
              <w:rPr>
                <w:rFonts w:ascii="Calibri" w:cs="Calibri" w:eastAsia="Calibri" w:hAnsi="Calibri"/>
                <w:sz w:val="14"/>
                <w:szCs w:val="14"/>
                <w:color w:val="auto"/>
              </w:rPr>
              <w:t>150%</w:t>
            </w:r>
          </w:p>
        </w:tc>
      </w:tr>
      <w:tr>
        <w:trPr>
          <w:trHeight w:val="170"/>
        </w:trPr>
        <w:tc>
          <w:tcPr>
            <w:tcW w:w="4560" w:type="dxa"/>
            <w:vAlign w:val="bottom"/>
          </w:tcPr>
          <w:p>
            <w:pPr>
              <w:ind w:left="100"/>
              <w:spacing w:after="0"/>
              <w:rPr>
                <w:sz w:val="20"/>
                <w:szCs w:val="20"/>
                <w:color w:val="auto"/>
              </w:rPr>
            </w:pPr>
            <w:r>
              <w:rPr>
                <w:rFonts w:ascii="Calibri" w:cs="Calibri" w:eastAsia="Calibri" w:hAnsi="Calibri"/>
                <w:sz w:val="14"/>
                <w:szCs w:val="14"/>
                <w:color w:val="auto"/>
              </w:rPr>
              <w:t>Maximum Grant-date fair value of shares-Mr. Lampropoulos</w:t>
            </w:r>
          </w:p>
        </w:tc>
        <w:tc>
          <w:tcPr>
            <w:tcW w:w="3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48"/>
              <w:spacing w:after="0"/>
              <w:rPr>
                <w:sz w:val="20"/>
                <w:szCs w:val="20"/>
                <w:color w:val="auto"/>
              </w:rPr>
            </w:pPr>
            <w:r>
              <w:rPr>
                <w:rFonts w:ascii="Calibri" w:cs="Calibri" w:eastAsia="Calibri" w:hAnsi="Calibri"/>
                <w:sz w:val="14"/>
                <w:szCs w:val="14"/>
                <w:color w:val="auto"/>
              </w:rPr>
              <w:t>2,318,334</w:t>
            </w:r>
          </w:p>
        </w:tc>
        <w:tc>
          <w:tcPr>
            <w:tcW w:w="2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48"/>
              <w:spacing w:after="0"/>
              <w:rPr>
                <w:sz w:val="20"/>
                <w:szCs w:val="20"/>
                <w:color w:val="auto"/>
              </w:rPr>
            </w:pPr>
            <w:r>
              <w:rPr>
                <w:rFonts w:ascii="Calibri" w:cs="Calibri" w:eastAsia="Calibri" w:hAnsi="Calibri"/>
                <w:sz w:val="14"/>
                <w:szCs w:val="14"/>
                <w:color w:val="auto"/>
              </w:rPr>
              <w:t>1,835,704</w:t>
            </w:r>
          </w:p>
        </w:tc>
        <w:tc>
          <w:tcPr>
            <w:tcW w:w="2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28"/>
              <w:spacing w:after="0"/>
              <w:rPr>
                <w:sz w:val="20"/>
                <w:szCs w:val="20"/>
                <w:color w:val="auto"/>
              </w:rPr>
            </w:pPr>
            <w:r>
              <w:rPr>
                <w:rFonts w:ascii="Calibri" w:cs="Calibri" w:eastAsia="Calibri" w:hAnsi="Calibri"/>
                <w:sz w:val="14"/>
                <w:szCs w:val="14"/>
                <w:color w:val="auto"/>
              </w:rPr>
              <w:t>1,746,178</w:t>
            </w:r>
          </w:p>
        </w:tc>
      </w:tr>
      <w:tr>
        <w:trPr>
          <w:trHeight w:val="175"/>
        </w:trPr>
        <w:tc>
          <w:tcPr>
            <w:tcW w:w="4560" w:type="dxa"/>
            <w:vAlign w:val="bottom"/>
          </w:tcPr>
          <w:p>
            <w:pPr>
              <w:ind w:left="100"/>
              <w:spacing w:after="0"/>
              <w:rPr>
                <w:sz w:val="20"/>
                <w:szCs w:val="20"/>
                <w:color w:val="auto"/>
              </w:rPr>
            </w:pPr>
            <w:r>
              <w:rPr>
                <w:rFonts w:ascii="Calibri" w:cs="Calibri" w:eastAsia="Calibri" w:hAnsi="Calibri"/>
                <w:sz w:val="14"/>
                <w:szCs w:val="14"/>
                <w:color w:val="auto"/>
              </w:rPr>
              <w:t>Maximum Grant-date fair value of PSU cash incentve -Mr. Lampropoulos</w:t>
            </w:r>
          </w:p>
        </w:tc>
        <w:tc>
          <w:tcPr>
            <w:tcW w:w="3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48"/>
              <w:spacing w:after="0"/>
              <w:rPr>
                <w:sz w:val="20"/>
                <w:szCs w:val="20"/>
                <w:color w:val="auto"/>
              </w:rPr>
            </w:pPr>
            <w:r>
              <w:rPr>
                <w:rFonts w:ascii="Calibri" w:cs="Calibri" w:eastAsia="Calibri" w:hAnsi="Calibri"/>
                <w:sz w:val="14"/>
                <w:szCs w:val="14"/>
                <w:color w:val="auto"/>
              </w:rPr>
              <w:t>2,897,893</w:t>
            </w:r>
          </w:p>
        </w:tc>
        <w:tc>
          <w:tcPr>
            <w:tcW w:w="2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48"/>
              <w:spacing w:after="0"/>
              <w:rPr>
                <w:sz w:val="20"/>
                <w:szCs w:val="20"/>
                <w:color w:val="auto"/>
              </w:rPr>
            </w:pPr>
            <w:r>
              <w:rPr>
                <w:rFonts w:ascii="Calibri" w:cs="Calibri" w:eastAsia="Calibri" w:hAnsi="Calibri"/>
                <w:sz w:val="14"/>
                <w:szCs w:val="14"/>
                <w:color w:val="auto"/>
              </w:rPr>
              <w:t>2,294,400</w:t>
            </w:r>
          </w:p>
        </w:tc>
        <w:tc>
          <w:tcPr>
            <w:tcW w:w="2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28"/>
              <w:spacing w:after="0"/>
              <w:rPr>
                <w:sz w:val="20"/>
                <w:szCs w:val="20"/>
                <w:color w:val="auto"/>
              </w:rPr>
            </w:pPr>
            <w:r>
              <w:rPr>
                <w:rFonts w:ascii="Calibri" w:cs="Calibri" w:eastAsia="Calibri" w:hAnsi="Calibri"/>
                <w:sz w:val="14"/>
                <w:szCs w:val="14"/>
                <w:color w:val="auto"/>
              </w:rPr>
              <w:t>2,182,755</w:t>
            </w:r>
          </w:p>
        </w:tc>
      </w:tr>
      <w:tr>
        <w:trPr>
          <w:trHeight w:val="175"/>
        </w:trPr>
        <w:tc>
          <w:tcPr>
            <w:tcW w:w="4560" w:type="dxa"/>
            <w:vAlign w:val="bottom"/>
          </w:tcPr>
          <w:p>
            <w:pPr>
              <w:ind w:left="100"/>
              <w:spacing w:after="0"/>
              <w:rPr>
                <w:sz w:val="20"/>
                <w:szCs w:val="20"/>
                <w:color w:val="auto"/>
              </w:rPr>
            </w:pPr>
            <w:r>
              <w:rPr>
                <w:rFonts w:ascii="Calibri" w:cs="Calibri" w:eastAsia="Calibri" w:hAnsi="Calibri"/>
                <w:sz w:val="14"/>
                <w:szCs w:val="14"/>
                <w:color w:val="auto"/>
              </w:rPr>
              <w:t>Maximum Grant-date fair value of shares-Mr. Parra</w:t>
            </w:r>
          </w:p>
        </w:tc>
        <w:tc>
          <w:tcPr>
            <w:tcW w:w="3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48"/>
              <w:spacing w:after="0"/>
              <w:rPr>
                <w:sz w:val="20"/>
                <w:szCs w:val="20"/>
                <w:color w:val="auto"/>
              </w:rPr>
            </w:pPr>
            <w:r>
              <w:rPr>
                <w:rFonts w:ascii="Calibri" w:cs="Calibri" w:eastAsia="Calibri" w:hAnsi="Calibri"/>
                <w:sz w:val="14"/>
                <w:szCs w:val="14"/>
                <w:color w:val="auto"/>
              </w:rPr>
              <w:t>1,304,053</w:t>
            </w:r>
          </w:p>
        </w:tc>
        <w:tc>
          <w:tcPr>
            <w:tcW w:w="2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48"/>
              <w:spacing w:after="0"/>
              <w:rPr>
                <w:sz w:val="20"/>
                <w:szCs w:val="20"/>
                <w:color w:val="auto"/>
              </w:rPr>
            </w:pPr>
            <w:r>
              <w:rPr>
                <w:rFonts w:ascii="Calibri" w:cs="Calibri" w:eastAsia="Calibri" w:hAnsi="Calibri"/>
                <w:sz w:val="14"/>
                <w:szCs w:val="14"/>
                <w:color w:val="auto"/>
              </w:rPr>
              <w:t>1,239,123</w:t>
            </w:r>
          </w:p>
        </w:tc>
        <w:tc>
          <w:tcPr>
            <w:tcW w:w="2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28"/>
              <w:spacing w:after="0"/>
              <w:rPr>
                <w:sz w:val="20"/>
                <w:szCs w:val="20"/>
                <w:color w:val="auto"/>
              </w:rPr>
            </w:pPr>
            <w:r>
              <w:rPr>
                <w:rFonts w:ascii="Calibri" w:cs="Calibri" w:eastAsia="Calibri" w:hAnsi="Calibri"/>
                <w:sz w:val="14"/>
                <w:szCs w:val="14"/>
                <w:color w:val="auto"/>
              </w:rPr>
              <w:t>654,786</w:t>
            </w:r>
          </w:p>
        </w:tc>
      </w:tr>
      <w:tr>
        <w:trPr>
          <w:trHeight w:val="175"/>
        </w:trPr>
        <w:tc>
          <w:tcPr>
            <w:tcW w:w="4560" w:type="dxa"/>
            <w:vAlign w:val="bottom"/>
          </w:tcPr>
          <w:p>
            <w:pPr>
              <w:ind w:left="100"/>
              <w:spacing w:after="0"/>
              <w:rPr>
                <w:sz w:val="20"/>
                <w:szCs w:val="20"/>
                <w:color w:val="auto"/>
              </w:rPr>
            </w:pPr>
            <w:r>
              <w:rPr>
                <w:rFonts w:ascii="Calibri" w:cs="Calibri" w:eastAsia="Calibri" w:hAnsi="Calibri"/>
                <w:sz w:val="14"/>
                <w:szCs w:val="14"/>
                <w:color w:val="auto"/>
              </w:rPr>
              <w:t>Maximum Grant-date fair value of shares-Messrs. Lloyd and Wright</w:t>
            </w:r>
          </w:p>
        </w:tc>
        <w:tc>
          <w:tcPr>
            <w:tcW w:w="3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48"/>
              <w:spacing w:after="0"/>
              <w:rPr>
                <w:sz w:val="20"/>
                <w:szCs w:val="20"/>
                <w:color w:val="auto"/>
              </w:rPr>
            </w:pPr>
            <w:r>
              <w:rPr>
                <w:rFonts w:ascii="Calibri" w:cs="Calibri" w:eastAsia="Calibri" w:hAnsi="Calibri"/>
                <w:sz w:val="14"/>
                <w:szCs w:val="14"/>
                <w:color w:val="auto"/>
              </w:rPr>
              <w:t>1,304,053</w:t>
            </w:r>
          </w:p>
        </w:tc>
        <w:tc>
          <w:tcPr>
            <w:tcW w:w="2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48"/>
              <w:spacing w:after="0"/>
              <w:rPr>
                <w:sz w:val="20"/>
                <w:szCs w:val="20"/>
                <w:color w:val="auto"/>
              </w:rPr>
            </w:pPr>
            <w:r>
              <w:rPr>
                <w:rFonts w:ascii="Calibri" w:cs="Calibri" w:eastAsia="Calibri" w:hAnsi="Calibri"/>
                <w:sz w:val="14"/>
                <w:szCs w:val="14"/>
                <w:color w:val="auto"/>
              </w:rPr>
              <w:t>688,352</w:t>
            </w:r>
          </w:p>
        </w:tc>
        <w:tc>
          <w:tcPr>
            <w:tcW w:w="2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28"/>
              <w:spacing w:after="0"/>
              <w:rPr>
                <w:sz w:val="20"/>
                <w:szCs w:val="20"/>
                <w:color w:val="auto"/>
              </w:rPr>
            </w:pPr>
            <w:r>
              <w:rPr>
                <w:rFonts w:ascii="Calibri" w:cs="Calibri" w:eastAsia="Calibri" w:hAnsi="Calibri"/>
                <w:sz w:val="14"/>
                <w:szCs w:val="14"/>
                <w:color w:val="auto"/>
              </w:rPr>
              <w:t>654,786</w:t>
            </w:r>
          </w:p>
        </w:tc>
      </w:tr>
      <w:tr>
        <w:trPr>
          <w:trHeight w:val="175"/>
        </w:trPr>
        <w:tc>
          <w:tcPr>
            <w:tcW w:w="4560" w:type="dxa"/>
            <w:vAlign w:val="bottom"/>
          </w:tcPr>
          <w:p>
            <w:pPr>
              <w:ind w:left="100"/>
              <w:spacing w:after="0"/>
              <w:rPr>
                <w:sz w:val="20"/>
                <w:szCs w:val="20"/>
                <w:color w:val="auto"/>
              </w:rPr>
            </w:pPr>
            <w:r>
              <w:rPr>
                <w:rFonts w:ascii="Calibri" w:cs="Calibri" w:eastAsia="Calibri" w:hAnsi="Calibri"/>
                <w:sz w:val="14"/>
                <w:szCs w:val="14"/>
                <w:color w:val="auto"/>
              </w:rPr>
              <w:t>Maximum Grant-date fair value of shares-Mr. Peterson</w:t>
            </w:r>
          </w:p>
        </w:tc>
        <w:tc>
          <w:tcPr>
            <w:tcW w:w="3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48"/>
              <w:spacing w:after="0"/>
              <w:rPr>
                <w:sz w:val="20"/>
                <w:szCs w:val="20"/>
                <w:color w:val="auto"/>
              </w:rPr>
            </w:pPr>
            <w:r>
              <w:rPr>
                <w:rFonts w:ascii="Calibri" w:cs="Calibri" w:eastAsia="Calibri" w:hAnsi="Calibri"/>
                <w:sz w:val="14"/>
                <w:szCs w:val="14"/>
                <w:color w:val="auto"/>
              </w:rPr>
              <w:t>1,304,053</w:t>
            </w:r>
          </w:p>
        </w:tc>
        <w:tc>
          <w:tcPr>
            <w:tcW w:w="2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ind w:right="48"/>
              <w:spacing w:after="0"/>
              <w:rPr>
                <w:sz w:val="20"/>
                <w:szCs w:val="20"/>
                <w:color w:val="auto"/>
              </w:rPr>
            </w:pPr>
            <w:r>
              <w:rPr>
                <w:rFonts w:ascii="Calibri" w:cs="Calibri" w:eastAsia="Calibri" w:hAnsi="Calibri"/>
                <w:sz w:val="14"/>
                <w:szCs w:val="14"/>
                <w:color w:val="auto"/>
              </w:rPr>
              <w:t>636,225</w:t>
            </w:r>
          </w:p>
        </w:tc>
        <w:tc>
          <w:tcPr>
            <w:tcW w:w="2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Calibri" w:cs="Calibri" w:eastAsia="Calibri" w:hAnsi="Calibri"/>
                <w:sz w:val="14"/>
                <w:szCs w:val="14"/>
                <w:color w:val="auto"/>
              </w:rPr>
              <w:t>—</w:t>
            </w:r>
          </w:p>
        </w:tc>
      </w:tr>
      <w:tr>
        <w:trPr>
          <w:trHeight w:val="41"/>
        </w:trPr>
        <w:tc>
          <w:tcPr>
            <w:tcW w:w="4560" w:type="dxa"/>
            <w:vAlign w:val="bottom"/>
            <w:tcBorders>
              <w:bottom w:val="single" w:sz="8" w:color="AF0000"/>
            </w:tcBorders>
          </w:tcPr>
          <w:p>
            <w:pPr>
              <w:spacing w:after="0"/>
              <w:rPr>
                <w:sz w:val="3"/>
                <w:szCs w:val="3"/>
                <w:color w:val="auto"/>
              </w:rPr>
            </w:pPr>
          </w:p>
        </w:tc>
        <w:tc>
          <w:tcPr>
            <w:tcW w:w="380" w:type="dxa"/>
            <w:vAlign w:val="bottom"/>
            <w:tcBorders>
              <w:bottom w:val="single" w:sz="8" w:color="AF0000"/>
            </w:tcBorders>
          </w:tcPr>
          <w:p>
            <w:pPr>
              <w:spacing w:after="0"/>
              <w:rPr>
                <w:sz w:val="3"/>
                <w:szCs w:val="3"/>
                <w:color w:val="auto"/>
              </w:rPr>
            </w:pPr>
          </w:p>
        </w:tc>
        <w:tc>
          <w:tcPr>
            <w:tcW w:w="760" w:type="dxa"/>
            <w:vAlign w:val="bottom"/>
            <w:tcBorders>
              <w:bottom w:val="single" w:sz="8" w:color="AF0000"/>
            </w:tcBorders>
          </w:tcPr>
          <w:p>
            <w:pPr>
              <w:spacing w:after="0"/>
              <w:rPr>
                <w:sz w:val="3"/>
                <w:szCs w:val="3"/>
                <w:color w:val="auto"/>
              </w:rPr>
            </w:pPr>
          </w:p>
        </w:tc>
        <w:tc>
          <w:tcPr>
            <w:tcW w:w="240" w:type="dxa"/>
            <w:vAlign w:val="bottom"/>
            <w:tcBorders>
              <w:bottom w:val="single" w:sz="8" w:color="AF0000"/>
            </w:tcBorders>
          </w:tcPr>
          <w:p>
            <w:pPr>
              <w:spacing w:after="0"/>
              <w:rPr>
                <w:sz w:val="3"/>
                <w:szCs w:val="3"/>
                <w:color w:val="auto"/>
              </w:rPr>
            </w:pPr>
          </w:p>
        </w:tc>
        <w:tc>
          <w:tcPr>
            <w:tcW w:w="760" w:type="dxa"/>
            <w:vAlign w:val="bottom"/>
            <w:tcBorders>
              <w:bottom w:val="single" w:sz="8" w:color="AF0000"/>
            </w:tcBorders>
          </w:tcPr>
          <w:p>
            <w:pPr>
              <w:spacing w:after="0"/>
              <w:rPr>
                <w:sz w:val="3"/>
                <w:szCs w:val="3"/>
                <w:color w:val="auto"/>
              </w:rPr>
            </w:pPr>
          </w:p>
        </w:tc>
        <w:tc>
          <w:tcPr>
            <w:tcW w:w="260" w:type="dxa"/>
            <w:vAlign w:val="bottom"/>
            <w:tcBorders>
              <w:bottom w:val="single" w:sz="8" w:color="AF0000"/>
            </w:tcBorders>
          </w:tcPr>
          <w:p>
            <w:pPr>
              <w:spacing w:after="0"/>
              <w:rPr>
                <w:sz w:val="3"/>
                <w:szCs w:val="3"/>
                <w:color w:val="auto"/>
              </w:rPr>
            </w:pPr>
          </w:p>
        </w:tc>
        <w:tc>
          <w:tcPr>
            <w:tcW w:w="760" w:type="dxa"/>
            <w:vAlign w:val="bottom"/>
            <w:tcBorders>
              <w:bottom w:val="single" w:sz="8" w:color="AF0000"/>
            </w:tcBorders>
          </w:tcPr>
          <w:p>
            <w:pPr>
              <w:spacing w:after="0"/>
              <w:rPr>
                <w:sz w:val="3"/>
                <w:szCs w:val="3"/>
                <w:color w:val="auto"/>
              </w:rPr>
            </w:pPr>
          </w:p>
        </w:tc>
      </w:tr>
    </w:tbl>
    <w:p>
      <w:pPr>
        <w:spacing w:after="0" w:line="76" w:lineRule="exact"/>
        <w:rPr>
          <w:sz w:val="20"/>
          <w:szCs w:val="20"/>
          <w:color w:val="auto"/>
        </w:rPr>
      </w:pPr>
    </w:p>
    <w:p>
      <w:pPr>
        <w:ind w:left="540" w:right="299" w:hanging="331"/>
        <w:spacing w:after="0" w:line="239" w:lineRule="auto"/>
        <w:tabs>
          <w:tab w:leader="none" w:pos="540" w:val="left"/>
        </w:tabs>
        <w:numPr>
          <w:ilvl w:val="0"/>
          <w:numId w:val="82"/>
        </w:numPr>
        <w:rPr>
          <w:rFonts w:ascii="Calibri" w:cs="Calibri" w:eastAsia="Calibri" w:hAnsi="Calibri"/>
          <w:sz w:val="16"/>
          <w:szCs w:val="16"/>
          <w:color w:val="AF0000"/>
        </w:rPr>
      </w:pPr>
      <w:r>
        <w:rPr>
          <w:rFonts w:ascii="Calibri" w:cs="Calibri" w:eastAsia="Calibri" w:hAnsi="Calibri"/>
          <w:sz w:val="16"/>
          <w:szCs w:val="16"/>
          <w:color w:val="auto"/>
        </w:rPr>
        <w:t>Assumptons used in the calculaton of these amounts for 2023, 2022, and 2021 are included in footnotes to our audited consolidated fnancial statements for the years ended December 31, 2023, 2022, and 2021 (which are included in our Annual Reports on Form 10-K fled with the SEC on February 28, 2024, February 24, 2023 and March 1, 2022, respectvely).</w:t>
      </w:r>
    </w:p>
    <w:p>
      <w:pPr>
        <w:spacing w:after="0" w:line="200" w:lineRule="exact"/>
        <w:rPr>
          <w:sz w:val="20"/>
          <w:szCs w:val="20"/>
          <w:color w:val="auto"/>
        </w:rPr>
      </w:pPr>
    </w:p>
    <w:p>
      <w:pPr>
        <w:spacing w:after="0" w:line="208"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58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62" w:name="page63"/>
    <w:bookmarkEnd w:id="62"/>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EXECUTIVE COMPENSATION AND RELATED MATTERS</w:t>
      </w:r>
    </w:p>
    <w:p>
      <w:pPr>
        <w:spacing w:after="0" w:line="181" w:lineRule="exact"/>
        <w:rPr>
          <w:sz w:val="20"/>
          <w:szCs w:val="20"/>
          <w:color w:val="auto"/>
        </w:rPr>
      </w:pPr>
    </w:p>
    <w:p>
      <w:pPr>
        <w:ind w:left="540" w:right="439" w:hanging="331"/>
        <w:spacing w:after="0" w:line="237" w:lineRule="auto"/>
        <w:tabs>
          <w:tab w:leader="none" w:pos="540" w:val="left"/>
        </w:tabs>
        <w:numPr>
          <w:ilvl w:val="0"/>
          <w:numId w:val="83"/>
        </w:numPr>
        <w:rPr>
          <w:rFonts w:ascii="Calibri" w:cs="Calibri" w:eastAsia="Calibri" w:hAnsi="Calibri"/>
          <w:sz w:val="16"/>
          <w:szCs w:val="16"/>
          <w:color w:val="AF0000"/>
        </w:rPr>
      </w:pPr>
      <w:r>
        <w:rPr>
          <w:rFonts w:ascii="Calibri" w:cs="Calibri" w:eastAsia="Calibri" w:hAnsi="Calibri"/>
          <w:sz w:val="16"/>
          <w:szCs w:val="16"/>
          <w:color w:val="auto"/>
        </w:rPr>
        <w:t>Opton awards refect the aggregate grant date fair value of the optons granted to the NEOs in the year shown under our 2018 Incentve Plan, computed in accordance with ASC Topic 718. Such amounts have been calculated in accordance with current fnancial statement reportng guidance, using the same assumptons the Company has used for fnancial statement reportng purposes with respect to our long-term incentve plans.</w:t>
      </w:r>
    </w:p>
    <w:p>
      <w:pPr>
        <w:spacing w:after="0" w:line="2" w:lineRule="exact"/>
        <w:rPr>
          <w:rFonts w:ascii="Calibri" w:cs="Calibri" w:eastAsia="Calibri" w:hAnsi="Calibri"/>
          <w:sz w:val="16"/>
          <w:szCs w:val="16"/>
          <w:color w:val="AF0000"/>
        </w:rPr>
      </w:pPr>
    </w:p>
    <w:p>
      <w:pPr>
        <w:ind w:left="540" w:right="339" w:hanging="331"/>
        <w:spacing w:after="0" w:line="235" w:lineRule="auto"/>
        <w:tabs>
          <w:tab w:leader="none" w:pos="540" w:val="left"/>
        </w:tabs>
        <w:numPr>
          <w:ilvl w:val="0"/>
          <w:numId w:val="83"/>
        </w:numPr>
        <w:rPr>
          <w:rFonts w:ascii="Calibri" w:cs="Calibri" w:eastAsia="Calibri" w:hAnsi="Calibri"/>
          <w:sz w:val="16"/>
          <w:szCs w:val="16"/>
          <w:color w:val="AF0000"/>
        </w:rPr>
      </w:pPr>
      <w:r>
        <w:rPr>
          <w:rFonts w:ascii="Calibri" w:cs="Calibri" w:eastAsia="Calibri" w:hAnsi="Calibri"/>
          <w:sz w:val="16"/>
          <w:szCs w:val="16"/>
          <w:color w:val="auto"/>
        </w:rPr>
        <w:t>Annual Incentve bonuses under our Executve Bonus Plan based on pre-established performance criteria appear in the Non-Equity Incentve Plan Compensaton column. Based upon the Company’s achievement of goals established by the Compensaton Commitee, the Compensaton Commitee determined to award and pay the annual cash bonus at 118.12%, 91.67% and 104.8% of the target payment amount for each of the NEOs for 2023, 2022 and 2021, respectvely. Payment was made in 2024, 2023, and 2022 respectvely.</w:t>
      </w:r>
    </w:p>
    <w:p>
      <w:pPr>
        <w:spacing w:after="0" w:line="2" w:lineRule="exact"/>
        <w:rPr>
          <w:rFonts w:ascii="Calibri" w:cs="Calibri" w:eastAsia="Calibri" w:hAnsi="Calibri"/>
          <w:sz w:val="16"/>
          <w:szCs w:val="16"/>
          <w:color w:val="AF0000"/>
        </w:rPr>
      </w:pPr>
    </w:p>
    <w:p>
      <w:pPr>
        <w:ind w:left="540" w:hanging="331"/>
        <w:spacing w:after="0" w:line="232" w:lineRule="auto"/>
        <w:tabs>
          <w:tab w:leader="none" w:pos="540" w:val="left"/>
        </w:tabs>
        <w:numPr>
          <w:ilvl w:val="0"/>
          <w:numId w:val="83"/>
        </w:numPr>
        <w:rPr>
          <w:rFonts w:ascii="Calibri" w:cs="Calibri" w:eastAsia="Calibri" w:hAnsi="Calibri"/>
          <w:sz w:val="16"/>
          <w:szCs w:val="16"/>
          <w:color w:val="AF0000"/>
        </w:rPr>
      </w:pPr>
      <w:r>
        <w:rPr>
          <w:rFonts w:ascii="Calibri" w:cs="Calibri" w:eastAsia="Calibri" w:hAnsi="Calibri"/>
          <w:sz w:val="16"/>
          <w:szCs w:val="16"/>
          <w:color w:val="auto"/>
        </w:rPr>
        <w:t>Amounts include vacaton benefts paid to the NEOs in cash in lieu of vacaton benefts, as follows:</w:t>
      </w:r>
    </w:p>
    <w:p>
      <w:pPr>
        <w:ind w:left="1200" w:right="459" w:hanging="316"/>
        <w:spacing w:after="0" w:line="232" w:lineRule="auto"/>
        <w:tabs>
          <w:tab w:leader="none" w:pos="1200" w:val="left"/>
        </w:tabs>
        <w:numPr>
          <w:ilvl w:val="1"/>
          <w:numId w:val="83"/>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for the year ended December 31, 2023: $59,934 for Mr. Parra; $72,691 for Mr. Peterson; $71,010 for Mr. Wright; and $23,634 for Mr. Lloyd.</w:t>
      </w:r>
    </w:p>
    <w:p>
      <w:pPr>
        <w:spacing w:after="0" w:line="9" w:lineRule="exact"/>
        <w:rPr>
          <w:rFonts w:ascii="Times New Roman" w:cs="Times New Roman" w:eastAsia="Times New Roman" w:hAnsi="Times New Roman"/>
          <w:sz w:val="16"/>
          <w:szCs w:val="16"/>
          <w:color w:val="AF0000"/>
        </w:rPr>
      </w:pPr>
    </w:p>
    <w:p>
      <w:pPr>
        <w:ind w:left="1200" w:right="459" w:hanging="316"/>
        <w:spacing w:after="0" w:line="235" w:lineRule="auto"/>
        <w:tabs>
          <w:tab w:leader="none" w:pos="1200" w:val="left"/>
        </w:tabs>
        <w:numPr>
          <w:ilvl w:val="1"/>
          <w:numId w:val="83"/>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for the year ended December 31, 2022: $44,639 for Mr. Parra; $41,609 for Mr. Peterson; $60,220 for Mr. Wright; and $20,781 for Mr. Lloyd.</w:t>
      </w:r>
    </w:p>
    <w:p>
      <w:pPr>
        <w:spacing w:after="0" w:line="7" w:lineRule="exact"/>
        <w:rPr>
          <w:rFonts w:ascii="Times New Roman" w:cs="Times New Roman" w:eastAsia="Times New Roman" w:hAnsi="Times New Roman"/>
          <w:sz w:val="16"/>
          <w:szCs w:val="16"/>
          <w:color w:val="AF0000"/>
        </w:rPr>
      </w:pPr>
    </w:p>
    <w:p>
      <w:pPr>
        <w:ind w:left="1200" w:hanging="316"/>
        <w:spacing w:after="0"/>
        <w:tabs>
          <w:tab w:leader="none" w:pos="1200" w:val="left"/>
        </w:tabs>
        <w:numPr>
          <w:ilvl w:val="1"/>
          <w:numId w:val="83"/>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for the year ended December 31, 2021: $57,980 for Mr. Parra; $51,554 for Mr. Wright; and $11,885 for Mr. Lloyd.</w:t>
      </w:r>
    </w:p>
    <w:p>
      <w:pPr>
        <w:spacing w:after="0" w:line="21" w:lineRule="exact"/>
        <w:rPr>
          <w:rFonts w:ascii="Times New Roman" w:cs="Times New Roman" w:eastAsia="Times New Roman" w:hAnsi="Times New Roman"/>
          <w:sz w:val="16"/>
          <w:szCs w:val="16"/>
          <w:color w:val="AF0000"/>
        </w:rPr>
      </w:pPr>
    </w:p>
    <w:p>
      <w:pPr>
        <w:ind w:left="540" w:right="539" w:hanging="331"/>
        <w:spacing w:after="0" w:line="219" w:lineRule="auto"/>
        <w:tabs>
          <w:tab w:leader="none" w:pos="540" w:val="left"/>
        </w:tabs>
        <w:numPr>
          <w:ilvl w:val="0"/>
          <w:numId w:val="83"/>
        </w:numPr>
        <w:rPr>
          <w:rFonts w:ascii="Calibri" w:cs="Calibri" w:eastAsia="Calibri" w:hAnsi="Calibri"/>
          <w:sz w:val="16"/>
          <w:szCs w:val="16"/>
          <w:color w:val="AF0000"/>
        </w:rPr>
      </w:pPr>
      <w:r>
        <w:rPr>
          <w:rFonts w:ascii="Calibri" w:cs="Calibri" w:eastAsia="Calibri" w:hAnsi="Calibri"/>
          <w:sz w:val="16"/>
          <w:szCs w:val="16"/>
          <w:color w:val="auto"/>
        </w:rPr>
        <w:t>Amounts shown also include matching contributons made by the Company for the beneft of the NEOs to the Company’s 401(k) Plan in the following amounts:</w:t>
      </w:r>
    </w:p>
    <w:p>
      <w:pPr>
        <w:spacing w:after="0" w:line="9" w:lineRule="exact"/>
        <w:rPr>
          <w:rFonts w:ascii="Calibri" w:cs="Calibri" w:eastAsia="Calibri" w:hAnsi="Calibri"/>
          <w:sz w:val="16"/>
          <w:szCs w:val="16"/>
          <w:color w:val="AF0000"/>
        </w:rPr>
      </w:pPr>
    </w:p>
    <w:p>
      <w:pPr>
        <w:ind w:left="1200" w:right="259" w:hanging="316"/>
        <w:spacing w:after="0" w:line="235" w:lineRule="auto"/>
        <w:tabs>
          <w:tab w:leader="none" w:pos="1200" w:val="left"/>
        </w:tabs>
        <w:numPr>
          <w:ilvl w:val="1"/>
          <w:numId w:val="83"/>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for the year ended December 31, 2023: $8,700 for each of Messrs. Lampropoulos, Parra, Wright, and Peterson, and $7,872 for Mr. Lloyd.</w:t>
      </w:r>
    </w:p>
    <w:p>
      <w:pPr>
        <w:spacing w:after="0" w:line="9" w:lineRule="exact"/>
        <w:rPr>
          <w:rFonts w:ascii="Times New Roman" w:cs="Times New Roman" w:eastAsia="Times New Roman" w:hAnsi="Times New Roman"/>
          <w:sz w:val="16"/>
          <w:szCs w:val="16"/>
          <w:color w:val="AF0000"/>
        </w:rPr>
      </w:pPr>
    </w:p>
    <w:p>
      <w:pPr>
        <w:ind w:left="1200" w:right="259" w:hanging="316"/>
        <w:spacing w:after="0" w:line="235" w:lineRule="auto"/>
        <w:tabs>
          <w:tab w:leader="none" w:pos="1200" w:val="left"/>
        </w:tabs>
        <w:numPr>
          <w:ilvl w:val="1"/>
          <w:numId w:val="83"/>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for the year ended December 31, 2022: $8,700 for each of Messrs. Lampropoulos, Parra, Wright, and Peterson, and $7,872 for Mr. Lloyd.</w:t>
      </w:r>
    </w:p>
    <w:p>
      <w:pPr>
        <w:spacing w:after="0" w:line="7" w:lineRule="exact"/>
        <w:rPr>
          <w:rFonts w:ascii="Times New Roman" w:cs="Times New Roman" w:eastAsia="Times New Roman" w:hAnsi="Times New Roman"/>
          <w:sz w:val="16"/>
          <w:szCs w:val="16"/>
          <w:color w:val="AF0000"/>
        </w:rPr>
      </w:pPr>
    </w:p>
    <w:p>
      <w:pPr>
        <w:ind w:left="1200" w:hanging="316"/>
        <w:spacing w:after="0"/>
        <w:tabs>
          <w:tab w:leader="none" w:pos="1200" w:val="left"/>
        </w:tabs>
        <w:numPr>
          <w:ilvl w:val="1"/>
          <w:numId w:val="83"/>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for the year ended December 31, 2021: $150 for Mr. Wright.</w:t>
      </w:r>
    </w:p>
    <w:p>
      <w:pPr>
        <w:spacing w:after="0" w:line="21" w:lineRule="exact"/>
        <w:rPr>
          <w:rFonts w:ascii="Times New Roman" w:cs="Times New Roman" w:eastAsia="Times New Roman" w:hAnsi="Times New Roman"/>
          <w:sz w:val="16"/>
          <w:szCs w:val="16"/>
          <w:color w:val="AF0000"/>
        </w:rPr>
      </w:pPr>
    </w:p>
    <w:p>
      <w:pPr>
        <w:ind w:left="540" w:right="599" w:hanging="331"/>
        <w:spacing w:after="0" w:line="219" w:lineRule="auto"/>
        <w:tabs>
          <w:tab w:leader="none" w:pos="540" w:val="left"/>
        </w:tabs>
        <w:numPr>
          <w:ilvl w:val="0"/>
          <w:numId w:val="83"/>
        </w:numPr>
        <w:rPr>
          <w:rFonts w:ascii="Calibri" w:cs="Calibri" w:eastAsia="Calibri" w:hAnsi="Calibri"/>
          <w:sz w:val="16"/>
          <w:szCs w:val="16"/>
          <w:color w:val="AF0000"/>
        </w:rPr>
      </w:pPr>
      <w:r>
        <w:rPr>
          <w:rFonts w:ascii="Calibri" w:cs="Calibri" w:eastAsia="Calibri" w:hAnsi="Calibri"/>
          <w:sz w:val="16"/>
          <w:szCs w:val="16"/>
          <w:color w:val="auto"/>
        </w:rPr>
        <w:t>Mr. Peterson became an executve ofcer of the Company on April 19, 2022. The foregoing table presents compensaton received for the years in which an NEO acted in an executve ofcer capacity.</w:t>
      </w:r>
    </w:p>
    <w:p>
      <w:pPr>
        <w:spacing w:after="0" w:line="162"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Grants of Plan-Based Awards</w:t>
      </w:r>
    </w:p>
    <w:p>
      <w:pPr>
        <w:spacing w:after="0" w:line="199" w:lineRule="exact"/>
        <w:rPr>
          <w:sz w:val="20"/>
          <w:szCs w:val="20"/>
          <w:color w:val="auto"/>
        </w:rPr>
      </w:pPr>
    </w:p>
    <w:p>
      <w:pPr>
        <w:ind w:left="200" w:right="359"/>
        <w:spacing w:after="0" w:line="235" w:lineRule="auto"/>
        <w:rPr>
          <w:sz w:val="20"/>
          <w:szCs w:val="20"/>
          <w:color w:val="auto"/>
        </w:rPr>
      </w:pPr>
      <w:r>
        <w:rPr>
          <w:rFonts w:ascii="Calibri" w:cs="Calibri" w:eastAsia="Calibri" w:hAnsi="Calibri"/>
          <w:sz w:val="18"/>
          <w:szCs w:val="18"/>
          <w:color w:val="auto"/>
        </w:rPr>
        <w:t>The following table sets forth informaton concerning plan-based awards to the NEOs during the year ended December 31, 2023.</w:t>
      </w:r>
    </w:p>
    <w:p>
      <w:pPr>
        <w:spacing w:after="0" w:line="180" w:lineRule="exact"/>
        <w:rPr>
          <w:sz w:val="20"/>
          <w:szCs w:val="20"/>
          <w:color w:val="auto"/>
        </w:rPr>
      </w:pPr>
    </w:p>
    <w:tbl>
      <w:tblPr>
        <w:tblLayout w:type="fixed"/>
        <w:tblInd w:w="220" w:type="dxa"/>
        <w:tblCellMar>
          <w:top w:w="0" w:type="dxa"/>
          <w:left w:w="0" w:type="dxa"/>
          <w:bottom w:w="0" w:type="dxa"/>
          <w:right w:w="0" w:type="dxa"/>
        </w:tblCellMar>
      </w:tblPr>
      <w:tr>
        <w:trPr>
          <w:trHeight w:val="165"/>
        </w:trPr>
        <w:tc>
          <w:tcPr>
            <w:tcW w:w="1380" w:type="dxa"/>
            <w:vAlign w:val="bottom"/>
            <w:tcBorders>
              <w:top w:val="single" w:sz="8" w:color="AF0000"/>
            </w:tcBorders>
          </w:tcPr>
          <w:p>
            <w:pPr>
              <w:spacing w:after="0"/>
              <w:rPr>
                <w:sz w:val="14"/>
                <w:szCs w:val="14"/>
                <w:color w:val="auto"/>
              </w:rPr>
            </w:pPr>
          </w:p>
        </w:tc>
        <w:tc>
          <w:tcPr>
            <w:tcW w:w="900" w:type="dxa"/>
            <w:vAlign w:val="bottom"/>
            <w:tcBorders>
              <w:top w:val="single" w:sz="8" w:color="AF0000"/>
            </w:tcBorders>
          </w:tcPr>
          <w:p>
            <w:pPr>
              <w:spacing w:after="0"/>
              <w:rPr>
                <w:sz w:val="14"/>
                <w:szCs w:val="14"/>
                <w:color w:val="auto"/>
              </w:rPr>
            </w:pPr>
          </w:p>
        </w:tc>
        <w:tc>
          <w:tcPr>
            <w:tcW w:w="680" w:type="dxa"/>
            <w:vAlign w:val="bottom"/>
            <w:tcBorders>
              <w:top w:val="single" w:sz="8" w:color="AF0000"/>
            </w:tcBorders>
          </w:tcPr>
          <w:p>
            <w:pPr>
              <w:spacing w:after="0"/>
              <w:rPr>
                <w:sz w:val="14"/>
                <w:szCs w:val="14"/>
                <w:color w:val="auto"/>
              </w:rPr>
            </w:pPr>
          </w:p>
        </w:tc>
        <w:tc>
          <w:tcPr>
            <w:tcW w:w="680" w:type="dxa"/>
            <w:vAlign w:val="bottom"/>
            <w:tcBorders>
              <w:top w:val="single" w:sz="8" w:color="AF0000"/>
            </w:tcBorders>
          </w:tcPr>
          <w:p>
            <w:pPr>
              <w:spacing w:after="0"/>
              <w:rPr>
                <w:sz w:val="14"/>
                <w:szCs w:val="14"/>
                <w:color w:val="auto"/>
              </w:rPr>
            </w:pPr>
          </w:p>
        </w:tc>
        <w:tc>
          <w:tcPr>
            <w:tcW w:w="720" w:type="dxa"/>
            <w:vAlign w:val="bottom"/>
            <w:tcBorders>
              <w:top w:val="single" w:sz="8" w:color="AF0000"/>
            </w:tcBorders>
          </w:tcPr>
          <w:p>
            <w:pPr>
              <w:spacing w:after="0"/>
              <w:rPr>
                <w:sz w:val="14"/>
                <w:szCs w:val="14"/>
                <w:color w:val="auto"/>
              </w:rPr>
            </w:pPr>
          </w:p>
        </w:tc>
        <w:tc>
          <w:tcPr>
            <w:tcW w:w="720" w:type="dxa"/>
            <w:vAlign w:val="bottom"/>
            <w:tcBorders>
              <w:top w:val="single" w:sz="8" w:color="AF0000"/>
            </w:tcBorders>
          </w:tcPr>
          <w:p>
            <w:pPr>
              <w:spacing w:after="0"/>
              <w:rPr>
                <w:sz w:val="14"/>
                <w:szCs w:val="14"/>
                <w:color w:val="auto"/>
              </w:rPr>
            </w:pPr>
          </w:p>
        </w:tc>
        <w:tc>
          <w:tcPr>
            <w:tcW w:w="540" w:type="dxa"/>
            <w:vAlign w:val="bottom"/>
            <w:tcBorders>
              <w:top w:val="single" w:sz="8" w:color="AF0000"/>
            </w:tcBorders>
          </w:tcPr>
          <w:p>
            <w:pPr>
              <w:spacing w:after="0"/>
              <w:rPr>
                <w:sz w:val="14"/>
                <w:szCs w:val="14"/>
                <w:color w:val="auto"/>
              </w:rPr>
            </w:pPr>
          </w:p>
        </w:tc>
        <w:tc>
          <w:tcPr>
            <w:tcW w:w="720" w:type="dxa"/>
            <w:vAlign w:val="bottom"/>
            <w:tcBorders>
              <w:top w:val="single" w:sz="8" w:color="AF0000"/>
            </w:tcBorders>
          </w:tcPr>
          <w:p>
            <w:pPr>
              <w:spacing w:after="0"/>
              <w:rPr>
                <w:sz w:val="14"/>
                <w:szCs w:val="14"/>
                <w:color w:val="auto"/>
              </w:rPr>
            </w:pPr>
          </w:p>
        </w:tc>
        <w:tc>
          <w:tcPr>
            <w:tcW w:w="920" w:type="dxa"/>
            <w:vAlign w:val="bottom"/>
            <w:tcBorders>
              <w:top w:val="single" w:sz="8" w:color="AF0000"/>
            </w:tcBorders>
          </w:tcPr>
          <w:p>
            <w:pPr>
              <w:jc w:val="center"/>
              <w:spacing w:after="0"/>
              <w:rPr>
                <w:sz w:val="20"/>
                <w:szCs w:val="20"/>
                <w:color w:val="auto"/>
              </w:rPr>
            </w:pPr>
            <w:r>
              <w:rPr>
                <w:rFonts w:ascii="Calibri" w:cs="Calibri" w:eastAsia="Calibri" w:hAnsi="Calibri"/>
                <w:sz w:val="13"/>
                <w:szCs w:val="13"/>
                <w:b w:val="1"/>
                <w:bCs w:val="1"/>
                <w:color w:val="auto"/>
                <w:w w:val="98"/>
              </w:rPr>
              <w:t>All other</w:t>
            </w:r>
          </w:p>
        </w:tc>
        <w:tc>
          <w:tcPr>
            <w:tcW w:w="560" w:type="dxa"/>
            <w:vAlign w:val="bottom"/>
            <w:tcBorders>
              <w:top w:val="single" w:sz="8" w:color="AF0000"/>
            </w:tcBorders>
          </w:tcPr>
          <w:p>
            <w:pPr>
              <w:spacing w:after="0"/>
              <w:rPr>
                <w:sz w:val="14"/>
                <w:szCs w:val="14"/>
                <w:color w:val="auto"/>
              </w:rPr>
            </w:pPr>
          </w:p>
        </w:tc>
        <w:tc>
          <w:tcPr>
            <w:tcW w:w="760" w:type="dxa"/>
            <w:vAlign w:val="bottom"/>
            <w:tcBorders>
              <w:top w:val="single" w:sz="8" w:color="AF0000"/>
            </w:tcBorders>
            <w:vMerge w:val="restart"/>
          </w:tcPr>
          <w:p>
            <w:pPr>
              <w:jc w:val="center"/>
              <w:spacing w:after="0"/>
              <w:rPr>
                <w:sz w:val="20"/>
                <w:szCs w:val="20"/>
                <w:color w:val="auto"/>
              </w:rPr>
            </w:pPr>
            <w:r>
              <w:rPr>
                <w:rFonts w:ascii="Calibri" w:cs="Calibri" w:eastAsia="Calibri" w:hAnsi="Calibri"/>
                <w:sz w:val="13"/>
                <w:szCs w:val="13"/>
                <w:b w:val="1"/>
                <w:bCs w:val="1"/>
                <w:color w:val="auto"/>
                <w:w w:val="97"/>
              </w:rPr>
              <w:t>Grant Date</w:t>
            </w: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rPr>
              <w:t>Opton Awards:</w:t>
            </w:r>
          </w:p>
        </w:tc>
        <w:tc>
          <w:tcPr>
            <w:tcW w:w="5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w w:val="96"/>
              </w:rPr>
              <w:t>Fair Value of</w:t>
            </w: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w w:val="95"/>
              </w:rPr>
              <w:t>Number of</w:t>
            </w:r>
          </w:p>
        </w:tc>
        <w:tc>
          <w:tcPr>
            <w:tcW w:w="56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w w:val="95"/>
              </w:rPr>
              <w:t>Exercise</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76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w w:val="94"/>
              </w:rPr>
              <w:t>Stock and</w:t>
            </w: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rPr>
              <w:t>Securites</w:t>
            </w:r>
          </w:p>
        </w:tc>
        <w:tc>
          <w:tcPr>
            <w:tcW w:w="56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w w:val="98"/>
              </w:rPr>
              <w:t>Price of</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76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rPr>
              <w:t>Opton</w:t>
            </w: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w w:val="97"/>
              </w:rPr>
              <w:t>Underlying</w:t>
            </w:r>
          </w:p>
        </w:tc>
        <w:tc>
          <w:tcPr>
            <w:tcW w:w="56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rPr>
              <w:t>Opton</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76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w w:val="93"/>
              </w:rPr>
              <w:t>Awards</w:t>
            </w: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80" w:type="dxa"/>
            <w:vAlign w:val="bottom"/>
            <w:gridSpan w:val="3"/>
            <w:vMerge w:val="restart"/>
          </w:tcPr>
          <w:p>
            <w:pPr>
              <w:jc w:val="center"/>
              <w:spacing w:after="0" w:line="149" w:lineRule="exact"/>
              <w:rPr>
                <w:sz w:val="20"/>
                <w:szCs w:val="20"/>
                <w:color w:val="auto"/>
              </w:rPr>
            </w:pPr>
            <w:r>
              <w:rPr>
                <w:rFonts w:ascii="Calibri" w:cs="Calibri" w:eastAsia="Calibri" w:hAnsi="Calibri"/>
                <w:sz w:val="13"/>
                <w:szCs w:val="13"/>
                <w:b w:val="1"/>
                <w:bCs w:val="1"/>
                <w:color w:val="auto"/>
                <w:w w:val="98"/>
              </w:rPr>
              <w:t>Estmated Possible Payouts Under</w:t>
            </w:r>
          </w:p>
        </w:tc>
        <w:tc>
          <w:tcPr>
            <w:tcW w:w="1980" w:type="dxa"/>
            <w:vAlign w:val="bottom"/>
            <w:gridSpan w:val="3"/>
            <w:vMerge w:val="restart"/>
          </w:tcPr>
          <w:p>
            <w:pPr>
              <w:jc w:val="center"/>
              <w:spacing w:after="0" w:line="149" w:lineRule="exact"/>
              <w:rPr>
                <w:sz w:val="20"/>
                <w:szCs w:val="20"/>
                <w:color w:val="auto"/>
              </w:rPr>
            </w:pPr>
            <w:r>
              <w:rPr>
                <w:rFonts w:ascii="Calibri" w:cs="Calibri" w:eastAsia="Calibri" w:hAnsi="Calibri"/>
                <w:sz w:val="13"/>
                <w:szCs w:val="13"/>
                <w:b w:val="1"/>
                <w:bCs w:val="1"/>
                <w:color w:val="auto"/>
                <w:w w:val="97"/>
              </w:rPr>
              <w:t>Estmated Possible Payouts Under</w:t>
            </w:r>
          </w:p>
        </w:tc>
        <w:tc>
          <w:tcPr>
            <w:tcW w:w="92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rPr>
              <w:t>Optons</w:t>
            </w:r>
          </w:p>
        </w:tc>
        <w:tc>
          <w:tcPr>
            <w:tcW w:w="56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w w:val="97"/>
              </w:rPr>
              <w:t>Awards</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80" w:type="dxa"/>
            <w:vAlign w:val="bottom"/>
            <w:gridSpan w:val="3"/>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760" w:type="dxa"/>
            <w:vAlign w:val="bottom"/>
            <w:vMerge w:val="restart"/>
          </w:tcPr>
          <w:p>
            <w:pPr>
              <w:jc w:val="center"/>
              <w:spacing w:after="0"/>
              <w:rPr>
                <w:sz w:val="20"/>
                <w:szCs w:val="20"/>
                <w:color w:val="auto"/>
              </w:rPr>
            </w:pPr>
            <w:r>
              <w:rPr>
                <w:rFonts w:ascii="Calibri" w:cs="Calibri" w:eastAsia="Calibri" w:hAnsi="Calibri"/>
                <w:sz w:val="13"/>
                <w:szCs w:val="13"/>
                <w:b w:val="1"/>
                <w:bCs w:val="1"/>
                <w:color w:val="auto"/>
                <w:w w:val="97"/>
              </w:rPr>
              <w:t>($) (4)(6)</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20"/>
                <w:szCs w:val="20"/>
                <w:color w:val="auto"/>
              </w:rPr>
            </w:pPr>
            <w:r>
              <w:rPr>
                <w:rFonts w:ascii="Calibri" w:cs="Calibri" w:eastAsia="Calibri" w:hAnsi="Calibri"/>
                <w:sz w:val="13"/>
                <w:szCs w:val="13"/>
                <w:b w:val="1"/>
                <w:bCs w:val="1"/>
                <w:color w:val="auto"/>
              </w:rPr>
              <w:t>Named Executve Ofcer</w:t>
            </w:r>
          </w:p>
        </w:tc>
        <w:tc>
          <w:tcPr>
            <w:tcW w:w="900" w:type="dxa"/>
            <w:vAlign w:val="bottom"/>
          </w:tcPr>
          <w:p>
            <w:pPr>
              <w:ind w:left="100"/>
              <w:spacing w:after="0"/>
              <w:rPr>
                <w:sz w:val="20"/>
                <w:szCs w:val="20"/>
                <w:color w:val="auto"/>
              </w:rPr>
            </w:pPr>
            <w:r>
              <w:rPr>
                <w:rFonts w:ascii="Calibri" w:cs="Calibri" w:eastAsia="Calibri" w:hAnsi="Calibri"/>
                <w:sz w:val="13"/>
                <w:szCs w:val="13"/>
                <w:b w:val="1"/>
                <w:bCs w:val="1"/>
                <w:color w:val="auto"/>
              </w:rPr>
              <w:t>Grant Date</w:t>
            </w:r>
          </w:p>
        </w:tc>
        <w:tc>
          <w:tcPr>
            <w:tcW w:w="2080" w:type="dxa"/>
            <w:vAlign w:val="bottom"/>
            <w:gridSpan w:val="3"/>
          </w:tcPr>
          <w:p>
            <w:pPr>
              <w:jc w:val="center"/>
              <w:spacing w:after="0"/>
              <w:rPr>
                <w:sz w:val="20"/>
                <w:szCs w:val="20"/>
                <w:color w:val="auto"/>
              </w:rPr>
            </w:pPr>
            <w:r>
              <w:rPr>
                <w:rFonts w:ascii="Calibri" w:cs="Calibri" w:eastAsia="Calibri" w:hAnsi="Calibri"/>
                <w:sz w:val="13"/>
                <w:szCs w:val="13"/>
                <w:b w:val="1"/>
                <w:bCs w:val="1"/>
                <w:color w:val="auto"/>
                <w:w w:val="97"/>
              </w:rPr>
              <w:t>Non-Equity Incentve Plan Awards ($)</w:t>
            </w:r>
          </w:p>
        </w:tc>
        <w:tc>
          <w:tcPr>
            <w:tcW w:w="1980" w:type="dxa"/>
            <w:vAlign w:val="bottom"/>
            <w:gridSpan w:val="3"/>
          </w:tcPr>
          <w:p>
            <w:pPr>
              <w:jc w:val="center"/>
              <w:spacing w:after="0"/>
              <w:rPr>
                <w:sz w:val="20"/>
                <w:szCs w:val="20"/>
                <w:color w:val="auto"/>
              </w:rPr>
            </w:pPr>
            <w:r>
              <w:rPr>
                <w:rFonts w:ascii="Calibri" w:cs="Calibri" w:eastAsia="Calibri" w:hAnsi="Calibri"/>
                <w:sz w:val="13"/>
                <w:szCs w:val="13"/>
                <w:b w:val="1"/>
                <w:bCs w:val="1"/>
                <w:color w:val="auto"/>
                <w:w w:val="97"/>
              </w:rPr>
              <w:t>Equity Incentve Plan Awards (#) (3)</w:t>
            </w:r>
          </w:p>
        </w:tc>
        <w:tc>
          <w:tcPr>
            <w:tcW w:w="9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8"/>
              </w:rPr>
              <w:t>Granted (#) (4)</w:t>
            </w:r>
          </w:p>
        </w:tc>
        <w:tc>
          <w:tcPr>
            <w:tcW w:w="560" w:type="dxa"/>
            <w:vAlign w:val="bottom"/>
          </w:tcPr>
          <w:p>
            <w:pPr>
              <w:jc w:val="center"/>
              <w:spacing w:after="0"/>
              <w:rPr>
                <w:sz w:val="20"/>
                <w:szCs w:val="20"/>
                <w:color w:val="auto"/>
              </w:rPr>
            </w:pPr>
            <w:r>
              <w:rPr>
                <w:rFonts w:ascii="Calibri" w:cs="Calibri" w:eastAsia="Calibri" w:hAnsi="Calibri"/>
                <w:sz w:val="13"/>
                <w:szCs w:val="13"/>
                <w:b w:val="1"/>
                <w:bCs w:val="1"/>
                <w:color w:val="auto"/>
                <w:w w:val="95"/>
              </w:rPr>
              <w:t>($/sh) (5)</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380" w:type="dxa"/>
            <w:vAlign w:val="bottom"/>
            <w:tcBorders>
              <w:bottom w:val="single" w:sz="8" w:color="AF0000"/>
            </w:tcBorders>
          </w:tcPr>
          <w:p>
            <w:pPr>
              <w:spacing w:after="0"/>
              <w:rPr>
                <w:sz w:val="20"/>
                <w:szCs w:val="20"/>
                <w:color w:val="auto"/>
              </w:rPr>
            </w:pPr>
          </w:p>
        </w:tc>
        <w:tc>
          <w:tcPr>
            <w:tcW w:w="900" w:type="dxa"/>
            <w:vAlign w:val="bottom"/>
            <w:tcBorders>
              <w:bottom w:val="single" w:sz="8" w:color="AF0000"/>
            </w:tcBorders>
          </w:tcPr>
          <w:p>
            <w:pPr>
              <w:spacing w:after="0"/>
              <w:rPr>
                <w:sz w:val="20"/>
                <w:szCs w:val="20"/>
                <w:color w:val="auto"/>
              </w:rPr>
            </w:pPr>
          </w:p>
        </w:tc>
        <w:tc>
          <w:tcPr>
            <w:tcW w:w="680" w:type="dxa"/>
            <w:vAlign w:val="bottom"/>
            <w:tcBorders>
              <w:bottom w:val="single" w:sz="8" w:color="AF0000"/>
            </w:tcBorders>
          </w:tcPr>
          <w:p>
            <w:pPr>
              <w:ind w:left="80"/>
              <w:spacing w:after="0"/>
              <w:rPr>
                <w:sz w:val="20"/>
                <w:szCs w:val="20"/>
                <w:color w:val="auto"/>
              </w:rPr>
            </w:pPr>
            <w:r>
              <w:rPr>
                <w:rFonts w:ascii="Calibri" w:cs="Calibri" w:eastAsia="Calibri" w:hAnsi="Calibri"/>
                <w:sz w:val="13"/>
                <w:szCs w:val="13"/>
                <w:b w:val="1"/>
                <w:bCs w:val="1"/>
                <w:color w:val="auto"/>
              </w:rPr>
              <w:t>Threshold</w:t>
            </w:r>
          </w:p>
        </w:tc>
        <w:tc>
          <w:tcPr>
            <w:tcW w:w="680" w:type="dxa"/>
            <w:vAlign w:val="bottom"/>
            <w:tcBorders>
              <w:bottom w:val="single" w:sz="8" w:color="AF0000"/>
            </w:tcBorders>
          </w:tcPr>
          <w:p>
            <w:pPr>
              <w:jc w:val="center"/>
              <w:spacing w:after="0"/>
              <w:rPr>
                <w:sz w:val="20"/>
                <w:szCs w:val="20"/>
                <w:color w:val="auto"/>
              </w:rPr>
            </w:pPr>
            <w:r>
              <w:rPr>
                <w:rFonts w:ascii="Calibri" w:cs="Calibri" w:eastAsia="Calibri" w:hAnsi="Calibri"/>
                <w:sz w:val="13"/>
                <w:szCs w:val="13"/>
                <w:b w:val="1"/>
                <w:bCs w:val="1"/>
                <w:color w:val="auto"/>
                <w:w w:val="92"/>
              </w:rPr>
              <w:t>Target</w:t>
            </w:r>
          </w:p>
        </w:tc>
        <w:tc>
          <w:tcPr>
            <w:tcW w:w="720" w:type="dxa"/>
            <w:vAlign w:val="bottom"/>
            <w:tcBorders>
              <w:bottom w:val="single" w:sz="8" w:color="AF0000"/>
            </w:tcBorders>
          </w:tcPr>
          <w:p>
            <w:pPr>
              <w:ind w:left="80"/>
              <w:spacing w:after="0"/>
              <w:rPr>
                <w:sz w:val="20"/>
                <w:szCs w:val="20"/>
                <w:color w:val="auto"/>
              </w:rPr>
            </w:pPr>
            <w:r>
              <w:rPr>
                <w:rFonts w:ascii="Calibri" w:cs="Calibri" w:eastAsia="Calibri" w:hAnsi="Calibri"/>
                <w:sz w:val="13"/>
                <w:szCs w:val="13"/>
                <w:b w:val="1"/>
                <w:bCs w:val="1"/>
                <w:color w:val="auto"/>
              </w:rPr>
              <w:t>Maximum</w:t>
            </w:r>
          </w:p>
        </w:tc>
        <w:tc>
          <w:tcPr>
            <w:tcW w:w="720" w:type="dxa"/>
            <w:vAlign w:val="bottom"/>
            <w:tcBorders>
              <w:bottom w:val="single" w:sz="8" w:color="AF0000"/>
            </w:tcBorders>
          </w:tcPr>
          <w:p>
            <w:pPr>
              <w:ind w:left="120"/>
              <w:spacing w:after="0"/>
              <w:rPr>
                <w:sz w:val="20"/>
                <w:szCs w:val="20"/>
                <w:color w:val="auto"/>
              </w:rPr>
            </w:pPr>
            <w:r>
              <w:rPr>
                <w:rFonts w:ascii="Calibri" w:cs="Calibri" w:eastAsia="Calibri" w:hAnsi="Calibri"/>
                <w:sz w:val="13"/>
                <w:szCs w:val="13"/>
                <w:b w:val="1"/>
                <w:bCs w:val="1"/>
                <w:color w:val="auto"/>
              </w:rPr>
              <w:t>Threshold</w:t>
            </w:r>
          </w:p>
        </w:tc>
        <w:tc>
          <w:tcPr>
            <w:tcW w:w="540" w:type="dxa"/>
            <w:vAlign w:val="bottom"/>
            <w:tcBorders>
              <w:bottom w:val="single" w:sz="8" w:color="AF0000"/>
            </w:tcBorders>
          </w:tcPr>
          <w:p>
            <w:pPr>
              <w:jc w:val="center"/>
              <w:spacing w:after="0"/>
              <w:rPr>
                <w:sz w:val="20"/>
                <w:szCs w:val="20"/>
                <w:color w:val="auto"/>
              </w:rPr>
            </w:pPr>
            <w:r>
              <w:rPr>
                <w:rFonts w:ascii="Calibri" w:cs="Calibri" w:eastAsia="Calibri" w:hAnsi="Calibri"/>
                <w:sz w:val="13"/>
                <w:szCs w:val="13"/>
                <w:b w:val="1"/>
                <w:bCs w:val="1"/>
                <w:color w:val="auto"/>
                <w:w w:val="97"/>
              </w:rPr>
              <w:t>Target</w:t>
            </w:r>
          </w:p>
        </w:tc>
        <w:tc>
          <w:tcPr>
            <w:tcW w:w="720" w:type="dxa"/>
            <w:vAlign w:val="bottom"/>
            <w:tcBorders>
              <w:bottom w:val="single" w:sz="8" w:color="AF0000"/>
            </w:tcBorders>
          </w:tcPr>
          <w:p>
            <w:pPr>
              <w:ind w:left="80"/>
              <w:spacing w:after="0"/>
              <w:rPr>
                <w:sz w:val="20"/>
                <w:szCs w:val="20"/>
                <w:color w:val="auto"/>
              </w:rPr>
            </w:pPr>
            <w:r>
              <w:rPr>
                <w:rFonts w:ascii="Calibri" w:cs="Calibri" w:eastAsia="Calibri" w:hAnsi="Calibri"/>
                <w:sz w:val="13"/>
                <w:szCs w:val="13"/>
                <w:b w:val="1"/>
                <w:bCs w:val="1"/>
                <w:color w:val="auto"/>
              </w:rPr>
              <w:t>Maximum</w:t>
            </w:r>
          </w:p>
        </w:tc>
        <w:tc>
          <w:tcPr>
            <w:tcW w:w="920" w:type="dxa"/>
            <w:vAlign w:val="bottom"/>
            <w:tcBorders>
              <w:bottom w:val="single" w:sz="8" w:color="AF0000"/>
            </w:tcBorders>
          </w:tcPr>
          <w:p>
            <w:pPr>
              <w:spacing w:after="0"/>
              <w:rPr>
                <w:sz w:val="20"/>
                <w:szCs w:val="20"/>
                <w:color w:val="auto"/>
              </w:rPr>
            </w:pPr>
          </w:p>
        </w:tc>
        <w:tc>
          <w:tcPr>
            <w:tcW w:w="560" w:type="dxa"/>
            <w:vAlign w:val="bottom"/>
            <w:tcBorders>
              <w:bottom w:val="single" w:sz="8" w:color="AF0000"/>
            </w:tcBorders>
          </w:tcPr>
          <w:p>
            <w:pPr>
              <w:spacing w:after="0"/>
              <w:rPr>
                <w:sz w:val="20"/>
                <w:szCs w:val="20"/>
                <w:color w:val="auto"/>
              </w:rPr>
            </w:pPr>
          </w:p>
        </w:tc>
        <w:tc>
          <w:tcPr>
            <w:tcW w:w="760" w:type="dxa"/>
            <w:vAlign w:val="bottom"/>
            <w:tcBorders>
              <w:bottom w:val="single" w:sz="8" w:color="AF0000"/>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line="127" w:lineRule="exact"/>
              <w:rPr>
                <w:sz w:val="20"/>
                <w:szCs w:val="20"/>
                <w:color w:val="auto"/>
              </w:rPr>
            </w:pPr>
            <w:r>
              <w:rPr>
                <w:rFonts w:ascii="Calibri" w:cs="Calibri" w:eastAsia="Calibri" w:hAnsi="Calibri"/>
                <w:sz w:val="11"/>
                <w:szCs w:val="11"/>
                <w:b w:val="1"/>
                <w:bCs w:val="1"/>
                <w:color w:val="auto"/>
              </w:rPr>
              <w:t>Fred P. Lampropoulos</w:t>
            </w:r>
          </w:p>
        </w:tc>
        <w:tc>
          <w:tcPr>
            <w:tcW w:w="900" w:type="dxa"/>
            <w:vAlign w:val="bottom"/>
          </w:tcPr>
          <w:p>
            <w:pPr>
              <w:ind w:left="100"/>
              <w:spacing w:after="0"/>
              <w:rPr>
                <w:sz w:val="20"/>
                <w:szCs w:val="20"/>
                <w:color w:val="auto"/>
              </w:rPr>
            </w:pPr>
            <w:r>
              <w:rPr>
                <w:rFonts w:ascii="Calibri" w:cs="Calibri" w:eastAsia="Calibri" w:hAnsi="Calibri"/>
                <w:sz w:val="13"/>
                <w:szCs w:val="13"/>
                <w:color w:val="auto"/>
              </w:rPr>
              <w:t xml:space="preserve">2/28/2023 </w:t>
            </w:r>
            <w:r>
              <w:rPr>
                <w:rFonts w:ascii="Calibri" w:cs="Calibri" w:eastAsia="Calibri" w:hAnsi="Calibri"/>
                <w:sz w:val="13"/>
                <w:szCs w:val="13"/>
                <w:b w:val="1"/>
                <w:bCs w:val="1"/>
                <w:color w:val="AF0000"/>
              </w:rPr>
              <w:t>(1)</w:t>
            </w:r>
          </w:p>
        </w:tc>
        <w:tc>
          <w:tcPr>
            <w:tcW w:w="680" w:type="dxa"/>
            <w:vAlign w:val="bottom"/>
          </w:tcPr>
          <w:p>
            <w:pPr>
              <w:jc w:val="center"/>
              <w:spacing w:after="0"/>
              <w:rPr>
                <w:sz w:val="20"/>
                <w:szCs w:val="20"/>
                <w:color w:val="auto"/>
              </w:rPr>
            </w:pPr>
            <w:r>
              <w:rPr>
                <w:rFonts w:ascii="Calibri" w:cs="Calibri" w:eastAsia="Calibri" w:hAnsi="Calibri"/>
                <w:sz w:val="13"/>
                <w:szCs w:val="13"/>
                <w:color w:val="auto"/>
                <w:w w:val="98"/>
              </w:rPr>
              <w:t>500,000</w:t>
            </w:r>
          </w:p>
        </w:tc>
        <w:tc>
          <w:tcPr>
            <w:tcW w:w="680" w:type="dxa"/>
            <w:vAlign w:val="bottom"/>
          </w:tcPr>
          <w:p>
            <w:pPr>
              <w:jc w:val="center"/>
              <w:spacing w:after="0"/>
              <w:rPr>
                <w:sz w:val="20"/>
                <w:szCs w:val="20"/>
                <w:color w:val="auto"/>
              </w:rPr>
            </w:pPr>
            <w:r>
              <w:rPr>
                <w:rFonts w:ascii="Calibri" w:cs="Calibri" w:eastAsia="Calibri" w:hAnsi="Calibri"/>
                <w:sz w:val="13"/>
                <w:szCs w:val="13"/>
                <w:color w:val="auto"/>
                <w:w w:val="98"/>
              </w:rPr>
              <w:t>1,333,333</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94"/>
              </w:rPr>
              <w:t>3,333,333</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94"/>
              </w:rPr>
              <w:t>5,667</w:t>
            </w:r>
          </w:p>
        </w:tc>
        <w:tc>
          <w:tcPr>
            <w:tcW w:w="540" w:type="dxa"/>
            <w:vAlign w:val="bottom"/>
          </w:tcPr>
          <w:p>
            <w:pPr>
              <w:jc w:val="center"/>
              <w:spacing w:after="0"/>
              <w:rPr>
                <w:sz w:val="20"/>
                <w:szCs w:val="20"/>
                <w:color w:val="auto"/>
              </w:rPr>
            </w:pPr>
            <w:r>
              <w:rPr>
                <w:rFonts w:ascii="Calibri" w:cs="Calibri" w:eastAsia="Calibri" w:hAnsi="Calibri"/>
                <w:sz w:val="13"/>
                <w:szCs w:val="13"/>
                <w:color w:val="auto"/>
                <w:w w:val="93"/>
              </w:rPr>
              <w:t>15,113</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99"/>
              </w:rPr>
              <w:t>37,783</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56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760" w:type="dxa"/>
            <w:vAlign w:val="bottom"/>
          </w:tcPr>
          <w:p>
            <w:pPr>
              <w:jc w:val="center"/>
              <w:spacing w:after="0"/>
              <w:rPr>
                <w:sz w:val="20"/>
                <w:szCs w:val="20"/>
                <w:color w:val="auto"/>
              </w:rPr>
            </w:pPr>
            <w:r>
              <w:rPr>
                <w:rFonts w:ascii="Calibri" w:cs="Calibri" w:eastAsia="Calibri" w:hAnsi="Calibri"/>
                <w:sz w:val="13"/>
                <w:szCs w:val="13"/>
                <w:color w:val="auto"/>
                <w:w w:val="94"/>
              </w:rPr>
              <w:t>5,216,227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Calibri" w:cs="Calibri" w:eastAsia="Calibri" w:hAnsi="Calibri"/>
                <w:sz w:val="13"/>
                <w:szCs w:val="13"/>
                <w:color w:val="auto"/>
              </w:rPr>
              <w:t xml:space="preserve">N/A </w:t>
            </w:r>
            <w:r>
              <w:rPr>
                <w:rFonts w:ascii="Calibri" w:cs="Calibri" w:eastAsia="Calibri" w:hAnsi="Calibri"/>
                <w:sz w:val="13"/>
                <w:szCs w:val="13"/>
                <w:b w:val="1"/>
                <w:bCs w:val="1"/>
                <w:color w:val="AF0000"/>
              </w:rPr>
              <w:t>(2)</w:t>
            </w:r>
          </w:p>
        </w:tc>
        <w:tc>
          <w:tcPr>
            <w:tcW w:w="680" w:type="dxa"/>
            <w:vAlign w:val="bottom"/>
          </w:tcPr>
          <w:p>
            <w:pPr>
              <w:jc w:val="center"/>
              <w:spacing w:after="0"/>
              <w:rPr>
                <w:sz w:val="20"/>
                <w:szCs w:val="20"/>
                <w:color w:val="auto"/>
              </w:rPr>
            </w:pPr>
            <w:r>
              <w:rPr>
                <w:rFonts w:ascii="Calibri" w:cs="Calibri" w:eastAsia="Calibri" w:hAnsi="Calibri"/>
                <w:sz w:val="13"/>
                <w:szCs w:val="13"/>
                <w:color w:val="auto"/>
                <w:w w:val="98"/>
              </w:rPr>
              <w:t>567,000</w:t>
            </w:r>
          </w:p>
        </w:tc>
        <w:tc>
          <w:tcPr>
            <w:tcW w:w="680" w:type="dxa"/>
            <w:vAlign w:val="bottom"/>
          </w:tcPr>
          <w:p>
            <w:pPr>
              <w:jc w:val="center"/>
              <w:spacing w:after="0"/>
              <w:rPr>
                <w:sz w:val="20"/>
                <w:szCs w:val="20"/>
                <w:color w:val="auto"/>
              </w:rPr>
            </w:pPr>
            <w:r>
              <w:rPr>
                <w:rFonts w:ascii="Calibri" w:cs="Calibri" w:eastAsia="Calibri" w:hAnsi="Calibri"/>
                <w:sz w:val="13"/>
                <w:szCs w:val="13"/>
                <w:color w:val="auto"/>
                <w:w w:val="98"/>
              </w:rPr>
              <w:t>1,134,000</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94"/>
              </w:rPr>
              <w:t>1,871,100</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54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56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76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Calibri" w:cs="Calibri" w:eastAsia="Calibri" w:hAnsi="Calibri"/>
                <w:sz w:val="13"/>
                <w:szCs w:val="13"/>
                <w:color w:val="auto"/>
              </w:rPr>
              <w:t>2/28/2023</w:t>
            </w:r>
          </w:p>
        </w:tc>
        <w:tc>
          <w:tcPr>
            <w:tcW w:w="68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68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54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3"/>
              </w:rPr>
              <w:t>54,302</w:t>
            </w:r>
          </w:p>
        </w:tc>
        <w:tc>
          <w:tcPr>
            <w:tcW w:w="560" w:type="dxa"/>
            <w:vAlign w:val="bottom"/>
          </w:tcPr>
          <w:p>
            <w:pPr>
              <w:jc w:val="center"/>
              <w:spacing w:after="0"/>
              <w:rPr>
                <w:sz w:val="20"/>
                <w:szCs w:val="20"/>
                <w:color w:val="auto"/>
              </w:rPr>
            </w:pPr>
            <w:r>
              <w:rPr>
                <w:rFonts w:ascii="Calibri" w:cs="Calibri" w:eastAsia="Calibri" w:hAnsi="Calibri"/>
                <w:sz w:val="13"/>
                <w:szCs w:val="13"/>
                <w:color w:val="auto"/>
                <w:w w:val="94"/>
              </w:rPr>
              <w:t>70.58</w:t>
            </w:r>
          </w:p>
        </w:tc>
        <w:tc>
          <w:tcPr>
            <w:tcW w:w="760" w:type="dxa"/>
            <w:vAlign w:val="bottom"/>
          </w:tcPr>
          <w:p>
            <w:pPr>
              <w:jc w:val="center"/>
              <w:spacing w:after="0"/>
              <w:rPr>
                <w:sz w:val="20"/>
                <w:szCs w:val="20"/>
                <w:color w:val="auto"/>
              </w:rPr>
            </w:pPr>
            <w:r>
              <w:rPr>
                <w:rFonts w:ascii="Calibri" w:cs="Calibri" w:eastAsia="Calibri" w:hAnsi="Calibri"/>
                <w:sz w:val="13"/>
                <w:szCs w:val="13"/>
                <w:color w:val="auto"/>
                <w:w w:val="94"/>
              </w:rPr>
              <w:t>1,599,987</w:t>
            </w:r>
          </w:p>
        </w:tc>
        <w:tc>
          <w:tcPr>
            <w:tcW w:w="0" w:type="dxa"/>
            <w:vAlign w:val="bottom"/>
          </w:tcPr>
          <w:p>
            <w:pPr>
              <w:spacing w:after="0"/>
              <w:rPr>
                <w:sz w:val="1"/>
                <w:szCs w:val="1"/>
                <w:color w:val="auto"/>
              </w:rPr>
            </w:pPr>
          </w:p>
        </w:tc>
      </w:tr>
      <w:tr>
        <w:trPr>
          <w:trHeight w:val="51"/>
        </w:trPr>
        <w:tc>
          <w:tcPr>
            <w:tcW w:w="1380" w:type="dxa"/>
            <w:vAlign w:val="bottom"/>
            <w:tcBorders>
              <w:bottom w:val="single" w:sz="8" w:color="A6A6A6"/>
            </w:tcBorders>
          </w:tcPr>
          <w:p>
            <w:pPr>
              <w:spacing w:after="0"/>
              <w:rPr>
                <w:sz w:val="4"/>
                <w:szCs w:val="4"/>
                <w:color w:val="auto"/>
              </w:rPr>
            </w:pPr>
          </w:p>
        </w:tc>
        <w:tc>
          <w:tcPr>
            <w:tcW w:w="900" w:type="dxa"/>
            <w:vAlign w:val="bottom"/>
            <w:tcBorders>
              <w:bottom w:val="single" w:sz="8" w:color="A6A6A6"/>
            </w:tcBorders>
          </w:tcPr>
          <w:p>
            <w:pPr>
              <w:spacing w:after="0"/>
              <w:rPr>
                <w:sz w:val="4"/>
                <w:szCs w:val="4"/>
                <w:color w:val="auto"/>
              </w:rPr>
            </w:pPr>
          </w:p>
        </w:tc>
        <w:tc>
          <w:tcPr>
            <w:tcW w:w="680" w:type="dxa"/>
            <w:vAlign w:val="bottom"/>
            <w:tcBorders>
              <w:bottom w:val="single" w:sz="8" w:color="A6A6A6"/>
            </w:tcBorders>
          </w:tcPr>
          <w:p>
            <w:pPr>
              <w:spacing w:after="0"/>
              <w:rPr>
                <w:sz w:val="4"/>
                <w:szCs w:val="4"/>
                <w:color w:val="auto"/>
              </w:rPr>
            </w:pPr>
          </w:p>
        </w:tc>
        <w:tc>
          <w:tcPr>
            <w:tcW w:w="680" w:type="dxa"/>
            <w:vAlign w:val="bottom"/>
            <w:tcBorders>
              <w:bottom w:val="single" w:sz="8" w:color="A6A6A6"/>
            </w:tcBorders>
          </w:tcPr>
          <w:p>
            <w:pPr>
              <w:spacing w:after="0"/>
              <w:rPr>
                <w:sz w:val="4"/>
                <w:szCs w:val="4"/>
                <w:color w:val="auto"/>
              </w:rPr>
            </w:pPr>
          </w:p>
        </w:tc>
        <w:tc>
          <w:tcPr>
            <w:tcW w:w="720" w:type="dxa"/>
            <w:vAlign w:val="bottom"/>
            <w:tcBorders>
              <w:bottom w:val="single" w:sz="8" w:color="A6A6A6"/>
            </w:tcBorders>
          </w:tcPr>
          <w:p>
            <w:pPr>
              <w:spacing w:after="0"/>
              <w:rPr>
                <w:sz w:val="4"/>
                <w:szCs w:val="4"/>
                <w:color w:val="auto"/>
              </w:rPr>
            </w:pPr>
          </w:p>
        </w:tc>
        <w:tc>
          <w:tcPr>
            <w:tcW w:w="720" w:type="dxa"/>
            <w:vAlign w:val="bottom"/>
            <w:tcBorders>
              <w:bottom w:val="single" w:sz="8" w:color="A6A6A6"/>
            </w:tcBorders>
          </w:tcPr>
          <w:p>
            <w:pPr>
              <w:spacing w:after="0"/>
              <w:rPr>
                <w:sz w:val="4"/>
                <w:szCs w:val="4"/>
                <w:color w:val="auto"/>
              </w:rPr>
            </w:pPr>
          </w:p>
        </w:tc>
        <w:tc>
          <w:tcPr>
            <w:tcW w:w="540" w:type="dxa"/>
            <w:vAlign w:val="bottom"/>
            <w:tcBorders>
              <w:bottom w:val="single" w:sz="8" w:color="A6A6A6"/>
            </w:tcBorders>
          </w:tcPr>
          <w:p>
            <w:pPr>
              <w:spacing w:after="0"/>
              <w:rPr>
                <w:sz w:val="4"/>
                <w:szCs w:val="4"/>
                <w:color w:val="auto"/>
              </w:rPr>
            </w:pPr>
          </w:p>
        </w:tc>
        <w:tc>
          <w:tcPr>
            <w:tcW w:w="720" w:type="dxa"/>
            <w:vAlign w:val="bottom"/>
            <w:tcBorders>
              <w:bottom w:val="single" w:sz="8" w:color="A6A6A6"/>
            </w:tcBorders>
          </w:tcPr>
          <w:p>
            <w:pPr>
              <w:spacing w:after="0"/>
              <w:rPr>
                <w:sz w:val="4"/>
                <w:szCs w:val="4"/>
                <w:color w:val="auto"/>
              </w:rPr>
            </w:pPr>
          </w:p>
        </w:tc>
        <w:tc>
          <w:tcPr>
            <w:tcW w:w="920" w:type="dxa"/>
            <w:vAlign w:val="bottom"/>
            <w:tcBorders>
              <w:bottom w:val="single" w:sz="8" w:color="A6A6A6"/>
            </w:tcBorders>
          </w:tcPr>
          <w:p>
            <w:pPr>
              <w:spacing w:after="0"/>
              <w:rPr>
                <w:sz w:val="4"/>
                <w:szCs w:val="4"/>
                <w:color w:val="auto"/>
              </w:rPr>
            </w:pPr>
          </w:p>
        </w:tc>
        <w:tc>
          <w:tcPr>
            <w:tcW w:w="560" w:type="dxa"/>
            <w:vAlign w:val="bottom"/>
            <w:tcBorders>
              <w:bottom w:val="single" w:sz="8" w:color="A6A6A6"/>
            </w:tcBorders>
          </w:tcPr>
          <w:p>
            <w:pPr>
              <w:spacing w:after="0"/>
              <w:rPr>
                <w:sz w:val="4"/>
                <w:szCs w:val="4"/>
                <w:color w:val="auto"/>
              </w:rPr>
            </w:pPr>
          </w:p>
        </w:tc>
        <w:tc>
          <w:tcPr>
            <w:tcW w:w="7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380" w:type="dxa"/>
            <w:vAlign w:val="bottom"/>
          </w:tcPr>
          <w:p>
            <w:pPr>
              <w:spacing w:after="0" w:line="121" w:lineRule="exact"/>
              <w:rPr>
                <w:sz w:val="20"/>
                <w:szCs w:val="20"/>
                <w:color w:val="auto"/>
              </w:rPr>
            </w:pPr>
            <w:r>
              <w:rPr>
                <w:rFonts w:ascii="Calibri" w:cs="Calibri" w:eastAsia="Calibri" w:hAnsi="Calibri"/>
                <w:sz w:val="11"/>
                <w:szCs w:val="11"/>
                <w:b w:val="1"/>
                <w:bCs w:val="1"/>
                <w:color w:val="auto"/>
              </w:rPr>
              <w:t>Raul Parra</w:t>
            </w:r>
          </w:p>
        </w:tc>
        <w:tc>
          <w:tcPr>
            <w:tcW w:w="900" w:type="dxa"/>
            <w:vAlign w:val="bottom"/>
            <w:vMerge w:val="restart"/>
          </w:tcPr>
          <w:p>
            <w:pPr>
              <w:ind w:left="100"/>
              <w:spacing w:after="0"/>
              <w:rPr>
                <w:sz w:val="20"/>
                <w:szCs w:val="20"/>
                <w:color w:val="auto"/>
              </w:rPr>
            </w:pPr>
            <w:r>
              <w:rPr>
                <w:rFonts w:ascii="Calibri" w:cs="Calibri" w:eastAsia="Calibri" w:hAnsi="Calibri"/>
                <w:sz w:val="13"/>
                <w:szCs w:val="13"/>
                <w:color w:val="auto"/>
              </w:rPr>
              <w:t>2/28/2023</w:t>
            </w:r>
          </w:p>
        </w:tc>
        <w:tc>
          <w:tcPr>
            <w:tcW w:w="680" w:type="dxa"/>
            <w:vAlign w:val="bottom"/>
            <w:vMerge w:val="restart"/>
          </w:tcPr>
          <w:p>
            <w:pPr>
              <w:jc w:val="center"/>
              <w:spacing w:after="0"/>
              <w:rPr>
                <w:sz w:val="20"/>
                <w:szCs w:val="20"/>
                <w:color w:val="auto"/>
              </w:rPr>
            </w:pPr>
            <w:r>
              <w:rPr>
                <w:rFonts w:ascii="Calibri" w:cs="Calibri" w:eastAsia="Calibri" w:hAnsi="Calibri"/>
                <w:sz w:val="13"/>
                <w:szCs w:val="13"/>
                <w:color w:val="auto"/>
              </w:rPr>
              <w:t>—</w:t>
            </w:r>
          </w:p>
        </w:tc>
        <w:tc>
          <w:tcPr>
            <w:tcW w:w="680" w:type="dxa"/>
            <w:vAlign w:val="bottom"/>
            <w:vMerge w:val="restart"/>
          </w:tcPr>
          <w:p>
            <w:pPr>
              <w:jc w:val="center"/>
              <w:spacing w:after="0"/>
              <w:rPr>
                <w:sz w:val="20"/>
                <w:szCs w:val="20"/>
                <w:color w:val="auto"/>
              </w:rPr>
            </w:pPr>
            <w:r>
              <w:rPr>
                <w:rFonts w:ascii="Calibri" w:cs="Calibri" w:eastAsia="Calibri" w:hAnsi="Calibri"/>
                <w:sz w:val="13"/>
                <w:szCs w:val="13"/>
                <w:color w:val="auto"/>
              </w:rPr>
              <w:t>—</w:t>
            </w:r>
          </w:p>
        </w:tc>
        <w:tc>
          <w:tcPr>
            <w:tcW w:w="720" w:type="dxa"/>
            <w:vAlign w:val="bottom"/>
            <w:vMerge w:val="restart"/>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vMerge w:val="restart"/>
          </w:tcPr>
          <w:p>
            <w:pPr>
              <w:jc w:val="center"/>
              <w:spacing w:after="0"/>
              <w:rPr>
                <w:sz w:val="20"/>
                <w:szCs w:val="20"/>
                <w:color w:val="auto"/>
              </w:rPr>
            </w:pPr>
            <w:r>
              <w:rPr>
                <w:rFonts w:ascii="Calibri" w:cs="Calibri" w:eastAsia="Calibri" w:hAnsi="Calibri"/>
                <w:sz w:val="13"/>
                <w:szCs w:val="13"/>
                <w:color w:val="auto"/>
                <w:w w:val="94"/>
              </w:rPr>
              <w:t>3,188</w:t>
            </w:r>
          </w:p>
        </w:tc>
        <w:tc>
          <w:tcPr>
            <w:tcW w:w="540" w:type="dxa"/>
            <w:vAlign w:val="bottom"/>
            <w:vMerge w:val="restart"/>
          </w:tcPr>
          <w:p>
            <w:pPr>
              <w:jc w:val="center"/>
              <w:spacing w:after="0"/>
              <w:rPr>
                <w:sz w:val="20"/>
                <w:szCs w:val="20"/>
                <w:color w:val="auto"/>
              </w:rPr>
            </w:pPr>
            <w:r>
              <w:rPr>
                <w:rFonts w:ascii="Calibri" w:cs="Calibri" w:eastAsia="Calibri" w:hAnsi="Calibri"/>
                <w:sz w:val="13"/>
                <w:szCs w:val="13"/>
                <w:color w:val="auto"/>
              </w:rPr>
              <w:t>8,501</w:t>
            </w:r>
          </w:p>
        </w:tc>
        <w:tc>
          <w:tcPr>
            <w:tcW w:w="720" w:type="dxa"/>
            <w:vAlign w:val="bottom"/>
            <w:vMerge w:val="restart"/>
          </w:tcPr>
          <w:p>
            <w:pPr>
              <w:jc w:val="center"/>
              <w:spacing w:after="0"/>
              <w:rPr>
                <w:sz w:val="20"/>
                <w:szCs w:val="20"/>
                <w:color w:val="auto"/>
              </w:rPr>
            </w:pPr>
            <w:r>
              <w:rPr>
                <w:rFonts w:ascii="Calibri" w:cs="Calibri" w:eastAsia="Calibri" w:hAnsi="Calibri"/>
                <w:sz w:val="13"/>
                <w:szCs w:val="13"/>
                <w:color w:val="auto"/>
                <w:w w:val="99"/>
              </w:rPr>
              <w:t>21,253</w:t>
            </w:r>
          </w:p>
        </w:tc>
        <w:tc>
          <w:tcPr>
            <w:tcW w:w="920" w:type="dxa"/>
            <w:vAlign w:val="bottom"/>
            <w:vMerge w:val="restart"/>
          </w:tcPr>
          <w:p>
            <w:pPr>
              <w:jc w:val="center"/>
              <w:spacing w:after="0"/>
              <w:rPr>
                <w:sz w:val="20"/>
                <w:szCs w:val="20"/>
                <w:color w:val="auto"/>
              </w:rPr>
            </w:pPr>
            <w:r>
              <w:rPr>
                <w:rFonts w:ascii="Calibri" w:cs="Calibri" w:eastAsia="Calibri" w:hAnsi="Calibri"/>
                <w:sz w:val="13"/>
                <w:szCs w:val="13"/>
                <w:color w:val="auto"/>
                <w:w w:val="84"/>
              </w:rPr>
              <w:t>—</w:t>
            </w:r>
          </w:p>
        </w:tc>
        <w:tc>
          <w:tcPr>
            <w:tcW w:w="560" w:type="dxa"/>
            <w:vAlign w:val="bottom"/>
            <w:vMerge w:val="restart"/>
          </w:tcPr>
          <w:p>
            <w:pPr>
              <w:jc w:val="center"/>
              <w:spacing w:after="0"/>
              <w:rPr>
                <w:sz w:val="20"/>
                <w:szCs w:val="20"/>
                <w:color w:val="auto"/>
              </w:rPr>
            </w:pPr>
            <w:r>
              <w:rPr>
                <w:rFonts w:ascii="Calibri" w:cs="Calibri" w:eastAsia="Calibri" w:hAnsi="Calibri"/>
                <w:sz w:val="13"/>
                <w:szCs w:val="13"/>
                <w:color w:val="auto"/>
              </w:rPr>
              <w:t>—</w:t>
            </w:r>
          </w:p>
        </w:tc>
        <w:tc>
          <w:tcPr>
            <w:tcW w:w="760" w:type="dxa"/>
            <w:vAlign w:val="bottom"/>
            <w:vMerge w:val="restart"/>
          </w:tcPr>
          <w:p>
            <w:pPr>
              <w:jc w:val="center"/>
              <w:spacing w:after="0"/>
              <w:rPr>
                <w:sz w:val="20"/>
                <w:szCs w:val="20"/>
                <w:color w:val="auto"/>
              </w:rPr>
            </w:pPr>
            <w:r>
              <w:rPr>
                <w:rFonts w:ascii="Calibri" w:cs="Calibri" w:eastAsia="Calibri" w:hAnsi="Calibri"/>
                <w:sz w:val="13"/>
                <w:szCs w:val="13"/>
                <w:color w:val="auto"/>
                <w:w w:val="94"/>
              </w:rPr>
              <w:t>1,304,054</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Calibri" w:cs="Calibri" w:eastAsia="Calibri" w:hAnsi="Calibri"/>
                <w:sz w:val="13"/>
                <w:szCs w:val="13"/>
                <w:color w:val="auto"/>
              </w:rPr>
              <w:t xml:space="preserve">N/A </w:t>
            </w:r>
            <w:r>
              <w:rPr>
                <w:rFonts w:ascii="Calibri" w:cs="Calibri" w:eastAsia="Calibri" w:hAnsi="Calibri"/>
                <w:sz w:val="13"/>
                <w:szCs w:val="13"/>
                <w:b w:val="1"/>
                <w:bCs w:val="1"/>
                <w:color w:val="AF0000"/>
              </w:rPr>
              <w:t>(2)</w:t>
            </w:r>
          </w:p>
        </w:tc>
        <w:tc>
          <w:tcPr>
            <w:tcW w:w="680" w:type="dxa"/>
            <w:vAlign w:val="bottom"/>
          </w:tcPr>
          <w:p>
            <w:pPr>
              <w:jc w:val="center"/>
              <w:spacing w:after="0"/>
              <w:rPr>
                <w:sz w:val="20"/>
                <w:szCs w:val="20"/>
                <w:color w:val="auto"/>
              </w:rPr>
            </w:pPr>
            <w:r>
              <w:rPr>
                <w:rFonts w:ascii="Calibri" w:cs="Calibri" w:eastAsia="Calibri" w:hAnsi="Calibri"/>
                <w:sz w:val="13"/>
                <w:szCs w:val="13"/>
                <w:color w:val="auto"/>
                <w:w w:val="98"/>
              </w:rPr>
              <w:t>157,500</w:t>
            </w:r>
          </w:p>
        </w:tc>
        <w:tc>
          <w:tcPr>
            <w:tcW w:w="680" w:type="dxa"/>
            <w:vAlign w:val="bottom"/>
          </w:tcPr>
          <w:p>
            <w:pPr>
              <w:jc w:val="center"/>
              <w:spacing w:after="0"/>
              <w:rPr>
                <w:sz w:val="20"/>
                <w:szCs w:val="20"/>
                <w:color w:val="auto"/>
              </w:rPr>
            </w:pPr>
            <w:r>
              <w:rPr>
                <w:rFonts w:ascii="Calibri" w:cs="Calibri" w:eastAsia="Calibri" w:hAnsi="Calibri"/>
                <w:sz w:val="13"/>
                <w:szCs w:val="13"/>
                <w:color w:val="auto"/>
                <w:w w:val="93"/>
              </w:rPr>
              <w:t>315,000</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98"/>
              </w:rPr>
              <w:t>519,750</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54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56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76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Calibri" w:cs="Calibri" w:eastAsia="Calibri" w:hAnsi="Calibri"/>
                <w:sz w:val="13"/>
                <w:szCs w:val="13"/>
                <w:color w:val="auto"/>
              </w:rPr>
              <w:t>2/28/2023</w:t>
            </w:r>
          </w:p>
        </w:tc>
        <w:tc>
          <w:tcPr>
            <w:tcW w:w="68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68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54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3"/>
              </w:rPr>
              <w:t>13,576</w:t>
            </w:r>
          </w:p>
        </w:tc>
        <w:tc>
          <w:tcPr>
            <w:tcW w:w="560" w:type="dxa"/>
            <w:vAlign w:val="bottom"/>
          </w:tcPr>
          <w:p>
            <w:pPr>
              <w:jc w:val="center"/>
              <w:spacing w:after="0"/>
              <w:rPr>
                <w:sz w:val="20"/>
                <w:szCs w:val="20"/>
                <w:color w:val="auto"/>
              </w:rPr>
            </w:pPr>
            <w:r>
              <w:rPr>
                <w:rFonts w:ascii="Calibri" w:cs="Calibri" w:eastAsia="Calibri" w:hAnsi="Calibri"/>
                <w:sz w:val="13"/>
                <w:szCs w:val="13"/>
                <w:color w:val="auto"/>
                <w:w w:val="94"/>
              </w:rPr>
              <w:t>70.58</w:t>
            </w:r>
          </w:p>
        </w:tc>
        <w:tc>
          <w:tcPr>
            <w:tcW w:w="760" w:type="dxa"/>
            <w:vAlign w:val="bottom"/>
          </w:tcPr>
          <w:p>
            <w:pPr>
              <w:jc w:val="center"/>
              <w:spacing w:after="0"/>
              <w:rPr>
                <w:sz w:val="20"/>
                <w:szCs w:val="20"/>
                <w:color w:val="auto"/>
              </w:rPr>
            </w:pPr>
            <w:r>
              <w:rPr>
                <w:rFonts w:ascii="Calibri" w:cs="Calibri" w:eastAsia="Calibri" w:hAnsi="Calibri"/>
                <w:sz w:val="13"/>
                <w:szCs w:val="13"/>
                <w:color w:val="auto"/>
                <w:w w:val="98"/>
              </w:rPr>
              <w:t>400,011</w:t>
            </w:r>
          </w:p>
        </w:tc>
        <w:tc>
          <w:tcPr>
            <w:tcW w:w="0" w:type="dxa"/>
            <w:vAlign w:val="bottom"/>
          </w:tcPr>
          <w:p>
            <w:pPr>
              <w:spacing w:after="0"/>
              <w:rPr>
                <w:sz w:val="1"/>
                <w:szCs w:val="1"/>
                <w:color w:val="auto"/>
              </w:rPr>
            </w:pPr>
          </w:p>
        </w:tc>
      </w:tr>
      <w:tr>
        <w:trPr>
          <w:trHeight w:val="51"/>
        </w:trPr>
        <w:tc>
          <w:tcPr>
            <w:tcW w:w="1380" w:type="dxa"/>
            <w:vAlign w:val="bottom"/>
            <w:tcBorders>
              <w:bottom w:val="single" w:sz="8" w:color="A6A6A6"/>
            </w:tcBorders>
          </w:tcPr>
          <w:p>
            <w:pPr>
              <w:spacing w:after="0"/>
              <w:rPr>
                <w:sz w:val="4"/>
                <w:szCs w:val="4"/>
                <w:color w:val="auto"/>
              </w:rPr>
            </w:pPr>
          </w:p>
        </w:tc>
        <w:tc>
          <w:tcPr>
            <w:tcW w:w="900" w:type="dxa"/>
            <w:vAlign w:val="bottom"/>
            <w:tcBorders>
              <w:bottom w:val="single" w:sz="8" w:color="A6A6A6"/>
            </w:tcBorders>
          </w:tcPr>
          <w:p>
            <w:pPr>
              <w:spacing w:after="0"/>
              <w:rPr>
                <w:sz w:val="4"/>
                <w:szCs w:val="4"/>
                <w:color w:val="auto"/>
              </w:rPr>
            </w:pPr>
          </w:p>
        </w:tc>
        <w:tc>
          <w:tcPr>
            <w:tcW w:w="680" w:type="dxa"/>
            <w:vAlign w:val="bottom"/>
            <w:tcBorders>
              <w:bottom w:val="single" w:sz="8" w:color="A6A6A6"/>
            </w:tcBorders>
          </w:tcPr>
          <w:p>
            <w:pPr>
              <w:spacing w:after="0"/>
              <w:rPr>
                <w:sz w:val="4"/>
                <w:szCs w:val="4"/>
                <w:color w:val="auto"/>
              </w:rPr>
            </w:pPr>
          </w:p>
        </w:tc>
        <w:tc>
          <w:tcPr>
            <w:tcW w:w="680" w:type="dxa"/>
            <w:vAlign w:val="bottom"/>
            <w:tcBorders>
              <w:bottom w:val="single" w:sz="8" w:color="A6A6A6"/>
            </w:tcBorders>
          </w:tcPr>
          <w:p>
            <w:pPr>
              <w:spacing w:after="0"/>
              <w:rPr>
                <w:sz w:val="4"/>
                <w:szCs w:val="4"/>
                <w:color w:val="auto"/>
              </w:rPr>
            </w:pPr>
          </w:p>
        </w:tc>
        <w:tc>
          <w:tcPr>
            <w:tcW w:w="720" w:type="dxa"/>
            <w:vAlign w:val="bottom"/>
            <w:tcBorders>
              <w:bottom w:val="single" w:sz="8" w:color="A6A6A6"/>
            </w:tcBorders>
          </w:tcPr>
          <w:p>
            <w:pPr>
              <w:spacing w:after="0"/>
              <w:rPr>
                <w:sz w:val="4"/>
                <w:szCs w:val="4"/>
                <w:color w:val="auto"/>
              </w:rPr>
            </w:pPr>
          </w:p>
        </w:tc>
        <w:tc>
          <w:tcPr>
            <w:tcW w:w="720" w:type="dxa"/>
            <w:vAlign w:val="bottom"/>
            <w:tcBorders>
              <w:bottom w:val="single" w:sz="8" w:color="A6A6A6"/>
            </w:tcBorders>
          </w:tcPr>
          <w:p>
            <w:pPr>
              <w:spacing w:after="0"/>
              <w:rPr>
                <w:sz w:val="4"/>
                <w:szCs w:val="4"/>
                <w:color w:val="auto"/>
              </w:rPr>
            </w:pPr>
          </w:p>
        </w:tc>
        <w:tc>
          <w:tcPr>
            <w:tcW w:w="540" w:type="dxa"/>
            <w:vAlign w:val="bottom"/>
            <w:tcBorders>
              <w:bottom w:val="single" w:sz="8" w:color="A6A6A6"/>
            </w:tcBorders>
          </w:tcPr>
          <w:p>
            <w:pPr>
              <w:spacing w:after="0"/>
              <w:rPr>
                <w:sz w:val="4"/>
                <w:szCs w:val="4"/>
                <w:color w:val="auto"/>
              </w:rPr>
            </w:pPr>
          </w:p>
        </w:tc>
        <w:tc>
          <w:tcPr>
            <w:tcW w:w="720" w:type="dxa"/>
            <w:vAlign w:val="bottom"/>
            <w:tcBorders>
              <w:bottom w:val="single" w:sz="8" w:color="A6A6A6"/>
            </w:tcBorders>
          </w:tcPr>
          <w:p>
            <w:pPr>
              <w:spacing w:after="0"/>
              <w:rPr>
                <w:sz w:val="4"/>
                <w:szCs w:val="4"/>
                <w:color w:val="auto"/>
              </w:rPr>
            </w:pPr>
          </w:p>
        </w:tc>
        <w:tc>
          <w:tcPr>
            <w:tcW w:w="920" w:type="dxa"/>
            <w:vAlign w:val="bottom"/>
            <w:tcBorders>
              <w:bottom w:val="single" w:sz="8" w:color="A6A6A6"/>
            </w:tcBorders>
          </w:tcPr>
          <w:p>
            <w:pPr>
              <w:spacing w:after="0"/>
              <w:rPr>
                <w:sz w:val="4"/>
                <w:szCs w:val="4"/>
                <w:color w:val="auto"/>
              </w:rPr>
            </w:pPr>
          </w:p>
        </w:tc>
        <w:tc>
          <w:tcPr>
            <w:tcW w:w="560" w:type="dxa"/>
            <w:vAlign w:val="bottom"/>
            <w:tcBorders>
              <w:bottom w:val="single" w:sz="8" w:color="A6A6A6"/>
            </w:tcBorders>
          </w:tcPr>
          <w:p>
            <w:pPr>
              <w:spacing w:after="0"/>
              <w:rPr>
                <w:sz w:val="4"/>
                <w:szCs w:val="4"/>
                <w:color w:val="auto"/>
              </w:rPr>
            </w:pPr>
          </w:p>
        </w:tc>
        <w:tc>
          <w:tcPr>
            <w:tcW w:w="7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380" w:type="dxa"/>
            <w:vAlign w:val="bottom"/>
          </w:tcPr>
          <w:p>
            <w:pPr>
              <w:spacing w:after="0" w:line="127" w:lineRule="exact"/>
              <w:rPr>
                <w:sz w:val="20"/>
                <w:szCs w:val="20"/>
                <w:color w:val="auto"/>
              </w:rPr>
            </w:pPr>
            <w:r>
              <w:rPr>
                <w:rFonts w:ascii="Calibri" w:cs="Calibri" w:eastAsia="Calibri" w:hAnsi="Calibri"/>
                <w:sz w:val="11"/>
                <w:szCs w:val="11"/>
                <w:b w:val="1"/>
                <w:bCs w:val="1"/>
                <w:color w:val="auto"/>
              </w:rPr>
              <w:t>Neil W. Peterson</w:t>
            </w:r>
          </w:p>
        </w:tc>
        <w:tc>
          <w:tcPr>
            <w:tcW w:w="900" w:type="dxa"/>
            <w:vAlign w:val="bottom"/>
          </w:tcPr>
          <w:p>
            <w:pPr>
              <w:ind w:left="100"/>
              <w:spacing w:after="0"/>
              <w:rPr>
                <w:sz w:val="20"/>
                <w:szCs w:val="20"/>
                <w:color w:val="auto"/>
              </w:rPr>
            </w:pPr>
            <w:r>
              <w:rPr>
                <w:rFonts w:ascii="Calibri" w:cs="Calibri" w:eastAsia="Calibri" w:hAnsi="Calibri"/>
                <w:sz w:val="13"/>
                <w:szCs w:val="13"/>
                <w:color w:val="auto"/>
              </w:rPr>
              <w:t>2/28/2023</w:t>
            </w:r>
          </w:p>
        </w:tc>
        <w:tc>
          <w:tcPr>
            <w:tcW w:w="68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68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94"/>
              </w:rPr>
              <w:t>3,188</w:t>
            </w:r>
          </w:p>
        </w:tc>
        <w:tc>
          <w:tcPr>
            <w:tcW w:w="540" w:type="dxa"/>
            <w:vAlign w:val="bottom"/>
          </w:tcPr>
          <w:p>
            <w:pPr>
              <w:jc w:val="center"/>
              <w:spacing w:after="0"/>
              <w:rPr>
                <w:sz w:val="20"/>
                <w:szCs w:val="20"/>
                <w:color w:val="auto"/>
              </w:rPr>
            </w:pPr>
            <w:r>
              <w:rPr>
                <w:rFonts w:ascii="Calibri" w:cs="Calibri" w:eastAsia="Calibri" w:hAnsi="Calibri"/>
                <w:sz w:val="13"/>
                <w:szCs w:val="13"/>
                <w:color w:val="auto"/>
              </w:rPr>
              <w:t>8,501</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99"/>
              </w:rPr>
              <w:t>21,253</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56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760" w:type="dxa"/>
            <w:vAlign w:val="bottom"/>
          </w:tcPr>
          <w:p>
            <w:pPr>
              <w:jc w:val="center"/>
              <w:spacing w:after="0"/>
              <w:rPr>
                <w:sz w:val="20"/>
                <w:szCs w:val="20"/>
                <w:color w:val="auto"/>
              </w:rPr>
            </w:pPr>
            <w:r>
              <w:rPr>
                <w:rFonts w:ascii="Calibri" w:cs="Calibri" w:eastAsia="Calibri" w:hAnsi="Calibri"/>
                <w:sz w:val="13"/>
                <w:szCs w:val="13"/>
                <w:color w:val="auto"/>
                <w:w w:val="94"/>
              </w:rPr>
              <w:t>1,304,054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Calibri" w:cs="Calibri" w:eastAsia="Calibri" w:hAnsi="Calibri"/>
                <w:sz w:val="13"/>
                <w:szCs w:val="13"/>
                <w:color w:val="auto"/>
              </w:rPr>
              <w:t xml:space="preserve">N/A </w:t>
            </w:r>
            <w:r>
              <w:rPr>
                <w:rFonts w:ascii="Calibri" w:cs="Calibri" w:eastAsia="Calibri" w:hAnsi="Calibri"/>
                <w:sz w:val="13"/>
                <w:szCs w:val="13"/>
                <w:b w:val="1"/>
                <w:bCs w:val="1"/>
                <w:color w:val="AF0000"/>
              </w:rPr>
              <w:t>(2)</w:t>
            </w:r>
          </w:p>
        </w:tc>
        <w:tc>
          <w:tcPr>
            <w:tcW w:w="680" w:type="dxa"/>
            <w:vAlign w:val="bottom"/>
          </w:tcPr>
          <w:p>
            <w:pPr>
              <w:jc w:val="center"/>
              <w:spacing w:after="0"/>
              <w:rPr>
                <w:sz w:val="20"/>
                <w:szCs w:val="20"/>
                <w:color w:val="auto"/>
              </w:rPr>
            </w:pPr>
            <w:r>
              <w:rPr>
                <w:rFonts w:ascii="Calibri" w:cs="Calibri" w:eastAsia="Calibri" w:hAnsi="Calibri"/>
                <w:sz w:val="13"/>
                <w:szCs w:val="13"/>
                <w:color w:val="auto"/>
                <w:w w:val="98"/>
              </w:rPr>
              <w:t>126,000</w:t>
            </w:r>
          </w:p>
        </w:tc>
        <w:tc>
          <w:tcPr>
            <w:tcW w:w="680" w:type="dxa"/>
            <w:vAlign w:val="bottom"/>
          </w:tcPr>
          <w:p>
            <w:pPr>
              <w:jc w:val="center"/>
              <w:spacing w:after="0"/>
              <w:rPr>
                <w:sz w:val="20"/>
                <w:szCs w:val="20"/>
                <w:color w:val="auto"/>
              </w:rPr>
            </w:pPr>
            <w:r>
              <w:rPr>
                <w:rFonts w:ascii="Calibri" w:cs="Calibri" w:eastAsia="Calibri" w:hAnsi="Calibri"/>
                <w:sz w:val="13"/>
                <w:szCs w:val="13"/>
                <w:color w:val="auto"/>
                <w:w w:val="93"/>
              </w:rPr>
              <w:t>252,000</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98"/>
              </w:rPr>
              <w:t>415,800</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54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56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76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Calibri" w:cs="Calibri" w:eastAsia="Calibri" w:hAnsi="Calibri"/>
                <w:sz w:val="13"/>
                <w:szCs w:val="13"/>
                <w:color w:val="auto"/>
              </w:rPr>
              <w:t>N/A</w:t>
            </w:r>
          </w:p>
        </w:tc>
        <w:tc>
          <w:tcPr>
            <w:tcW w:w="68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68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54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3"/>
              </w:rPr>
              <w:t>13,576</w:t>
            </w:r>
          </w:p>
        </w:tc>
        <w:tc>
          <w:tcPr>
            <w:tcW w:w="560" w:type="dxa"/>
            <w:vAlign w:val="bottom"/>
          </w:tcPr>
          <w:p>
            <w:pPr>
              <w:jc w:val="center"/>
              <w:spacing w:after="0"/>
              <w:rPr>
                <w:sz w:val="20"/>
                <w:szCs w:val="20"/>
                <w:color w:val="auto"/>
              </w:rPr>
            </w:pPr>
            <w:r>
              <w:rPr>
                <w:rFonts w:ascii="Calibri" w:cs="Calibri" w:eastAsia="Calibri" w:hAnsi="Calibri"/>
                <w:sz w:val="13"/>
                <w:szCs w:val="13"/>
                <w:color w:val="auto"/>
                <w:w w:val="94"/>
              </w:rPr>
              <w:t>70.58</w:t>
            </w:r>
          </w:p>
        </w:tc>
        <w:tc>
          <w:tcPr>
            <w:tcW w:w="760" w:type="dxa"/>
            <w:vAlign w:val="bottom"/>
          </w:tcPr>
          <w:p>
            <w:pPr>
              <w:jc w:val="center"/>
              <w:spacing w:after="0"/>
              <w:rPr>
                <w:sz w:val="20"/>
                <w:szCs w:val="20"/>
                <w:color w:val="auto"/>
              </w:rPr>
            </w:pPr>
            <w:r>
              <w:rPr>
                <w:rFonts w:ascii="Calibri" w:cs="Calibri" w:eastAsia="Calibri" w:hAnsi="Calibri"/>
                <w:sz w:val="13"/>
                <w:szCs w:val="13"/>
                <w:color w:val="auto"/>
                <w:w w:val="98"/>
              </w:rPr>
              <w:t>400,011</w:t>
            </w:r>
          </w:p>
        </w:tc>
        <w:tc>
          <w:tcPr>
            <w:tcW w:w="0" w:type="dxa"/>
            <w:vAlign w:val="bottom"/>
          </w:tcPr>
          <w:p>
            <w:pPr>
              <w:spacing w:after="0"/>
              <w:rPr>
                <w:sz w:val="1"/>
                <w:szCs w:val="1"/>
                <w:color w:val="auto"/>
              </w:rPr>
            </w:pPr>
          </w:p>
        </w:tc>
      </w:tr>
      <w:tr>
        <w:trPr>
          <w:trHeight w:val="51"/>
        </w:trPr>
        <w:tc>
          <w:tcPr>
            <w:tcW w:w="1380" w:type="dxa"/>
            <w:vAlign w:val="bottom"/>
            <w:tcBorders>
              <w:bottom w:val="single" w:sz="8" w:color="A6A6A6"/>
            </w:tcBorders>
          </w:tcPr>
          <w:p>
            <w:pPr>
              <w:spacing w:after="0"/>
              <w:rPr>
                <w:sz w:val="4"/>
                <w:szCs w:val="4"/>
                <w:color w:val="auto"/>
              </w:rPr>
            </w:pPr>
          </w:p>
        </w:tc>
        <w:tc>
          <w:tcPr>
            <w:tcW w:w="900" w:type="dxa"/>
            <w:vAlign w:val="bottom"/>
            <w:tcBorders>
              <w:bottom w:val="single" w:sz="8" w:color="A6A6A6"/>
            </w:tcBorders>
          </w:tcPr>
          <w:p>
            <w:pPr>
              <w:spacing w:after="0"/>
              <w:rPr>
                <w:sz w:val="4"/>
                <w:szCs w:val="4"/>
                <w:color w:val="auto"/>
              </w:rPr>
            </w:pPr>
          </w:p>
        </w:tc>
        <w:tc>
          <w:tcPr>
            <w:tcW w:w="680" w:type="dxa"/>
            <w:vAlign w:val="bottom"/>
            <w:tcBorders>
              <w:bottom w:val="single" w:sz="8" w:color="A6A6A6"/>
            </w:tcBorders>
          </w:tcPr>
          <w:p>
            <w:pPr>
              <w:spacing w:after="0"/>
              <w:rPr>
                <w:sz w:val="4"/>
                <w:szCs w:val="4"/>
                <w:color w:val="auto"/>
              </w:rPr>
            </w:pPr>
          </w:p>
        </w:tc>
        <w:tc>
          <w:tcPr>
            <w:tcW w:w="680" w:type="dxa"/>
            <w:vAlign w:val="bottom"/>
            <w:tcBorders>
              <w:bottom w:val="single" w:sz="8" w:color="A6A6A6"/>
            </w:tcBorders>
          </w:tcPr>
          <w:p>
            <w:pPr>
              <w:spacing w:after="0"/>
              <w:rPr>
                <w:sz w:val="4"/>
                <w:szCs w:val="4"/>
                <w:color w:val="auto"/>
              </w:rPr>
            </w:pPr>
          </w:p>
        </w:tc>
        <w:tc>
          <w:tcPr>
            <w:tcW w:w="720" w:type="dxa"/>
            <w:vAlign w:val="bottom"/>
            <w:tcBorders>
              <w:bottom w:val="single" w:sz="8" w:color="A6A6A6"/>
            </w:tcBorders>
          </w:tcPr>
          <w:p>
            <w:pPr>
              <w:spacing w:after="0"/>
              <w:rPr>
                <w:sz w:val="4"/>
                <w:szCs w:val="4"/>
                <w:color w:val="auto"/>
              </w:rPr>
            </w:pPr>
          </w:p>
        </w:tc>
        <w:tc>
          <w:tcPr>
            <w:tcW w:w="720" w:type="dxa"/>
            <w:vAlign w:val="bottom"/>
            <w:tcBorders>
              <w:bottom w:val="single" w:sz="8" w:color="A6A6A6"/>
            </w:tcBorders>
          </w:tcPr>
          <w:p>
            <w:pPr>
              <w:spacing w:after="0"/>
              <w:rPr>
                <w:sz w:val="4"/>
                <w:szCs w:val="4"/>
                <w:color w:val="auto"/>
              </w:rPr>
            </w:pPr>
          </w:p>
        </w:tc>
        <w:tc>
          <w:tcPr>
            <w:tcW w:w="540" w:type="dxa"/>
            <w:vAlign w:val="bottom"/>
            <w:tcBorders>
              <w:bottom w:val="single" w:sz="8" w:color="A6A6A6"/>
            </w:tcBorders>
          </w:tcPr>
          <w:p>
            <w:pPr>
              <w:spacing w:after="0"/>
              <w:rPr>
                <w:sz w:val="4"/>
                <w:szCs w:val="4"/>
                <w:color w:val="auto"/>
              </w:rPr>
            </w:pPr>
          </w:p>
        </w:tc>
        <w:tc>
          <w:tcPr>
            <w:tcW w:w="720" w:type="dxa"/>
            <w:vAlign w:val="bottom"/>
            <w:tcBorders>
              <w:bottom w:val="single" w:sz="8" w:color="A6A6A6"/>
            </w:tcBorders>
          </w:tcPr>
          <w:p>
            <w:pPr>
              <w:spacing w:after="0"/>
              <w:rPr>
                <w:sz w:val="4"/>
                <w:szCs w:val="4"/>
                <w:color w:val="auto"/>
              </w:rPr>
            </w:pPr>
          </w:p>
        </w:tc>
        <w:tc>
          <w:tcPr>
            <w:tcW w:w="920" w:type="dxa"/>
            <w:vAlign w:val="bottom"/>
            <w:tcBorders>
              <w:bottom w:val="single" w:sz="8" w:color="A6A6A6"/>
            </w:tcBorders>
          </w:tcPr>
          <w:p>
            <w:pPr>
              <w:spacing w:after="0"/>
              <w:rPr>
                <w:sz w:val="4"/>
                <w:szCs w:val="4"/>
                <w:color w:val="auto"/>
              </w:rPr>
            </w:pPr>
          </w:p>
        </w:tc>
        <w:tc>
          <w:tcPr>
            <w:tcW w:w="560" w:type="dxa"/>
            <w:vAlign w:val="bottom"/>
            <w:tcBorders>
              <w:bottom w:val="single" w:sz="8" w:color="A6A6A6"/>
            </w:tcBorders>
          </w:tcPr>
          <w:p>
            <w:pPr>
              <w:spacing w:after="0"/>
              <w:rPr>
                <w:sz w:val="4"/>
                <w:szCs w:val="4"/>
                <w:color w:val="auto"/>
              </w:rPr>
            </w:pPr>
          </w:p>
        </w:tc>
        <w:tc>
          <w:tcPr>
            <w:tcW w:w="7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380" w:type="dxa"/>
            <w:vAlign w:val="bottom"/>
          </w:tcPr>
          <w:p>
            <w:pPr>
              <w:spacing w:after="0" w:line="121" w:lineRule="exact"/>
              <w:rPr>
                <w:sz w:val="20"/>
                <w:szCs w:val="20"/>
                <w:color w:val="auto"/>
              </w:rPr>
            </w:pPr>
            <w:r>
              <w:rPr>
                <w:rFonts w:ascii="Calibri" w:cs="Calibri" w:eastAsia="Calibri" w:hAnsi="Calibri"/>
                <w:sz w:val="11"/>
                <w:szCs w:val="11"/>
                <w:b w:val="1"/>
                <w:bCs w:val="1"/>
                <w:color w:val="auto"/>
              </w:rPr>
              <w:t>Joseph C. Wright</w:t>
            </w:r>
          </w:p>
        </w:tc>
        <w:tc>
          <w:tcPr>
            <w:tcW w:w="900" w:type="dxa"/>
            <w:vAlign w:val="bottom"/>
            <w:vMerge w:val="restart"/>
          </w:tcPr>
          <w:p>
            <w:pPr>
              <w:ind w:left="100"/>
              <w:spacing w:after="0"/>
              <w:rPr>
                <w:sz w:val="20"/>
                <w:szCs w:val="20"/>
                <w:color w:val="auto"/>
              </w:rPr>
            </w:pPr>
            <w:r>
              <w:rPr>
                <w:rFonts w:ascii="Calibri" w:cs="Calibri" w:eastAsia="Calibri" w:hAnsi="Calibri"/>
                <w:sz w:val="13"/>
                <w:szCs w:val="13"/>
                <w:color w:val="auto"/>
              </w:rPr>
              <w:t>2/28/2023</w:t>
            </w:r>
          </w:p>
        </w:tc>
        <w:tc>
          <w:tcPr>
            <w:tcW w:w="680" w:type="dxa"/>
            <w:vAlign w:val="bottom"/>
            <w:vMerge w:val="restart"/>
          </w:tcPr>
          <w:p>
            <w:pPr>
              <w:jc w:val="center"/>
              <w:spacing w:after="0"/>
              <w:rPr>
                <w:sz w:val="20"/>
                <w:szCs w:val="20"/>
                <w:color w:val="auto"/>
              </w:rPr>
            </w:pPr>
            <w:r>
              <w:rPr>
                <w:rFonts w:ascii="Calibri" w:cs="Calibri" w:eastAsia="Calibri" w:hAnsi="Calibri"/>
                <w:sz w:val="13"/>
                <w:szCs w:val="13"/>
                <w:color w:val="auto"/>
              </w:rPr>
              <w:t>—</w:t>
            </w:r>
          </w:p>
        </w:tc>
        <w:tc>
          <w:tcPr>
            <w:tcW w:w="680" w:type="dxa"/>
            <w:vAlign w:val="bottom"/>
            <w:vMerge w:val="restart"/>
          </w:tcPr>
          <w:p>
            <w:pPr>
              <w:jc w:val="center"/>
              <w:spacing w:after="0"/>
              <w:rPr>
                <w:sz w:val="20"/>
                <w:szCs w:val="20"/>
                <w:color w:val="auto"/>
              </w:rPr>
            </w:pPr>
            <w:r>
              <w:rPr>
                <w:rFonts w:ascii="Calibri" w:cs="Calibri" w:eastAsia="Calibri" w:hAnsi="Calibri"/>
                <w:sz w:val="13"/>
                <w:szCs w:val="13"/>
                <w:color w:val="auto"/>
              </w:rPr>
              <w:t>—</w:t>
            </w:r>
          </w:p>
        </w:tc>
        <w:tc>
          <w:tcPr>
            <w:tcW w:w="720" w:type="dxa"/>
            <w:vAlign w:val="bottom"/>
            <w:vMerge w:val="restart"/>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vMerge w:val="restart"/>
          </w:tcPr>
          <w:p>
            <w:pPr>
              <w:jc w:val="center"/>
              <w:spacing w:after="0"/>
              <w:rPr>
                <w:sz w:val="20"/>
                <w:szCs w:val="20"/>
                <w:color w:val="auto"/>
              </w:rPr>
            </w:pPr>
            <w:r>
              <w:rPr>
                <w:rFonts w:ascii="Calibri" w:cs="Calibri" w:eastAsia="Calibri" w:hAnsi="Calibri"/>
                <w:sz w:val="13"/>
                <w:szCs w:val="13"/>
                <w:color w:val="auto"/>
                <w:w w:val="94"/>
              </w:rPr>
              <w:t>3,188</w:t>
            </w:r>
          </w:p>
        </w:tc>
        <w:tc>
          <w:tcPr>
            <w:tcW w:w="540" w:type="dxa"/>
            <w:vAlign w:val="bottom"/>
            <w:vMerge w:val="restart"/>
          </w:tcPr>
          <w:p>
            <w:pPr>
              <w:jc w:val="center"/>
              <w:spacing w:after="0"/>
              <w:rPr>
                <w:sz w:val="20"/>
                <w:szCs w:val="20"/>
                <w:color w:val="auto"/>
              </w:rPr>
            </w:pPr>
            <w:r>
              <w:rPr>
                <w:rFonts w:ascii="Calibri" w:cs="Calibri" w:eastAsia="Calibri" w:hAnsi="Calibri"/>
                <w:sz w:val="13"/>
                <w:szCs w:val="13"/>
                <w:color w:val="auto"/>
              </w:rPr>
              <w:t>8,501</w:t>
            </w:r>
          </w:p>
        </w:tc>
        <w:tc>
          <w:tcPr>
            <w:tcW w:w="720" w:type="dxa"/>
            <w:vAlign w:val="bottom"/>
            <w:vMerge w:val="restart"/>
          </w:tcPr>
          <w:p>
            <w:pPr>
              <w:jc w:val="center"/>
              <w:spacing w:after="0"/>
              <w:rPr>
                <w:sz w:val="20"/>
                <w:szCs w:val="20"/>
                <w:color w:val="auto"/>
              </w:rPr>
            </w:pPr>
            <w:r>
              <w:rPr>
                <w:rFonts w:ascii="Calibri" w:cs="Calibri" w:eastAsia="Calibri" w:hAnsi="Calibri"/>
                <w:sz w:val="13"/>
                <w:szCs w:val="13"/>
                <w:color w:val="auto"/>
                <w:w w:val="99"/>
              </w:rPr>
              <w:t>21,253</w:t>
            </w:r>
          </w:p>
        </w:tc>
        <w:tc>
          <w:tcPr>
            <w:tcW w:w="920" w:type="dxa"/>
            <w:vAlign w:val="bottom"/>
            <w:vMerge w:val="restart"/>
          </w:tcPr>
          <w:p>
            <w:pPr>
              <w:jc w:val="center"/>
              <w:spacing w:after="0"/>
              <w:rPr>
                <w:sz w:val="20"/>
                <w:szCs w:val="20"/>
                <w:color w:val="auto"/>
              </w:rPr>
            </w:pPr>
            <w:r>
              <w:rPr>
                <w:rFonts w:ascii="Calibri" w:cs="Calibri" w:eastAsia="Calibri" w:hAnsi="Calibri"/>
                <w:sz w:val="13"/>
                <w:szCs w:val="13"/>
                <w:color w:val="auto"/>
                <w:w w:val="84"/>
              </w:rPr>
              <w:t>—</w:t>
            </w:r>
          </w:p>
        </w:tc>
        <w:tc>
          <w:tcPr>
            <w:tcW w:w="560" w:type="dxa"/>
            <w:vAlign w:val="bottom"/>
            <w:vMerge w:val="restart"/>
          </w:tcPr>
          <w:p>
            <w:pPr>
              <w:jc w:val="center"/>
              <w:spacing w:after="0"/>
              <w:rPr>
                <w:sz w:val="20"/>
                <w:szCs w:val="20"/>
                <w:color w:val="auto"/>
              </w:rPr>
            </w:pPr>
            <w:r>
              <w:rPr>
                <w:rFonts w:ascii="Calibri" w:cs="Calibri" w:eastAsia="Calibri" w:hAnsi="Calibri"/>
                <w:sz w:val="13"/>
                <w:szCs w:val="13"/>
                <w:color w:val="auto"/>
              </w:rPr>
              <w:t>—</w:t>
            </w:r>
          </w:p>
        </w:tc>
        <w:tc>
          <w:tcPr>
            <w:tcW w:w="760" w:type="dxa"/>
            <w:vAlign w:val="bottom"/>
            <w:vMerge w:val="restart"/>
          </w:tcPr>
          <w:p>
            <w:pPr>
              <w:jc w:val="center"/>
              <w:spacing w:after="0"/>
              <w:rPr>
                <w:sz w:val="20"/>
                <w:szCs w:val="20"/>
                <w:color w:val="auto"/>
              </w:rPr>
            </w:pPr>
            <w:r>
              <w:rPr>
                <w:rFonts w:ascii="Calibri" w:cs="Calibri" w:eastAsia="Calibri" w:hAnsi="Calibri"/>
                <w:sz w:val="13"/>
                <w:szCs w:val="13"/>
                <w:color w:val="auto"/>
                <w:w w:val="94"/>
              </w:rPr>
              <w:t>1,304,054</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Calibri" w:cs="Calibri" w:eastAsia="Calibri" w:hAnsi="Calibri"/>
                <w:sz w:val="13"/>
                <w:szCs w:val="13"/>
                <w:color w:val="auto"/>
              </w:rPr>
              <w:t xml:space="preserve">N/A </w:t>
            </w:r>
            <w:r>
              <w:rPr>
                <w:rFonts w:ascii="Calibri" w:cs="Calibri" w:eastAsia="Calibri" w:hAnsi="Calibri"/>
                <w:sz w:val="13"/>
                <w:szCs w:val="13"/>
                <w:b w:val="1"/>
                <w:bCs w:val="1"/>
                <w:color w:val="AF0000"/>
              </w:rPr>
              <w:t>(2)</w:t>
            </w:r>
          </w:p>
        </w:tc>
        <w:tc>
          <w:tcPr>
            <w:tcW w:w="680" w:type="dxa"/>
            <w:vAlign w:val="bottom"/>
          </w:tcPr>
          <w:p>
            <w:pPr>
              <w:jc w:val="center"/>
              <w:spacing w:after="0"/>
              <w:rPr>
                <w:sz w:val="20"/>
                <w:szCs w:val="20"/>
                <w:color w:val="auto"/>
              </w:rPr>
            </w:pPr>
            <w:r>
              <w:rPr>
                <w:rFonts w:ascii="Calibri" w:cs="Calibri" w:eastAsia="Calibri" w:hAnsi="Calibri"/>
                <w:sz w:val="13"/>
                <w:szCs w:val="13"/>
                <w:color w:val="auto"/>
                <w:w w:val="98"/>
              </w:rPr>
              <w:t>140,000</w:t>
            </w:r>
          </w:p>
        </w:tc>
        <w:tc>
          <w:tcPr>
            <w:tcW w:w="680" w:type="dxa"/>
            <w:vAlign w:val="bottom"/>
          </w:tcPr>
          <w:p>
            <w:pPr>
              <w:jc w:val="center"/>
              <w:spacing w:after="0"/>
              <w:rPr>
                <w:sz w:val="20"/>
                <w:szCs w:val="20"/>
                <w:color w:val="auto"/>
              </w:rPr>
            </w:pPr>
            <w:r>
              <w:rPr>
                <w:rFonts w:ascii="Calibri" w:cs="Calibri" w:eastAsia="Calibri" w:hAnsi="Calibri"/>
                <w:sz w:val="13"/>
                <w:szCs w:val="13"/>
                <w:color w:val="auto"/>
                <w:w w:val="93"/>
              </w:rPr>
              <w:t>280,000</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98"/>
              </w:rPr>
              <w:t>462,000</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54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56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76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Calibri" w:cs="Calibri" w:eastAsia="Calibri" w:hAnsi="Calibri"/>
                <w:sz w:val="13"/>
                <w:szCs w:val="13"/>
                <w:color w:val="auto"/>
              </w:rPr>
              <w:t>2/28/2023</w:t>
            </w:r>
          </w:p>
        </w:tc>
        <w:tc>
          <w:tcPr>
            <w:tcW w:w="68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68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54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3"/>
              </w:rPr>
              <w:t>13,576</w:t>
            </w:r>
          </w:p>
        </w:tc>
        <w:tc>
          <w:tcPr>
            <w:tcW w:w="560" w:type="dxa"/>
            <w:vAlign w:val="bottom"/>
          </w:tcPr>
          <w:p>
            <w:pPr>
              <w:jc w:val="center"/>
              <w:spacing w:after="0"/>
              <w:rPr>
                <w:sz w:val="20"/>
                <w:szCs w:val="20"/>
                <w:color w:val="auto"/>
              </w:rPr>
            </w:pPr>
            <w:r>
              <w:rPr>
                <w:rFonts w:ascii="Calibri" w:cs="Calibri" w:eastAsia="Calibri" w:hAnsi="Calibri"/>
                <w:sz w:val="13"/>
                <w:szCs w:val="13"/>
                <w:color w:val="auto"/>
                <w:w w:val="94"/>
              </w:rPr>
              <w:t>70.58</w:t>
            </w:r>
          </w:p>
        </w:tc>
        <w:tc>
          <w:tcPr>
            <w:tcW w:w="760" w:type="dxa"/>
            <w:vAlign w:val="bottom"/>
          </w:tcPr>
          <w:p>
            <w:pPr>
              <w:jc w:val="center"/>
              <w:spacing w:after="0"/>
              <w:rPr>
                <w:sz w:val="20"/>
                <w:szCs w:val="20"/>
                <w:color w:val="auto"/>
              </w:rPr>
            </w:pPr>
            <w:r>
              <w:rPr>
                <w:rFonts w:ascii="Calibri" w:cs="Calibri" w:eastAsia="Calibri" w:hAnsi="Calibri"/>
                <w:sz w:val="13"/>
                <w:szCs w:val="13"/>
                <w:color w:val="auto"/>
                <w:w w:val="98"/>
              </w:rPr>
              <w:t>400,011</w:t>
            </w:r>
          </w:p>
        </w:tc>
        <w:tc>
          <w:tcPr>
            <w:tcW w:w="0" w:type="dxa"/>
            <w:vAlign w:val="bottom"/>
          </w:tcPr>
          <w:p>
            <w:pPr>
              <w:spacing w:after="0"/>
              <w:rPr>
                <w:sz w:val="1"/>
                <w:szCs w:val="1"/>
                <w:color w:val="auto"/>
              </w:rPr>
            </w:pPr>
          </w:p>
        </w:tc>
      </w:tr>
      <w:tr>
        <w:trPr>
          <w:trHeight w:val="51"/>
        </w:trPr>
        <w:tc>
          <w:tcPr>
            <w:tcW w:w="1380" w:type="dxa"/>
            <w:vAlign w:val="bottom"/>
            <w:tcBorders>
              <w:bottom w:val="single" w:sz="8" w:color="A6A6A6"/>
            </w:tcBorders>
          </w:tcPr>
          <w:p>
            <w:pPr>
              <w:spacing w:after="0"/>
              <w:rPr>
                <w:sz w:val="4"/>
                <w:szCs w:val="4"/>
                <w:color w:val="auto"/>
              </w:rPr>
            </w:pPr>
          </w:p>
        </w:tc>
        <w:tc>
          <w:tcPr>
            <w:tcW w:w="900" w:type="dxa"/>
            <w:vAlign w:val="bottom"/>
            <w:tcBorders>
              <w:bottom w:val="single" w:sz="8" w:color="A6A6A6"/>
            </w:tcBorders>
          </w:tcPr>
          <w:p>
            <w:pPr>
              <w:spacing w:after="0"/>
              <w:rPr>
                <w:sz w:val="4"/>
                <w:szCs w:val="4"/>
                <w:color w:val="auto"/>
              </w:rPr>
            </w:pPr>
          </w:p>
        </w:tc>
        <w:tc>
          <w:tcPr>
            <w:tcW w:w="680" w:type="dxa"/>
            <w:vAlign w:val="bottom"/>
            <w:tcBorders>
              <w:bottom w:val="single" w:sz="8" w:color="A6A6A6"/>
            </w:tcBorders>
          </w:tcPr>
          <w:p>
            <w:pPr>
              <w:spacing w:after="0"/>
              <w:rPr>
                <w:sz w:val="4"/>
                <w:szCs w:val="4"/>
                <w:color w:val="auto"/>
              </w:rPr>
            </w:pPr>
          </w:p>
        </w:tc>
        <w:tc>
          <w:tcPr>
            <w:tcW w:w="680" w:type="dxa"/>
            <w:vAlign w:val="bottom"/>
            <w:tcBorders>
              <w:bottom w:val="single" w:sz="8" w:color="A6A6A6"/>
            </w:tcBorders>
          </w:tcPr>
          <w:p>
            <w:pPr>
              <w:spacing w:after="0"/>
              <w:rPr>
                <w:sz w:val="4"/>
                <w:szCs w:val="4"/>
                <w:color w:val="auto"/>
              </w:rPr>
            </w:pPr>
          </w:p>
        </w:tc>
        <w:tc>
          <w:tcPr>
            <w:tcW w:w="720" w:type="dxa"/>
            <w:vAlign w:val="bottom"/>
            <w:tcBorders>
              <w:bottom w:val="single" w:sz="8" w:color="A6A6A6"/>
            </w:tcBorders>
          </w:tcPr>
          <w:p>
            <w:pPr>
              <w:spacing w:after="0"/>
              <w:rPr>
                <w:sz w:val="4"/>
                <w:szCs w:val="4"/>
                <w:color w:val="auto"/>
              </w:rPr>
            </w:pPr>
          </w:p>
        </w:tc>
        <w:tc>
          <w:tcPr>
            <w:tcW w:w="720" w:type="dxa"/>
            <w:vAlign w:val="bottom"/>
            <w:tcBorders>
              <w:bottom w:val="single" w:sz="8" w:color="A6A6A6"/>
            </w:tcBorders>
          </w:tcPr>
          <w:p>
            <w:pPr>
              <w:spacing w:after="0"/>
              <w:rPr>
                <w:sz w:val="4"/>
                <w:szCs w:val="4"/>
                <w:color w:val="auto"/>
              </w:rPr>
            </w:pPr>
          </w:p>
        </w:tc>
        <w:tc>
          <w:tcPr>
            <w:tcW w:w="540" w:type="dxa"/>
            <w:vAlign w:val="bottom"/>
            <w:tcBorders>
              <w:bottom w:val="single" w:sz="8" w:color="A6A6A6"/>
            </w:tcBorders>
          </w:tcPr>
          <w:p>
            <w:pPr>
              <w:spacing w:after="0"/>
              <w:rPr>
                <w:sz w:val="4"/>
                <w:szCs w:val="4"/>
                <w:color w:val="auto"/>
              </w:rPr>
            </w:pPr>
          </w:p>
        </w:tc>
        <w:tc>
          <w:tcPr>
            <w:tcW w:w="720" w:type="dxa"/>
            <w:vAlign w:val="bottom"/>
            <w:tcBorders>
              <w:bottom w:val="single" w:sz="8" w:color="A6A6A6"/>
            </w:tcBorders>
          </w:tcPr>
          <w:p>
            <w:pPr>
              <w:spacing w:after="0"/>
              <w:rPr>
                <w:sz w:val="4"/>
                <w:szCs w:val="4"/>
                <w:color w:val="auto"/>
              </w:rPr>
            </w:pPr>
          </w:p>
        </w:tc>
        <w:tc>
          <w:tcPr>
            <w:tcW w:w="920" w:type="dxa"/>
            <w:vAlign w:val="bottom"/>
            <w:tcBorders>
              <w:bottom w:val="single" w:sz="8" w:color="A6A6A6"/>
            </w:tcBorders>
          </w:tcPr>
          <w:p>
            <w:pPr>
              <w:spacing w:after="0"/>
              <w:rPr>
                <w:sz w:val="4"/>
                <w:szCs w:val="4"/>
                <w:color w:val="auto"/>
              </w:rPr>
            </w:pPr>
          </w:p>
        </w:tc>
        <w:tc>
          <w:tcPr>
            <w:tcW w:w="560" w:type="dxa"/>
            <w:vAlign w:val="bottom"/>
            <w:tcBorders>
              <w:bottom w:val="single" w:sz="8" w:color="A6A6A6"/>
            </w:tcBorders>
          </w:tcPr>
          <w:p>
            <w:pPr>
              <w:spacing w:after="0"/>
              <w:rPr>
                <w:sz w:val="4"/>
                <w:szCs w:val="4"/>
                <w:color w:val="auto"/>
              </w:rPr>
            </w:pPr>
          </w:p>
        </w:tc>
        <w:tc>
          <w:tcPr>
            <w:tcW w:w="7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380" w:type="dxa"/>
            <w:vAlign w:val="bottom"/>
          </w:tcPr>
          <w:p>
            <w:pPr>
              <w:spacing w:after="0" w:line="121" w:lineRule="exact"/>
              <w:rPr>
                <w:sz w:val="20"/>
                <w:szCs w:val="20"/>
                <w:color w:val="auto"/>
              </w:rPr>
            </w:pPr>
            <w:r>
              <w:rPr>
                <w:rFonts w:ascii="Calibri" w:cs="Calibri" w:eastAsia="Calibri" w:hAnsi="Calibri"/>
                <w:sz w:val="11"/>
                <w:szCs w:val="11"/>
                <w:b w:val="1"/>
                <w:bCs w:val="1"/>
                <w:color w:val="auto"/>
              </w:rPr>
              <w:t>Brian G. Lloyd</w:t>
            </w:r>
          </w:p>
        </w:tc>
        <w:tc>
          <w:tcPr>
            <w:tcW w:w="900" w:type="dxa"/>
            <w:vAlign w:val="bottom"/>
            <w:vMerge w:val="restart"/>
          </w:tcPr>
          <w:p>
            <w:pPr>
              <w:ind w:left="100"/>
              <w:spacing w:after="0"/>
              <w:rPr>
                <w:sz w:val="20"/>
                <w:szCs w:val="20"/>
                <w:color w:val="auto"/>
              </w:rPr>
            </w:pPr>
            <w:r>
              <w:rPr>
                <w:rFonts w:ascii="Calibri" w:cs="Calibri" w:eastAsia="Calibri" w:hAnsi="Calibri"/>
                <w:sz w:val="13"/>
                <w:szCs w:val="13"/>
                <w:color w:val="auto"/>
              </w:rPr>
              <w:t>2/28/2023</w:t>
            </w:r>
          </w:p>
        </w:tc>
        <w:tc>
          <w:tcPr>
            <w:tcW w:w="680" w:type="dxa"/>
            <w:vAlign w:val="bottom"/>
            <w:vMerge w:val="restart"/>
          </w:tcPr>
          <w:p>
            <w:pPr>
              <w:jc w:val="center"/>
              <w:spacing w:after="0"/>
              <w:rPr>
                <w:sz w:val="20"/>
                <w:szCs w:val="20"/>
                <w:color w:val="auto"/>
              </w:rPr>
            </w:pPr>
            <w:r>
              <w:rPr>
                <w:rFonts w:ascii="Calibri" w:cs="Calibri" w:eastAsia="Calibri" w:hAnsi="Calibri"/>
                <w:sz w:val="13"/>
                <w:szCs w:val="13"/>
                <w:color w:val="auto"/>
              </w:rPr>
              <w:t>—</w:t>
            </w:r>
          </w:p>
        </w:tc>
        <w:tc>
          <w:tcPr>
            <w:tcW w:w="680" w:type="dxa"/>
            <w:vAlign w:val="bottom"/>
            <w:vMerge w:val="restart"/>
          </w:tcPr>
          <w:p>
            <w:pPr>
              <w:jc w:val="center"/>
              <w:spacing w:after="0"/>
              <w:rPr>
                <w:sz w:val="20"/>
                <w:szCs w:val="20"/>
                <w:color w:val="auto"/>
              </w:rPr>
            </w:pPr>
            <w:r>
              <w:rPr>
                <w:rFonts w:ascii="Calibri" w:cs="Calibri" w:eastAsia="Calibri" w:hAnsi="Calibri"/>
                <w:sz w:val="13"/>
                <w:szCs w:val="13"/>
                <w:color w:val="auto"/>
              </w:rPr>
              <w:t>—</w:t>
            </w:r>
          </w:p>
        </w:tc>
        <w:tc>
          <w:tcPr>
            <w:tcW w:w="720" w:type="dxa"/>
            <w:vAlign w:val="bottom"/>
            <w:vMerge w:val="restart"/>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vMerge w:val="restart"/>
          </w:tcPr>
          <w:p>
            <w:pPr>
              <w:jc w:val="center"/>
              <w:spacing w:after="0"/>
              <w:rPr>
                <w:sz w:val="20"/>
                <w:szCs w:val="20"/>
                <w:color w:val="auto"/>
              </w:rPr>
            </w:pPr>
            <w:r>
              <w:rPr>
                <w:rFonts w:ascii="Calibri" w:cs="Calibri" w:eastAsia="Calibri" w:hAnsi="Calibri"/>
                <w:sz w:val="13"/>
                <w:szCs w:val="13"/>
                <w:color w:val="auto"/>
                <w:w w:val="94"/>
              </w:rPr>
              <w:t>3,188</w:t>
            </w:r>
          </w:p>
        </w:tc>
        <w:tc>
          <w:tcPr>
            <w:tcW w:w="540" w:type="dxa"/>
            <w:vAlign w:val="bottom"/>
            <w:vMerge w:val="restart"/>
          </w:tcPr>
          <w:p>
            <w:pPr>
              <w:jc w:val="center"/>
              <w:spacing w:after="0"/>
              <w:rPr>
                <w:sz w:val="20"/>
                <w:szCs w:val="20"/>
                <w:color w:val="auto"/>
              </w:rPr>
            </w:pPr>
            <w:r>
              <w:rPr>
                <w:rFonts w:ascii="Calibri" w:cs="Calibri" w:eastAsia="Calibri" w:hAnsi="Calibri"/>
                <w:sz w:val="13"/>
                <w:szCs w:val="13"/>
                <w:color w:val="auto"/>
              </w:rPr>
              <w:t>8,501</w:t>
            </w:r>
          </w:p>
        </w:tc>
        <w:tc>
          <w:tcPr>
            <w:tcW w:w="720" w:type="dxa"/>
            <w:vAlign w:val="bottom"/>
            <w:vMerge w:val="restart"/>
          </w:tcPr>
          <w:p>
            <w:pPr>
              <w:jc w:val="center"/>
              <w:spacing w:after="0"/>
              <w:rPr>
                <w:sz w:val="20"/>
                <w:szCs w:val="20"/>
                <w:color w:val="auto"/>
              </w:rPr>
            </w:pPr>
            <w:r>
              <w:rPr>
                <w:rFonts w:ascii="Calibri" w:cs="Calibri" w:eastAsia="Calibri" w:hAnsi="Calibri"/>
                <w:sz w:val="13"/>
                <w:szCs w:val="13"/>
                <w:color w:val="auto"/>
                <w:w w:val="99"/>
              </w:rPr>
              <w:t>21,253</w:t>
            </w:r>
          </w:p>
        </w:tc>
        <w:tc>
          <w:tcPr>
            <w:tcW w:w="920" w:type="dxa"/>
            <w:vAlign w:val="bottom"/>
            <w:vMerge w:val="restart"/>
          </w:tcPr>
          <w:p>
            <w:pPr>
              <w:jc w:val="center"/>
              <w:spacing w:after="0"/>
              <w:rPr>
                <w:sz w:val="20"/>
                <w:szCs w:val="20"/>
                <w:color w:val="auto"/>
              </w:rPr>
            </w:pPr>
            <w:r>
              <w:rPr>
                <w:rFonts w:ascii="Calibri" w:cs="Calibri" w:eastAsia="Calibri" w:hAnsi="Calibri"/>
                <w:sz w:val="13"/>
                <w:szCs w:val="13"/>
                <w:color w:val="auto"/>
                <w:w w:val="84"/>
              </w:rPr>
              <w:t>—</w:t>
            </w:r>
          </w:p>
        </w:tc>
        <w:tc>
          <w:tcPr>
            <w:tcW w:w="560" w:type="dxa"/>
            <w:vAlign w:val="bottom"/>
            <w:vMerge w:val="restart"/>
          </w:tcPr>
          <w:p>
            <w:pPr>
              <w:jc w:val="center"/>
              <w:spacing w:after="0"/>
              <w:rPr>
                <w:sz w:val="20"/>
                <w:szCs w:val="20"/>
                <w:color w:val="auto"/>
              </w:rPr>
            </w:pPr>
            <w:r>
              <w:rPr>
                <w:rFonts w:ascii="Calibri" w:cs="Calibri" w:eastAsia="Calibri" w:hAnsi="Calibri"/>
                <w:sz w:val="13"/>
                <w:szCs w:val="13"/>
                <w:color w:val="auto"/>
              </w:rPr>
              <w:t>—</w:t>
            </w:r>
          </w:p>
        </w:tc>
        <w:tc>
          <w:tcPr>
            <w:tcW w:w="760" w:type="dxa"/>
            <w:vAlign w:val="bottom"/>
            <w:vMerge w:val="restart"/>
          </w:tcPr>
          <w:p>
            <w:pPr>
              <w:jc w:val="center"/>
              <w:spacing w:after="0"/>
              <w:rPr>
                <w:sz w:val="20"/>
                <w:szCs w:val="20"/>
                <w:color w:val="auto"/>
              </w:rPr>
            </w:pPr>
            <w:r>
              <w:rPr>
                <w:rFonts w:ascii="Calibri" w:cs="Calibri" w:eastAsia="Calibri" w:hAnsi="Calibri"/>
                <w:sz w:val="13"/>
                <w:szCs w:val="13"/>
                <w:color w:val="auto"/>
                <w:w w:val="94"/>
              </w:rPr>
              <w:t>1,304,054</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Calibri" w:cs="Calibri" w:eastAsia="Calibri" w:hAnsi="Calibri"/>
                <w:sz w:val="13"/>
                <w:szCs w:val="13"/>
                <w:color w:val="auto"/>
              </w:rPr>
              <w:t xml:space="preserve">N/A </w:t>
            </w:r>
            <w:r>
              <w:rPr>
                <w:rFonts w:ascii="Calibri" w:cs="Calibri" w:eastAsia="Calibri" w:hAnsi="Calibri"/>
                <w:sz w:val="13"/>
                <w:szCs w:val="13"/>
                <w:b w:val="1"/>
                <w:bCs w:val="1"/>
                <w:color w:val="AF0000"/>
              </w:rPr>
              <w:t>(2)</w:t>
            </w:r>
          </w:p>
        </w:tc>
        <w:tc>
          <w:tcPr>
            <w:tcW w:w="680" w:type="dxa"/>
            <w:vAlign w:val="bottom"/>
          </w:tcPr>
          <w:p>
            <w:pPr>
              <w:jc w:val="center"/>
              <w:spacing w:after="0"/>
              <w:rPr>
                <w:sz w:val="20"/>
                <w:szCs w:val="20"/>
                <w:color w:val="auto"/>
              </w:rPr>
            </w:pPr>
            <w:r>
              <w:rPr>
                <w:rFonts w:ascii="Calibri" w:cs="Calibri" w:eastAsia="Calibri" w:hAnsi="Calibri"/>
                <w:sz w:val="13"/>
                <w:szCs w:val="13"/>
                <w:color w:val="auto"/>
                <w:w w:val="98"/>
              </w:rPr>
              <w:t>126,000</w:t>
            </w:r>
          </w:p>
        </w:tc>
        <w:tc>
          <w:tcPr>
            <w:tcW w:w="680" w:type="dxa"/>
            <w:vAlign w:val="bottom"/>
          </w:tcPr>
          <w:p>
            <w:pPr>
              <w:jc w:val="center"/>
              <w:spacing w:after="0"/>
              <w:rPr>
                <w:sz w:val="20"/>
                <w:szCs w:val="20"/>
                <w:color w:val="auto"/>
              </w:rPr>
            </w:pPr>
            <w:r>
              <w:rPr>
                <w:rFonts w:ascii="Calibri" w:cs="Calibri" w:eastAsia="Calibri" w:hAnsi="Calibri"/>
                <w:sz w:val="13"/>
                <w:szCs w:val="13"/>
                <w:color w:val="auto"/>
                <w:w w:val="93"/>
              </w:rPr>
              <w:t>252,000</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98"/>
              </w:rPr>
              <w:t>415,800</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54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56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76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Calibri" w:cs="Calibri" w:eastAsia="Calibri" w:hAnsi="Calibri"/>
                <w:sz w:val="13"/>
                <w:szCs w:val="13"/>
                <w:color w:val="auto"/>
              </w:rPr>
              <w:t>2/28/2023</w:t>
            </w:r>
          </w:p>
        </w:tc>
        <w:tc>
          <w:tcPr>
            <w:tcW w:w="68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68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540" w:type="dxa"/>
            <w:vAlign w:val="bottom"/>
          </w:tcPr>
          <w:p>
            <w:pPr>
              <w:jc w:val="center"/>
              <w:spacing w:after="0"/>
              <w:rPr>
                <w:sz w:val="20"/>
                <w:szCs w:val="20"/>
                <w:color w:val="auto"/>
              </w:rPr>
            </w:pPr>
            <w:r>
              <w:rPr>
                <w:rFonts w:ascii="Calibri" w:cs="Calibri" w:eastAsia="Calibri" w:hAnsi="Calibri"/>
                <w:sz w:val="13"/>
                <w:szCs w:val="13"/>
                <w:color w:val="auto"/>
                <w:w w:val="84"/>
              </w:rPr>
              <w:t>—</w:t>
            </w:r>
          </w:p>
        </w:tc>
        <w:tc>
          <w:tcPr>
            <w:tcW w:w="720" w:type="dxa"/>
            <w:vAlign w:val="bottom"/>
          </w:tcPr>
          <w:p>
            <w:pPr>
              <w:jc w:val="center"/>
              <w:spacing w:after="0"/>
              <w:rPr>
                <w:sz w:val="20"/>
                <w:szCs w:val="20"/>
                <w:color w:val="auto"/>
              </w:rPr>
            </w:pPr>
            <w:r>
              <w:rPr>
                <w:rFonts w:ascii="Calibri" w:cs="Calibri" w:eastAsia="Calibri" w:hAnsi="Calibri"/>
                <w:sz w:val="13"/>
                <w:szCs w:val="13"/>
                <w:color w:val="auto"/>
              </w:rPr>
              <w:t>—</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3"/>
              </w:rPr>
              <w:t>13,576</w:t>
            </w:r>
          </w:p>
        </w:tc>
        <w:tc>
          <w:tcPr>
            <w:tcW w:w="560" w:type="dxa"/>
            <w:vAlign w:val="bottom"/>
          </w:tcPr>
          <w:p>
            <w:pPr>
              <w:jc w:val="center"/>
              <w:spacing w:after="0"/>
              <w:rPr>
                <w:sz w:val="20"/>
                <w:szCs w:val="20"/>
                <w:color w:val="auto"/>
              </w:rPr>
            </w:pPr>
            <w:r>
              <w:rPr>
                <w:rFonts w:ascii="Calibri" w:cs="Calibri" w:eastAsia="Calibri" w:hAnsi="Calibri"/>
                <w:sz w:val="13"/>
                <w:szCs w:val="13"/>
                <w:color w:val="auto"/>
                <w:w w:val="94"/>
              </w:rPr>
              <w:t>70.58</w:t>
            </w:r>
          </w:p>
        </w:tc>
        <w:tc>
          <w:tcPr>
            <w:tcW w:w="760" w:type="dxa"/>
            <w:vAlign w:val="bottom"/>
          </w:tcPr>
          <w:p>
            <w:pPr>
              <w:jc w:val="center"/>
              <w:spacing w:after="0"/>
              <w:rPr>
                <w:sz w:val="20"/>
                <w:szCs w:val="20"/>
                <w:color w:val="auto"/>
              </w:rPr>
            </w:pPr>
            <w:r>
              <w:rPr>
                <w:rFonts w:ascii="Calibri" w:cs="Calibri" w:eastAsia="Calibri" w:hAnsi="Calibri"/>
                <w:sz w:val="13"/>
                <w:szCs w:val="13"/>
                <w:color w:val="auto"/>
                <w:w w:val="98"/>
              </w:rPr>
              <w:t>400,011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83820</wp:posOffset>
            </wp:positionV>
            <wp:extent cx="545211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28" w:lineRule="exact"/>
        <w:rPr>
          <w:sz w:val="20"/>
          <w:szCs w:val="20"/>
          <w:color w:val="auto"/>
        </w:rPr>
      </w:pPr>
    </w:p>
    <w:p>
      <w:pPr>
        <w:jc w:val="both"/>
        <w:ind w:left="540" w:right="619" w:hanging="331"/>
        <w:spacing w:after="0" w:line="235" w:lineRule="auto"/>
        <w:tabs>
          <w:tab w:leader="none" w:pos="540" w:val="left"/>
        </w:tabs>
        <w:numPr>
          <w:ilvl w:val="0"/>
          <w:numId w:val="84"/>
        </w:numPr>
        <w:rPr>
          <w:rFonts w:ascii="Calibri" w:cs="Calibri" w:eastAsia="Calibri" w:hAnsi="Calibri"/>
          <w:sz w:val="16"/>
          <w:szCs w:val="16"/>
          <w:color w:val="AF0000"/>
        </w:rPr>
      </w:pPr>
      <w:r>
        <w:rPr>
          <w:rFonts w:ascii="Calibri" w:cs="Calibri" w:eastAsia="Calibri" w:hAnsi="Calibri"/>
          <w:sz w:val="16"/>
          <w:szCs w:val="16"/>
          <w:color w:val="auto"/>
        </w:rPr>
        <w:t>The PSU agreements with Mr. Lampropoulos include Target PSU Shares and a Target Cash Incentve. Both the Target PSU Shares and Target Cash Incentve are considered part of an equity incentve plan and are accounted for under ASC Topic</w:t>
      </w:r>
    </w:p>
    <w:p>
      <w:pPr>
        <w:spacing w:after="0" w:line="200" w:lineRule="exact"/>
        <w:rPr>
          <w:sz w:val="20"/>
          <w:szCs w:val="20"/>
          <w:color w:val="auto"/>
        </w:rPr>
      </w:pPr>
    </w:p>
    <w:p>
      <w:pPr>
        <w:spacing w:after="0" w:line="237"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63" w:name="page64"/>
    <w:bookmarkEnd w:id="63"/>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40" w:lineRule="exact"/>
        <w:rPr>
          <w:sz w:val="20"/>
          <w:szCs w:val="20"/>
          <w:color w:val="auto"/>
        </w:rPr>
      </w:pPr>
    </w:p>
    <w:p>
      <w:pPr>
        <w:ind w:left="540" w:right="259"/>
        <w:spacing w:after="0" w:line="210" w:lineRule="auto"/>
        <w:rPr>
          <w:sz w:val="20"/>
          <w:szCs w:val="20"/>
          <w:color w:val="auto"/>
        </w:rPr>
      </w:pPr>
      <w:r>
        <w:rPr>
          <w:rFonts w:ascii="Calibri" w:cs="Calibri" w:eastAsia="Calibri" w:hAnsi="Calibri"/>
          <w:sz w:val="16"/>
          <w:szCs w:val="16"/>
          <w:color w:val="auto"/>
        </w:rPr>
        <w:t>718 because they are based, at least in part, on the price of our shares of Common Stock. However, because there is not a stated number of shares underlying the PSU Cash Incentve, the threshold, target, and maximum payments of the PSU Cash Incentve under Mr. Lampropoulos PSUs have been included in this table under the non-equity incentve plan awards column. These amounts are based upon achievement of the performance measures with respect to the PSU awards granted in 2023. The threshold amount assumes threshold FCF performance and applicaton of the 4</w:t>
      </w:r>
      <w:r>
        <w:rPr>
          <w:rFonts w:ascii="Calibri" w:cs="Calibri" w:eastAsia="Calibri" w:hAnsi="Calibri"/>
          <w:sz w:val="24"/>
          <w:szCs w:val="24"/>
          <w:color w:val="auto"/>
          <w:vertAlign w:val="superscript"/>
        </w:rPr>
        <w:t>th</w:t>
      </w:r>
      <w:r>
        <w:rPr>
          <w:rFonts w:ascii="Calibri" w:cs="Calibri" w:eastAsia="Calibri" w:hAnsi="Calibri"/>
          <w:sz w:val="16"/>
          <w:szCs w:val="16"/>
          <w:color w:val="auto"/>
        </w:rPr>
        <w:t xml:space="preserve"> (botom) quartle rTSR multplier, and the maximum amount assumes maximum FCF performance and applicaton of the 1</w:t>
      </w:r>
      <w:r>
        <w:rPr>
          <w:rFonts w:ascii="Calibri" w:cs="Calibri" w:eastAsia="Calibri" w:hAnsi="Calibri"/>
          <w:sz w:val="24"/>
          <w:szCs w:val="24"/>
          <w:color w:val="auto"/>
          <w:vertAlign w:val="superscript"/>
        </w:rPr>
        <w:t>st</w:t>
      </w:r>
      <w:r>
        <w:rPr>
          <w:rFonts w:ascii="Calibri" w:cs="Calibri" w:eastAsia="Calibri" w:hAnsi="Calibri"/>
          <w:sz w:val="16"/>
          <w:szCs w:val="16"/>
          <w:color w:val="auto"/>
        </w:rPr>
        <w:t xml:space="preserve"> (top) quartle rTSR multplier. See the secton “Performance Stock Units (PSUs)” on page 46 for additonal details regarding the PSUs, and footnote 2 to the Summary Compensaton Table.</w:t>
      </w:r>
    </w:p>
    <w:p>
      <w:pPr>
        <w:spacing w:after="0" w:line="5" w:lineRule="exact"/>
        <w:rPr>
          <w:sz w:val="20"/>
          <w:szCs w:val="20"/>
          <w:color w:val="auto"/>
        </w:rPr>
      </w:pPr>
    </w:p>
    <w:p>
      <w:pPr>
        <w:ind w:left="540" w:right="419" w:hanging="331"/>
        <w:spacing w:after="0" w:line="236" w:lineRule="auto"/>
        <w:tabs>
          <w:tab w:leader="none" w:pos="540" w:val="left"/>
        </w:tabs>
        <w:numPr>
          <w:ilvl w:val="0"/>
          <w:numId w:val="85"/>
        </w:numPr>
        <w:rPr>
          <w:rFonts w:ascii="Calibri" w:cs="Calibri" w:eastAsia="Calibri" w:hAnsi="Calibri"/>
          <w:sz w:val="16"/>
          <w:szCs w:val="16"/>
          <w:color w:val="AF0000"/>
        </w:rPr>
      </w:pPr>
      <w:r>
        <w:rPr>
          <w:rFonts w:ascii="Calibri" w:cs="Calibri" w:eastAsia="Calibri" w:hAnsi="Calibri"/>
          <w:sz w:val="16"/>
          <w:szCs w:val="16"/>
          <w:color w:val="auto"/>
        </w:rPr>
        <w:t>Listed amounts refect threshold, target and maximum incentve performance bonuses for 2023 under our Executve Bonus Plan. For the year ended December 31, 2023, each of Messrs. Lampropoulos, Parra, Wright, Lloyd and Peterson received 118.12% of the targeted level of their incentve annual performance bonus, as discussed above and as shown in the “Non-Equity Incentve Plan Compensaton” column in the Summary Compensaton Table.</w:t>
      </w:r>
    </w:p>
    <w:p>
      <w:pPr>
        <w:spacing w:after="0" w:line="1" w:lineRule="exact"/>
        <w:rPr>
          <w:rFonts w:ascii="Calibri" w:cs="Calibri" w:eastAsia="Calibri" w:hAnsi="Calibri"/>
          <w:sz w:val="16"/>
          <w:szCs w:val="16"/>
          <w:color w:val="AF0000"/>
        </w:rPr>
      </w:pPr>
    </w:p>
    <w:p>
      <w:pPr>
        <w:ind w:left="540" w:right="399" w:hanging="331"/>
        <w:spacing w:after="0" w:line="201" w:lineRule="auto"/>
        <w:tabs>
          <w:tab w:leader="none" w:pos="540" w:val="left"/>
        </w:tabs>
        <w:numPr>
          <w:ilvl w:val="0"/>
          <w:numId w:val="85"/>
        </w:numPr>
        <w:rPr>
          <w:rFonts w:ascii="Calibri" w:cs="Calibri" w:eastAsia="Calibri" w:hAnsi="Calibri"/>
          <w:sz w:val="16"/>
          <w:szCs w:val="16"/>
          <w:color w:val="AF0000"/>
        </w:rPr>
      </w:pPr>
      <w:r>
        <w:rPr>
          <w:rFonts w:ascii="Calibri" w:cs="Calibri" w:eastAsia="Calibri" w:hAnsi="Calibri"/>
          <w:sz w:val="16"/>
          <w:szCs w:val="16"/>
          <w:color w:val="auto"/>
        </w:rPr>
        <w:t>Listed amounts refect threshold, target, and maximum number of shares the named executve ofcer is eligible to receive based upon achievement of the performance measures with respect to performance stock units granted in 2023. See the secton “Performance Stock Units (PSUs)” on page 46 for additonal details regarding the PSUs. The threshold amount assumes threshold FCF performance and applicaton of the 4</w:t>
      </w:r>
      <w:r>
        <w:rPr>
          <w:rFonts w:ascii="Calibri" w:cs="Calibri" w:eastAsia="Calibri" w:hAnsi="Calibri"/>
          <w:sz w:val="24"/>
          <w:szCs w:val="24"/>
          <w:color w:val="auto"/>
          <w:vertAlign w:val="superscript"/>
        </w:rPr>
        <w:t>th</w:t>
      </w:r>
      <w:r>
        <w:rPr>
          <w:rFonts w:ascii="Calibri" w:cs="Calibri" w:eastAsia="Calibri" w:hAnsi="Calibri"/>
          <w:sz w:val="16"/>
          <w:szCs w:val="16"/>
          <w:color w:val="auto"/>
        </w:rPr>
        <w:t xml:space="preserve"> (botom) quartle rTSR multplier, and the maximum amount assumes maximum FCF performance and applicaton of the 1</w:t>
      </w:r>
      <w:r>
        <w:rPr>
          <w:rFonts w:ascii="Calibri" w:cs="Calibri" w:eastAsia="Calibri" w:hAnsi="Calibri"/>
          <w:sz w:val="24"/>
          <w:szCs w:val="24"/>
          <w:color w:val="auto"/>
          <w:vertAlign w:val="superscript"/>
        </w:rPr>
        <w:t>st</w:t>
      </w:r>
      <w:r>
        <w:rPr>
          <w:rFonts w:ascii="Calibri" w:cs="Calibri" w:eastAsia="Calibri" w:hAnsi="Calibri"/>
          <w:sz w:val="16"/>
          <w:szCs w:val="16"/>
          <w:color w:val="auto"/>
        </w:rPr>
        <w:t xml:space="preserve"> (top) quartle rTSR multplier.</w:t>
      </w:r>
    </w:p>
    <w:p>
      <w:pPr>
        <w:spacing w:after="0" w:line="4" w:lineRule="exact"/>
        <w:rPr>
          <w:rFonts w:ascii="Calibri" w:cs="Calibri" w:eastAsia="Calibri" w:hAnsi="Calibri"/>
          <w:sz w:val="16"/>
          <w:szCs w:val="16"/>
          <w:color w:val="AF0000"/>
        </w:rPr>
      </w:pPr>
    </w:p>
    <w:p>
      <w:pPr>
        <w:ind w:left="540" w:right="459" w:hanging="331"/>
        <w:spacing w:after="0" w:line="215" w:lineRule="auto"/>
        <w:tabs>
          <w:tab w:leader="none" w:pos="540" w:val="left"/>
        </w:tabs>
        <w:numPr>
          <w:ilvl w:val="0"/>
          <w:numId w:val="85"/>
        </w:numPr>
        <w:rPr>
          <w:rFonts w:ascii="Calibri" w:cs="Calibri" w:eastAsia="Calibri" w:hAnsi="Calibri"/>
          <w:sz w:val="16"/>
          <w:szCs w:val="16"/>
          <w:color w:val="AF0000"/>
        </w:rPr>
      </w:pPr>
      <w:r>
        <w:rPr>
          <w:rFonts w:ascii="Calibri" w:cs="Calibri" w:eastAsia="Calibri" w:hAnsi="Calibri"/>
          <w:sz w:val="16"/>
          <w:szCs w:val="16"/>
          <w:color w:val="auto"/>
        </w:rPr>
        <w:t>Stock optons are NSOs and vest at the rate of 25% per year over four years on the frst through the fourth anniversaries of the date of the grant.</w:t>
      </w:r>
    </w:p>
    <w:p>
      <w:pPr>
        <w:spacing w:after="0" w:line="7" w:lineRule="exact"/>
        <w:rPr>
          <w:rFonts w:ascii="Calibri" w:cs="Calibri" w:eastAsia="Calibri" w:hAnsi="Calibri"/>
          <w:sz w:val="16"/>
          <w:szCs w:val="16"/>
          <w:color w:val="AF0000"/>
        </w:rPr>
      </w:pPr>
    </w:p>
    <w:p>
      <w:pPr>
        <w:ind w:left="540" w:hanging="331"/>
        <w:spacing w:after="0"/>
        <w:tabs>
          <w:tab w:leader="none" w:pos="540" w:val="left"/>
        </w:tabs>
        <w:numPr>
          <w:ilvl w:val="0"/>
          <w:numId w:val="85"/>
        </w:numPr>
        <w:rPr>
          <w:rFonts w:ascii="Calibri" w:cs="Calibri" w:eastAsia="Calibri" w:hAnsi="Calibri"/>
          <w:sz w:val="16"/>
          <w:szCs w:val="16"/>
          <w:color w:val="AF0000"/>
        </w:rPr>
      </w:pPr>
      <w:r>
        <w:rPr>
          <w:rFonts w:ascii="Calibri" w:cs="Calibri" w:eastAsia="Calibri" w:hAnsi="Calibri"/>
          <w:sz w:val="16"/>
          <w:szCs w:val="16"/>
          <w:color w:val="auto"/>
        </w:rPr>
        <w:t>The exercise price per share for each stock opton is the market closing price on the date of the grant.</w:t>
      </w:r>
    </w:p>
    <w:p>
      <w:pPr>
        <w:ind w:left="540" w:right="419" w:hanging="331"/>
        <w:spacing w:after="0" w:line="232" w:lineRule="auto"/>
        <w:tabs>
          <w:tab w:leader="none" w:pos="540" w:val="left"/>
        </w:tabs>
        <w:numPr>
          <w:ilvl w:val="0"/>
          <w:numId w:val="85"/>
        </w:numPr>
        <w:rPr>
          <w:rFonts w:ascii="Calibri" w:cs="Calibri" w:eastAsia="Calibri" w:hAnsi="Calibri"/>
          <w:sz w:val="16"/>
          <w:szCs w:val="16"/>
          <w:color w:val="AF0000"/>
        </w:rPr>
      </w:pPr>
      <w:r>
        <w:rPr>
          <w:rFonts w:ascii="Calibri" w:cs="Calibri" w:eastAsia="Calibri" w:hAnsi="Calibri"/>
          <w:sz w:val="16"/>
          <w:szCs w:val="16"/>
          <w:color w:val="auto"/>
        </w:rPr>
        <w:t>The grant-date fair value of PSUs granted to Mr. Lampropoulos includes $2,318,334 of shares and $2,897,893 potental PSU Cash Incentve. See footnote 1 for additonal details regarding the PSU cash incentve.</w:t>
      </w: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60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64" w:name="page65"/>
    <w:bookmarkEnd w:id="64"/>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EXECUTIVE COMPENSATION AND RELATED MATTERS</w:t>
      </w:r>
    </w:p>
    <w:p>
      <w:pPr>
        <w:spacing w:after="0" w:line="158"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Outstanding Equity Awards at Year End</w:t>
      </w:r>
    </w:p>
    <w:p>
      <w:pPr>
        <w:spacing w:after="0" w:line="186" w:lineRule="exact"/>
        <w:rPr>
          <w:sz w:val="20"/>
          <w:szCs w:val="20"/>
          <w:color w:val="auto"/>
        </w:rPr>
      </w:pPr>
    </w:p>
    <w:p>
      <w:pPr>
        <w:ind w:left="200" w:right="619"/>
        <w:spacing w:after="0" w:line="235" w:lineRule="auto"/>
        <w:rPr>
          <w:sz w:val="20"/>
          <w:szCs w:val="20"/>
          <w:color w:val="auto"/>
        </w:rPr>
      </w:pPr>
      <w:r>
        <w:rPr>
          <w:rFonts w:ascii="Calibri" w:cs="Calibri" w:eastAsia="Calibri" w:hAnsi="Calibri"/>
          <w:sz w:val="18"/>
          <w:szCs w:val="18"/>
          <w:color w:val="auto"/>
        </w:rPr>
        <w:t>The following table provides informaton on the holdings of stock optons and other stock awards by the NEOs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545211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60" w:lineRule="exact"/>
        <w:rPr>
          <w:sz w:val="20"/>
          <w:szCs w:val="20"/>
          <w:color w:val="auto"/>
        </w:rPr>
      </w:pPr>
    </w:p>
    <w:tbl>
      <w:tblPr>
        <w:tblLayout w:type="fixed"/>
        <w:tblInd w:w="220" w:type="dxa"/>
        <w:tblCellMar>
          <w:top w:w="0" w:type="dxa"/>
          <w:left w:w="0" w:type="dxa"/>
          <w:bottom w:w="0" w:type="dxa"/>
          <w:right w:w="0" w:type="dxa"/>
        </w:tblCellMar>
      </w:tblPr>
      <w:tr>
        <w:trPr>
          <w:trHeight w:val="134"/>
        </w:trPr>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ind w:left="300"/>
              <w:spacing w:after="0"/>
              <w:rPr>
                <w:sz w:val="20"/>
                <w:szCs w:val="20"/>
                <w:color w:val="auto"/>
              </w:rPr>
            </w:pPr>
            <w:r>
              <w:rPr>
                <w:rFonts w:ascii="Calibri" w:cs="Calibri" w:eastAsia="Calibri" w:hAnsi="Calibri"/>
                <w:sz w:val="11"/>
                <w:szCs w:val="11"/>
                <w:b w:val="1"/>
                <w:bCs w:val="1"/>
                <w:color w:val="auto"/>
                <w:w w:val="99"/>
              </w:rPr>
              <w:t>Opton Awards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900" w:type="dxa"/>
            <w:vAlign w:val="bottom"/>
            <w:gridSpan w:val="2"/>
          </w:tcPr>
          <w:p>
            <w:pPr>
              <w:ind w:left="740"/>
              <w:spacing w:after="0"/>
              <w:rPr>
                <w:sz w:val="20"/>
                <w:szCs w:val="20"/>
                <w:color w:val="auto"/>
              </w:rPr>
            </w:pPr>
            <w:r>
              <w:rPr>
                <w:rFonts w:ascii="Calibri" w:cs="Calibri" w:eastAsia="Calibri" w:hAnsi="Calibri"/>
                <w:sz w:val="11"/>
                <w:szCs w:val="11"/>
                <w:b w:val="1"/>
                <w:bCs w:val="1"/>
                <w:color w:val="auto"/>
              </w:rPr>
              <w:t>Stock Awards</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Calibri" w:cs="Calibri" w:eastAsia="Calibri" w:hAnsi="Calibri"/>
                <w:sz w:val="11"/>
                <w:szCs w:val="11"/>
                <w:b w:val="1"/>
                <w:bCs w:val="1"/>
                <w:color w:val="auto"/>
                <w:w w:val="96"/>
              </w:rPr>
              <w:t>Equity</w:t>
            </w:r>
          </w:p>
        </w:tc>
        <w:tc>
          <w:tcPr>
            <w:tcW w:w="980" w:type="dxa"/>
            <w:vAlign w:val="bottom"/>
          </w:tcPr>
          <w:p>
            <w:pPr>
              <w:jc w:val="center"/>
              <w:spacing w:after="0"/>
              <w:rPr>
                <w:sz w:val="20"/>
                <w:szCs w:val="20"/>
                <w:color w:val="auto"/>
              </w:rPr>
            </w:pPr>
            <w:r>
              <w:rPr>
                <w:rFonts w:ascii="Calibri" w:cs="Calibri" w:eastAsia="Calibri" w:hAnsi="Calibri"/>
                <w:sz w:val="11"/>
                <w:szCs w:val="11"/>
                <w:b w:val="1"/>
                <w:bCs w:val="1"/>
                <w:color w:val="auto"/>
                <w:w w:val="96"/>
              </w:rPr>
              <w:t>Equity</w:t>
            </w:r>
          </w:p>
        </w:tc>
        <w:tc>
          <w:tcPr>
            <w:tcW w:w="0" w:type="dxa"/>
            <w:vAlign w:val="bottom"/>
          </w:tcPr>
          <w:p>
            <w:pPr>
              <w:spacing w:after="0"/>
              <w:rPr>
                <w:sz w:val="1"/>
                <w:szCs w:val="1"/>
                <w:color w:val="auto"/>
              </w:rPr>
            </w:pPr>
          </w:p>
        </w:tc>
      </w:tr>
      <w:tr>
        <w:trPr>
          <w:trHeight w:val="130"/>
        </w:trPr>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Incentve Plan</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Calibri" w:cs="Calibri" w:eastAsia="Calibri" w:hAnsi="Calibri"/>
                <w:sz w:val="11"/>
                <w:szCs w:val="11"/>
                <w:b w:val="1"/>
                <w:bCs w:val="1"/>
                <w:color w:val="auto"/>
              </w:rPr>
              <w:t>Number of</w:t>
            </w:r>
          </w:p>
        </w:tc>
        <w:tc>
          <w:tcPr>
            <w:tcW w:w="980" w:type="dxa"/>
            <w:vAlign w:val="bottom"/>
          </w:tcPr>
          <w:p>
            <w:pPr>
              <w:jc w:val="center"/>
              <w:ind w:right="26"/>
              <w:spacing w:after="0" w:line="122" w:lineRule="exact"/>
              <w:rPr>
                <w:sz w:val="20"/>
                <w:szCs w:val="20"/>
                <w:color w:val="auto"/>
              </w:rPr>
            </w:pPr>
            <w:r>
              <w:rPr>
                <w:rFonts w:ascii="Calibri" w:cs="Calibri" w:eastAsia="Calibri" w:hAnsi="Calibri"/>
                <w:sz w:val="11"/>
                <w:szCs w:val="11"/>
                <w:b w:val="1"/>
                <w:bCs w:val="1"/>
                <w:color w:val="auto"/>
              </w:rPr>
              <w:t>Number of</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Calibri" w:cs="Calibri" w:eastAsia="Calibri" w:hAnsi="Calibri"/>
                <w:sz w:val="11"/>
                <w:szCs w:val="11"/>
                <w:b w:val="1"/>
                <w:bCs w:val="1"/>
                <w:color w:val="auto"/>
              </w:rPr>
              <w:t>Incentve Plan</w:t>
            </w:r>
          </w:p>
        </w:tc>
        <w:tc>
          <w:tcPr>
            <w:tcW w:w="980" w:type="dxa"/>
            <w:vAlign w:val="bottom"/>
          </w:tcPr>
          <w:p>
            <w:pPr>
              <w:jc w:val="center"/>
              <w:spacing w:after="0" w:line="122" w:lineRule="exact"/>
              <w:rPr>
                <w:sz w:val="20"/>
                <w:szCs w:val="20"/>
                <w:color w:val="auto"/>
              </w:rPr>
            </w:pPr>
            <w:r>
              <w:rPr>
                <w:rFonts w:ascii="Calibri" w:cs="Calibri" w:eastAsia="Calibri" w:hAnsi="Calibri"/>
                <w:sz w:val="11"/>
                <w:szCs w:val="11"/>
                <w:b w:val="1"/>
                <w:bCs w:val="1"/>
                <w:color w:val="auto"/>
                <w:w w:val="97"/>
              </w:rPr>
              <w:t>Awards: Market</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Calibri" w:cs="Calibri" w:eastAsia="Calibri" w:hAnsi="Calibri"/>
                <w:sz w:val="11"/>
                <w:szCs w:val="11"/>
                <w:b w:val="1"/>
                <w:bCs w:val="1"/>
                <w:color w:val="auto"/>
              </w:rPr>
              <w:t>Securites</w:t>
            </w:r>
          </w:p>
        </w:tc>
        <w:tc>
          <w:tcPr>
            <w:tcW w:w="980" w:type="dxa"/>
            <w:vAlign w:val="bottom"/>
          </w:tcPr>
          <w:p>
            <w:pPr>
              <w:jc w:val="center"/>
              <w:ind w:right="6"/>
              <w:spacing w:after="0"/>
              <w:rPr>
                <w:sz w:val="20"/>
                <w:szCs w:val="20"/>
                <w:color w:val="auto"/>
              </w:rPr>
            </w:pPr>
            <w:r>
              <w:rPr>
                <w:rFonts w:ascii="Calibri" w:cs="Calibri" w:eastAsia="Calibri" w:hAnsi="Calibri"/>
                <w:sz w:val="11"/>
                <w:szCs w:val="11"/>
                <w:b w:val="1"/>
                <w:bCs w:val="1"/>
                <w:color w:val="auto"/>
              </w:rPr>
              <w:t>Securites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center"/>
              <w:ind w:left="106"/>
              <w:spacing w:after="0" w:line="127" w:lineRule="exact"/>
              <w:rPr>
                <w:sz w:val="20"/>
                <w:szCs w:val="20"/>
                <w:color w:val="auto"/>
              </w:rPr>
            </w:pPr>
            <w:r>
              <w:rPr>
                <w:rFonts w:ascii="Calibri" w:cs="Calibri" w:eastAsia="Calibri" w:hAnsi="Calibri"/>
                <w:sz w:val="11"/>
                <w:szCs w:val="11"/>
                <w:b w:val="1"/>
                <w:bCs w:val="1"/>
                <w:color w:val="auto"/>
                <w:w w:val="97"/>
              </w:rPr>
              <w:t>Number of</w:t>
            </w:r>
          </w:p>
        </w:tc>
        <w:tc>
          <w:tcPr>
            <w:tcW w:w="860" w:type="dxa"/>
            <w:vAlign w:val="bottom"/>
          </w:tcPr>
          <w:p>
            <w:pPr>
              <w:jc w:val="center"/>
              <w:spacing w:after="0" w:line="127" w:lineRule="exact"/>
              <w:rPr>
                <w:sz w:val="20"/>
                <w:szCs w:val="20"/>
                <w:color w:val="auto"/>
              </w:rPr>
            </w:pPr>
            <w:r>
              <w:rPr>
                <w:rFonts w:ascii="Calibri" w:cs="Calibri" w:eastAsia="Calibri" w:hAnsi="Calibri"/>
                <w:sz w:val="11"/>
                <w:szCs w:val="11"/>
                <w:b w:val="1"/>
                <w:bCs w:val="1"/>
                <w:color w:val="auto"/>
                <w:w w:val="97"/>
              </w:rPr>
              <w:t>Market Value of</w:t>
            </w:r>
          </w:p>
        </w:tc>
        <w:tc>
          <w:tcPr>
            <w:tcW w:w="1040" w:type="dxa"/>
            <w:vAlign w:val="bottom"/>
          </w:tcPr>
          <w:p>
            <w:pPr>
              <w:jc w:val="center"/>
              <w:spacing w:after="0" w:line="127" w:lineRule="exact"/>
              <w:rPr>
                <w:sz w:val="20"/>
                <w:szCs w:val="20"/>
                <w:color w:val="auto"/>
              </w:rPr>
            </w:pPr>
            <w:r>
              <w:rPr>
                <w:rFonts w:ascii="Calibri" w:cs="Calibri" w:eastAsia="Calibri" w:hAnsi="Calibri"/>
                <w:sz w:val="11"/>
                <w:szCs w:val="11"/>
                <w:b w:val="1"/>
                <w:bCs w:val="1"/>
                <w:color w:val="auto"/>
                <w:w w:val="98"/>
              </w:rPr>
              <w:t>Awards: Number of</w:t>
            </w:r>
          </w:p>
        </w:tc>
        <w:tc>
          <w:tcPr>
            <w:tcW w:w="980" w:type="dxa"/>
            <w:vAlign w:val="bottom"/>
          </w:tcPr>
          <w:p>
            <w:pPr>
              <w:jc w:val="center"/>
              <w:spacing w:after="0"/>
              <w:rPr>
                <w:sz w:val="20"/>
                <w:szCs w:val="20"/>
                <w:color w:val="auto"/>
              </w:rPr>
            </w:pPr>
            <w:r>
              <w:rPr>
                <w:rFonts w:ascii="Calibri" w:cs="Calibri" w:eastAsia="Calibri" w:hAnsi="Calibri"/>
                <w:sz w:val="11"/>
                <w:szCs w:val="11"/>
                <w:b w:val="1"/>
                <w:bCs w:val="1"/>
                <w:color w:val="auto"/>
                <w:w w:val="99"/>
              </w:rPr>
              <w:t>Value of</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Calibri" w:cs="Calibri" w:eastAsia="Calibri" w:hAnsi="Calibri"/>
                <w:sz w:val="11"/>
                <w:szCs w:val="11"/>
                <w:b w:val="1"/>
                <w:bCs w:val="1"/>
                <w:color w:val="auto"/>
                <w:w w:val="99"/>
              </w:rPr>
              <w:t>Underlying</w:t>
            </w:r>
          </w:p>
        </w:tc>
        <w:tc>
          <w:tcPr>
            <w:tcW w:w="980" w:type="dxa"/>
            <w:vAlign w:val="bottom"/>
          </w:tcPr>
          <w:p>
            <w:pPr>
              <w:jc w:val="center"/>
              <w:ind w:right="6"/>
              <w:spacing w:after="0" w:line="122" w:lineRule="exact"/>
              <w:rPr>
                <w:sz w:val="20"/>
                <w:szCs w:val="20"/>
                <w:color w:val="auto"/>
              </w:rPr>
            </w:pPr>
            <w:r>
              <w:rPr>
                <w:rFonts w:ascii="Calibri" w:cs="Calibri" w:eastAsia="Calibri" w:hAnsi="Calibri"/>
                <w:sz w:val="11"/>
                <w:szCs w:val="11"/>
                <w:b w:val="1"/>
                <w:bCs w:val="1"/>
                <w:color w:val="auto"/>
                <w:w w:val="95"/>
              </w:rPr>
              <w:t>Underlying</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jc w:val="center"/>
              <w:ind w:left="106"/>
              <w:spacing w:after="0" w:line="122" w:lineRule="exact"/>
              <w:rPr>
                <w:sz w:val="20"/>
                <w:szCs w:val="20"/>
                <w:color w:val="auto"/>
              </w:rPr>
            </w:pPr>
            <w:r>
              <w:rPr>
                <w:rFonts w:ascii="Calibri" w:cs="Calibri" w:eastAsia="Calibri" w:hAnsi="Calibri"/>
                <w:sz w:val="11"/>
                <w:szCs w:val="11"/>
                <w:b w:val="1"/>
                <w:bCs w:val="1"/>
                <w:color w:val="auto"/>
                <w:w w:val="98"/>
              </w:rPr>
              <w:t>Shares or Units</w:t>
            </w:r>
          </w:p>
        </w:tc>
        <w:tc>
          <w:tcPr>
            <w:tcW w:w="860" w:type="dxa"/>
            <w:vAlign w:val="bottom"/>
          </w:tcPr>
          <w:p>
            <w:pPr>
              <w:jc w:val="center"/>
              <w:spacing w:after="0" w:line="122" w:lineRule="exact"/>
              <w:rPr>
                <w:sz w:val="20"/>
                <w:szCs w:val="20"/>
                <w:color w:val="auto"/>
              </w:rPr>
            </w:pPr>
            <w:r>
              <w:rPr>
                <w:rFonts w:ascii="Calibri" w:cs="Calibri" w:eastAsia="Calibri" w:hAnsi="Calibri"/>
                <w:sz w:val="11"/>
                <w:szCs w:val="11"/>
                <w:b w:val="1"/>
                <w:bCs w:val="1"/>
                <w:color w:val="auto"/>
                <w:w w:val="98"/>
              </w:rPr>
              <w:t>Shares or Units</w:t>
            </w:r>
          </w:p>
        </w:tc>
        <w:tc>
          <w:tcPr>
            <w:tcW w:w="1040" w:type="dxa"/>
            <w:vAlign w:val="bottom"/>
          </w:tcPr>
          <w:p>
            <w:pPr>
              <w:jc w:val="center"/>
              <w:spacing w:after="0" w:line="122" w:lineRule="exact"/>
              <w:rPr>
                <w:sz w:val="20"/>
                <w:szCs w:val="20"/>
                <w:color w:val="auto"/>
              </w:rPr>
            </w:pPr>
            <w:r>
              <w:rPr>
                <w:rFonts w:ascii="Calibri" w:cs="Calibri" w:eastAsia="Calibri" w:hAnsi="Calibri"/>
                <w:sz w:val="11"/>
                <w:szCs w:val="11"/>
                <w:b w:val="1"/>
                <w:bCs w:val="1"/>
                <w:color w:val="auto"/>
                <w:w w:val="98"/>
              </w:rPr>
              <w:t>Unearned Shares,</w:t>
            </w:r>
          </w:p>
        </w:tc>
        <w:tc>
          <w:tcPr>
            <w:tcW w:w="980" w:type="dxa"/>
            <w:vAlign w:val="bottom"/>
          </w:tcPr>
          <w:p>
            <w:pPr>
              <w:jc w:val="center"/>
              <w:spacing w:after="0" w:line="122" w:lineRule="exact"/>
              <w:rPr>
                <w:sz w:val="20"/>
                <w:szCs w:val="20"/>
                <w:color w:val="auto"/>
              </w:rPr>
            </w:pPr>
            <w:r>
              <w:rPr>
                <w:rFonts w:ascii="Calibri" w:cs="Calibri" w:eastAsia="Calibri" w:hAnsi="Calibri"/>
                <w:sz w:val="11"/>
                <w:szCs w:val="11"/>
                <w:b w:val="1"/>
                <w:bCs w:val="1"/>
                <w:color w:val="auto"/>
                <w:w w:val="98"/>
              </w:rPr>
              <w:t>Unearned Shares,</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Calibri" w:cs="Calibri" w:eastAsia="Calibri" w:hAnsi="Calibri"/>
                <w:sz w:val="11"/>
                <w:szCs w:val="11"/>
                <w:b w:val="1"/>
                <w:bCs w:val="1"/>
                <w:color w:val="auto"/>
                <w:w w:val="95"/>
              </w:rPr>
              <w:t>Unexercised</w:t>
            </w:r>
          </w:p>
        </w:tc>
        <w:tc>
          <w:tcPr>
            <w:tcW w:w="980" w:type="dxa"/>
            <w:vAlign w:val="bottom"/>
          </w:tcPr>
          <w:p>
            <w:pPr>
              <w:jc w:val="center"/>
              <w:ind w:right="6"/>
              <w:spacing w:after="0"/>
              <w:rPr>
                <w:sz w:val="20"/>
                <w:szCs w:val="20"/>
                <w:color w:val="auto"/>
              </w:rPr>
            </w:pPr>
            <w:r>
              <w:rPr>
                <w:rFonts w:ascii="Calibri" w:cs="Calibri" w:eastAsia="Calibri" w:hAnsi="Calibri"/>
                <w:sz w:val="11"/>
                <w:szCs w:val="11"/>
                <w:b w:val="1"/>
                <w:bCs w:val="1"/>
                <w:color w:val="auto"/>
                <w:w w:val="99"/>
              </w:rPr>
              <w:t>Unexercised</w:t>
            </w:r>
          </w:p>
        </w:tc>
        <w:tc>
          <w:tcPr>
            <w:tcW w:w="420" w:type="dxa"/>
            <w:vAlign w:val="bottom"/>
          </w:tcPr>
          <w:p>
            <w:pPr>
              <w:jc w:val="center"/>
              <w:ind w:right="6"/>
              <w:spacing w:after="0" w:line="127" w:lineRule="exact"/>
              <w:rPr>
                <w:sz w:val="20"/>
                <w:szCs w:val="20"/>
                <w:color w:val="auto"/>
              </w:rPr>
            </w:pPr>
            <w:r>
              <w:rPr>
                <w:rFonts w:ascii="Calibri" w:cs="Calibri" w:eastAsia="Calibri" w:hAnsi="Calibri"/>
                <w:sz w:val="11"/>
                <w:szCs w:val="11"/>
                <w:b w:val="1"/>
                <w:bCs w:val="1"/>
                <w:color w:val="auto"/>
              </w:rPr>
              <w:t>Opton</w:t>
            </w:r>
          </w:p>
        </w:tc>
        <w:tc>
          <w:tcPr>
            <w:tcW w:w="760" w:type="dxa"/>
            <w:vAlign w:val="bottom"/>
          </w:tcPr>
          <w:p>
            <w:pPr>
              <w:jc w:val="center"/>
              <w:ind w:right="146"/>
              <w:spacing w:after="0" w:line="127" w:lineRule="exact"/>
              <w:rPr>
                <w:sz w:val="20"/>
                <w:szCs w:val="20"/>
                <w:color w:val="auto"/>
              </w:rPr>
            </w:pPr>
            <w:r>
              <w:rPr>
                <w:rFonts w:ascii="Calibri" w:cs="Calibri" w:eastAsia="Calibri" w:hAnsi="Calibri"/>
                <w:sz w:val="11"/>
                <w:szCs w:val="11"/>
                <w:b w:val="1"/>
                <w:bCs w:val="1"/>
                <w:color w:val="auto"/>
              </w:rPr>
              <w:t>Opton</w:t>
            </w:r>
          </w:p>
        </w:tc>
        <w:tc>
          <w:tcPr>
            <w:tcW w:w="960" w:type="dxa"/>
            <w:vAlign w:val="bottom"/>
          </w:tcPr>
          <w:p>
            <w:pPr>
              <w:jc w:val="center"/>
              <w:ind w:left="106"/>
              <w:spacing w:after="0" w:line="127" w:lineRule="exact"/>
              <w:rPr>
                <w:sz w:val="20"/>
                <w:szCs w:val="20"/>
                <w:color w:val="auto"/>
              </w:rPr>
            </w:pPr>
            <w:r>
              <w:rPr>
                <w:rFonts w:ascii="Calibri" w:cs="Calibri" w:eastAsia="Calibri" w:hAnsi="Calibri"/>
                <w:sz w:val="11"/>
                <w:szCs w:val="11"/>
                <w:b w:val="1"/>
                <w:bCs w:val="1"/>
                <w:color w:val="auto"/>
                <w:w w:val="96"/>
              </w:rPr>
              <w:t>of Stock that</w:t>
            </w:r>
          </w:p>
        </w:tc>
        <w:tc>
          <w:tcPr>
            <w:tcW w:w="860" w:type="dxa"/>
            <w:vAlign w:val="bottom"/>
          </w:tcPr>
          <w:p>
            <w:pPr>
              <w:jc w:val="center"/>
              <w:spacing w:after="0" w:line="127" w:lineRule="exact"/>
              <w:rPr>
                <w:sz w:val="20"/>
                <w:szCs w:val="20"/>
                <w:color w:val="auto"/>
              </w:rPr>
            </w:pPr>
            <w:r>
              <w:rPr>
                <w:rFonts w:ascii="Calibri" w:cs="Calibri" w:eastAsia="Calibri" w:hAnsi="Calibri"/>
                <w:sz w:val="11"/>
                <w:szCs w:val="11"/>
                <w:b w:val="1"/>
                <w:bCs w:val="1"/>
                <w:color w:val="auto"/>
                <w:w w:val="99"/>
              </w:rPr>
              <w:t>of Stock that</w:t>
            </w:r>
          </w:p>
        </w:tc>
        <w:tc>
          <w:tcPr>
            <w:tcW w:w="1040" w:type="dxa"/>
            <w:vAlign w:val="bottom"/>
          </w:tcPr>
          <w:p>
            <w:pPr>
              <w:jc w:val="center"/>
              <w:spacing w:after="0" w:line="127" w:lineRule="exact"/>
              <w:rPr>
                <w:sz w:val="20"/>
                <w:szCs w:val="20"/>
                <w:color w:val="auto"/>
              </w:rPr>
            </w:pPr>
            <w:r>
              <w:rPr>
                <w:rFonts w:ascii="Calibri" w:cs="Calibri" w:eastAsia="Calibri" w:hAnsi="Calibri"/>
                <w:sz w:val="11"/>
                <w:szCs w:val="11"/>
                <w:b w:val="1"/>
                <w:bCs w:val="1"/>
                <w:color w:val="auto"/>
                <w:w w:val="97"/>
              </w:rPr>
              <w:t>Units or Other</w:t>
            </w:r>
          </w:p>
        </w:tc>
        <w:tc>
          <w:tcPr>
            <w:tcW w:w="980" w:type="dxa"/>
            <w:vAlign w:val="bottom"/>
          </w:tcPr>
          <w:p>
            <w:pPr>
              <w:jc w:val="center"/>
              <w:spacing w:after="0"/>
              <w:rPr>
                <w:sz w:val="20"/>
                <w:szCs w:val="20"/>
                <w:color w:val="auto"/>
              </w:rPr>
            </w:pPr>
            <w:r>
              <w:rPr>
                <w:rFonts w:ascii="Calibri" w:cs="Calibri" w:eastAsia="Calibri" w:hAnsi="Calibri"/>
                <w:sz w:val="11"/>
                <w:szCs w:val="11"/>
                <w:b w:val="1"/>
                <w:bCs w:val="1"/>
                <w:color w:val="auto"/>
                <w:w w:val="97"/>
              </w:rPr>
              <w:t>Units or Other</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Calibri" w:cs="Calibri" w:eastAsia="Calibri" w:hAnsi="Calibri"/>
                <w:sz w:val="11"/>
                <w:szCs w:val="11"/>
                <w:b w:val="1"/>
                <w:bCs w:val="1"/>
                <w:color w:val="auto"/>
              </w:rPr>
              <w:t>Optons</w:t>
            </w:r>
          </w:p>
        </w:tc>
        <w:tc>
          <w:tcPr>
            <w:tcW w:w="980" w:type="dxa"/>
            <w:vAlign w:val="bottom"/>
          </w:tcPr>
          <w:p>
            <w:pPr>
              <w:jc w:val="center"/>
              <w:ind w:right="6"/>
              <w:spacing w:after="0" w:line="122" w:lineRule="exact"/>
              <w:rPr>
                <w:sz w:val="20"/>
                <w:szCs w:val="20"/>
                <w:color w:val="auto"/>
              </w:rPr>
            </w:pPr>
            <w:r>
              <w:rPr>
                <w:rFonts w:ascii="Calibri" w:cs="Calibri" w:eastAsia="Calibri" w:hAnsi="Calibri"/>
                <w:sz w:val="11"/>
                <w:szCs w:val="11"/>
                <w:b w:val="1"/>
                <w:bCs w:val="1"/>
                <w:color w:val="auto"/>
              </w:rPr>
              <w:t>Optons</w:t>
            </w:r>
          </w:p>
        </w:tc>
        <w:tc>
          <w:tcPr>
            <w:tcW w:w="420" w:type="dxa"/>
            <w:vAlign w:val="bottom"/>
          </w:tcPr>
          <w:p>
            <w:pPr>
              <w:jc w:val="center"/>
              <w:ind w:right="6"/>
              <w:spacing w:after="0" w:line="122" w:lineRule="exact"/>
              <w:rPr>
                <w:sz w:val="20"/>
                <w:szCs w:val="20"/>
                <w:color w:val="auto"/>
              </w:rPr>
            </w:pPr>
            <w:r>
              <w:rPr>
                <w:rFonts w:ascii="Calibri" w:cs="Calibri" w:eastAsia="Calibri" w:hAnsi="Calibri"/>
                <w:sz w:val="11"/>
                <w:szCs w:val="11"/>
                <w:b w:val="1"/>
                <w:bCs w:val="1"/>
                <w:color w:val="auto"/>
                <w:w w:val="96"/>
              </w:rPr>
              <w:t>Exercise</w:t>
            </w:r>
          </w:p>
        </w:tc>
        <w:tc>
          <w:tcPr>
            <w:tcW w:w="760" w:type="dxa"/>
            <w:vAlign w:val="bottom"/>
          </w:tcPr>
          <w:p>
            <w:pPr>
              <w:jc w:val="center"/>
              <w:ind w:right="126"/>
              <w:spacing w:after="0" w:line="122" w:lineRule="exact"/>
              <w:rPr>
                <w:sz w:val="20"/>
                <w:szCs w:val="20"/>
                <w:color w:val="auto"/>
              </w:rPr>
            </w:pPr>
            <w:r>
              <w:rPr>
                <w:rFonts w:ascii="Calibri" w:cs="Calibri" w:eastAsia="Calibri" w:hAnsi="Calibri"/>
                <w:sz w:val="11"/>
                <w:szCs w:val="11"/>
                <w:b w:val="1"/>
                <w:bCs w:val="1"/>
                <w:color w:val="auto"/>
              </w:rPr>
              <w:t>Expiraton</w:t>
            </w:r>
          </w:p>
        </w:tc>
        <w:tc>
          <w:tcPr>
            <w:tcW w:w="960" w:type="dxa"/>
            <w:vAlign w:val="bottom"/>
          </w:tcPr>
          <w:p>
            <w:pPr>
              <w:jc w:val="center"/>
              <w:ind w:left="86"/>
              <w:spacing w:after="0" w:line="122" w:lineRule="exact"/>
              <w:rPr>
                <w:sz w:val="20"/>
                <w:szCs w:val="20"/>
                <w:color w:val="auto"/>
              </w:rPr>
            </w:pPr>
            <w:r>
              <w:rPr>
                <w:rFonts w:ascii="Calibri" w:cs="Calibri" w:eastAsia="Calibri" w:hAnsi="Calibri"/>
                <w:sz w:val="11"/>
                <w:szCs w:val="11"/>
                <w:b w:val="1"/>
                <w:bCs w:val="1"/>
                <w:color w:val="auto"/>
                <w:w w:val="98"/>
              </w:rPr>
              <w:t>Have Not</w:t>
            </w:r>
          </w:p>
        </w:tc>
        <w:tc>
          <w:tcPr>
            <w:tcW w:w="860" w:type="dxa"/>
            <w:vAlign w:val="bottom"/>
          </w:tcPr>
          <w:p>
            <w:pPr>
              <w:jc w:val="center"/>
              <w:spacing w:after="0" w:line="122" w:lineRule="exact"/>
              <w:rPr>
                <w:sz w:val="20"/>
                <w:szCs w:val="20"/>
                <w:color w:val="auto"/>
              </w:rPr>
            </w:pPr>
            <w:r>
              <w:rPr>
                <w:rFonts w:ascii="Calibri" w:cs="Calibri" w:eastAsia="Calibri" w:hAnsi="Calibri"/>
                <w:sz w:val="11"/>
                <w:szCs w:val="11"/>
                <w:b w:val="1"/>
                <w:bCs w:val="1"/>
                <w:color w:val="auto"/>
                <w:w w:val="93"/>
              </w:rPr>
              <w:t>Have Not</w:t>
            </w:r>
          </w:p>
        </w:tc>
        <w:tc>
          <w:tcPr>
            <w:tcW w:w="1040" w:type="dxa"/>
            <w:vAlign w:val="bottom"/>
          </w:tcPr>
          <w:p>
            <w:pPr>
              <w:jc w:val="center"/>
              <w:spacing w:after="0" w:line="122" w:lineRule="exact"/>
              <w:rPr>
                <w:sz w:val="20"/>
                <w:szCs w:val="20"/>
                <w:color w:val="auto"/>
              </w:rPr>
            </w:pPr>
            <w:r>
              <w:rPr>
                <w:rFonts w:ascii="Calibri" w:cs="Calibri" w:eastAsia="Calibri" w:hAnsi="Calibri"/>
                <w:sz w:val="11"/>
                <w:szCs w:val="11"/>
                <w:b w:val="1"/>
                <w:bCs w:val="1"/>
                <w:color w:val="auto"/>
                <w:w w:val="96"/>
              </w:rPr>
              <w:t>Rights That Have</w:t>
            </w:r>
          </w:p>
        </w:tc>
        <w:tc>
          <w:tcPr>
            <w:tcW w:w="980" w:type="dxa"/>
            <w:vAlign w:val="bottom"/>
          </w:tcPr>
          <w:p>
            <w:pPr>
              <w:jc w:val="center"/>
              <w:spacing w:after="0" w:line="122" w:lineRule="exact"/>
              <w:rPr>
                <w:sz w:val="20"/>
                <w:szCs w:val="20"/>
                <w:color w:val="auto"/>
              </w:rPr>
            </w:pPr>
            <w:r>
              <w:rPr>
                <w:rFonts w:ascii="Calibri" w:cs="Calibri" w:eastAsia="Calibri" w:hAnsi="Calibri"/>
                <w:sz w:val="11"/>
                <w:szCs w:val="11"/>
                <w:b w:val="1"/>
                <w:bCs w:val="1"/>
                <w:color w:val="auto"/>
                <w:w w:val="98"/>
              </w:rPr>
              <w:t>Rights That Have</w:t>
            </w:r>
          </w:p>
        </w:tc>
        <w:tc>
          <w:tcPr>
            <w:tcW w:w="0" w:type="dxa"/>
            <w:vAlign w:val="bottom"/>
          </w:tcPr>
          <w:p>
            <w:pPr>
              <w:spacing w:after="0"/>
              <w:rPr>
                <w:sz w:val="1"/>
                <w:szCs w:val="1"/>
                <w:color w:val="auto"/>
              </w:rPr>
            </w:pPr>
          </w:p>
        </w:tc>
      </w:tr>
      <w:tr>
        <w:trPr>
          <w:trHeight w:val="162"/>
        </w:trPr>
        <w:tc>
          <w:tcPr>
            <w:tcW w:w="1220" w:type="dxa"/>
            <w:vAlign w:val="bottom"/>
            <w:tcBorders>
              <w:bottom w:val="single" w:sz="8" w:color="AF0000"/>
            </w:tcBorders>
          </w:tcPr>
          <w:p>
            <w:pPr>
              <w:spacing w:after="0" w:line="127" w:lineRule="exact"/>
              <w:rPr>
                <w:sz w:val="20"/>
                <w:szCs w:val="20"/>
                <w:color w:val="auto"/>
              </w:rPr>
            </w:pPr>
            <w:r>
              <w:rPr>
                <w:rFonts w:ascii="Calibri" w:cs="Calibri" w:eastAsia="Calibri" w:hAnsi="Calibri"/>
                <w:sz w:val="11"/>
                <w:szCs w:val="11"/>
                <w:b w:val="1"/>
                <w:bCs w:val="1"/>
                <w:color w:val="auto"/>
              </w:rPr>
              <w:t>Named Executve Ofcer</w:t>
            </w:r>
          </w:p>
        </w:tc>
        <w:tc>
          <w:tcPr>
            <w:tcW w:w="680" w:type="dxa"/>
            <w:vAlign w:val="bottom"/>
            <w:tcBorders>
              <w:bottom w:val="single" w:sz="8" w:color="AF0000"/>
            </w:tcBorders>
          </w:tcPr>
          <w:p>
            <w:pPr>
              <w:ind w:left="140"/>
              <w:spacing w:after="0" w:line="127" w:lineRule="exact"/>
              <w:rPr>
                <w:sz w:val="20"/>
                <w:szCs w:val="20"/>
                <w:color w:val="auto"/>
              </w:rPr>
            </w:pPr>
            <w:r>
              <w:rPr>
                <w:rFonts w:ascii="Calibri" w:cs="Calibri" w:eastAsia="Calibri" w:hAnsi="Calibri"/>
                <w:sz w:val="11"/>
                <w:szCs w:val="11"/>
                <w:b w:val="1"/>
                <w:bCs w:val="1"/>
                <w:color w:val="auto"/>
              </w:rPr>
              <w:t>Grant Date</w:t>
            </w:r>
          </w:p>
        </w:tc>
        <w:tc>
          <w:tcPr>
            <w:tcW w:w="680" w:type="dxa"/>
            <w:vAlign w:val="bottom"/>
            <w:tcBorders>
              <w:bottom w:val="single" w:sz="8" w:color="AF0000"/>
            </w:tcBorders>
          </w:tcPr>
          <w:p>
            <w:pPr>
              <w:jc w:val="center"/>
              <w:spacing w:after="0"/>
              <w:rPr>
                <w:sz w:val="20"/>
                <w:szCs w:val="20"/>
                <w:color w:val="auto"/>
              </w:rPr>
            </w:pPr>
            <w:r>
              <w:rPr>
                <w:rFonts w:ascii="Calibri" w:cs="Calibri" w:eastAsia="Calibri" w:hAnsi="Calibri"/>
                <w:sz w:val="11"/>
                <w:szCs w:val="11"/>
                <w:b w:val="1"/>
                <w:bCs w:val="1"/>
                <w:color w:val="auto"/>
                <w:w w:val="97"/>
              </w:rPr>
              <w:t>Exercisable</w:t>
            </w:r>
          </w:p>
        </w:tc>
        <w:tc>
          <w:tcPr>
            <w:tcW w:w="980" w:type="dxa"/>
            <w:vAlign w:val="bottom"/>
            <w:tcBorders>
              <w:bottom w:val="single" w:sz="8" w:color="AF0000"/>
            </w:tcBorders>
          </w:tcPr>
          <w:p>
            <w:pPr>
              <w:jc w:val="center"/>
              <w:ind w:right="6"/>
              <w:spacing w:after="0"/>
              <w:rPr>
                <w:sz w:val="20"/>
                <w:szCs w:val="20"/>
                <w:color w:val="auto"/>
              </w:rPr>
            </w:pPr>
            <w:r>
              <w:rPr>
                <w:rFonts w:ascii="Calibri" w:cs="Calibri" w:eastAsia="Calibri" w:hAnsi="Calibri"/>
                <w:sz w:val="11"/>
                <w:szCs w:val="11"/>
                <w:b w:val="1"/>
                <w:bCs w:val="1"/>
                <w:color w:val="auto"/>
                <w:w w:val="95"/>
              </w:rPr>
              <w:t>Unexercisable (1)</w:t>
            </w:r>
          </w:p>
        </w:tc>
        <w:tc>
          <w:tcPr>
            <w:tcW w:w="420" w:type="dxa"/>
            <w:vAlign w:val="bottom"/>
            <w:tcBorders>
              <w:bottom w:val="single" w:sz="8" w:color="AF0000"/>
            </w:tcBorders>
          </w:tcPr>
          <w:p>
            <w:pPr>
              <w:jc w:val="center"/>
              <w:ind w:right="6"/>
              <w:spacing w:after="0" w:line="127" w:lineRule="exact"/>
              <w:rPr>
                <w:sz w:val="20"/>
                <w:szCs w:val="20"/>
                <w:color w:val="auto"/>
              </w:rPr>
            </w:pPr>
            <w:r>
              <w:rPr>
                <w:rFonts w:ascii="Calibri" w:cs="Calibri" w:eastAsia="Calibri" w:hAnsi="Calibri"/>
                <w:sz w:val="11"/>
                <w:szCs w:val="11"/>
                <w:b w:val="1"/>
                <w:bCs w:val="1"/>
                <w:color w:val="auto"/>
                <w:w w:val="95"/>
              </w:rPr>
              <w:t>Price ($)</w:t>
            </w:r>
          </w:p>
        </w:tc>
        <w:tc>
          <w:tcPr>
            <w:tcW w:w="760" w:type="dxa"/>
            <w:vAlign w:val="bottom"/>
            <w:tcBorders>
              <w:bottom w:val="single" w:sz="8" w:color="AF0000"/>
            </w:tcBorders>
          </w:tcPr>
          <w:p>
            <w:pPr>
              <w:jc w:val="center"/>
              <w:ind w:right="146"/>
              <w:spacing w:after="0" w:line="127" w:lineRule="exact"/>
              <w:rPr>
                <w:sz w:val="20"/>
                <w:szCs w:val="20"/>
                <w:color w:val="auto"/>
              </w:rPr>
            </w:pPr>
            <w:r>
              <w:rPr>
                <w:rFonts w:ascii="Calibri" w:cs="Calibri" w:eastAsia="Calibri" w:hAnsi="Calibri"/>
                <w:sz w:val="11"/>
                <w:szCs w:val="11"/>
                <w:b w:val="1"/>
                <w:bCs w:val="1"/>
                <w:color w:val="auto"/>
                <w:w w:val="91"/>
              </w:rPr>
              <w:t>Date</w:t>
            </w:r>
          </w:p>
        </w:tc>
        <w:tc>
          <w:tcPr>
            <w:tcW w:w="960" w:type="dxa"/>
            <w:vAlign w:val="bottom"/>
            <w:tcBorders>
              <w:bottom w:val="single" w:sz="8" w:color="AF0000"/>
            </w:tcBorders>
          </w:tcPr>
          <w:p>
            <w:pPr>
              <w:jc w:val="center"/>
              <w:ind w:left="106"/>
              <w:spacing w:after="0" w:line="127" w:lineRule="exact"/>
              <w:rPr>
                <w:sz w:val="20"/>
                <w:szCs w:val="20"/>
                <w:color w:val="auto"/>
              </w:rPr>
            </w:pPr>
            <w:r>
              <w:rPr>
                <w:rFonts w:ascii="Calibri" w:cs="Calibri" w:eastAsia="Calibri" w:hAnsi="Calibri"/>
                <w:sz w:val="11"/>
                <w:szCs w:val="11"/>
                <w:b w:val="1"/>
                <w:bCs w:val="1"/>
                <w:color w:val="auto"/>
                <w:w w:val="94"/>
              </w:rPr>
              <w:t>Vested (2)(3)</w:t>
            </w:r>
          </w:p>
        </w:tc>
        <w:tc>
          <w:tcPr>
            <w:tcW w:w="860" w:type="dxa"/>
            <w:vAlign w:val="bottom"/>
            <w:tcBorders>
              <w:bottom w:val="single" w:sz="8" w:color="AF0000"/>
            </w:tcBorders>
          </w:tcPr>
          <w:p>
            <w:pPr>
              <w:jc w:val="center"/>
              <w:spacing w:after="0" w:line="127" w:lineRule="exact"/>
              <w:rPr>
                <w:sz w:val="20"/>
                <w:szCs w:val="20"/>
                <w:color w:val="auto"/>
              </w:rPr>
            </w:pPr>
            <w:r>
              <w:rPr>
                <w:rFonts w:ascii="Calibri" w:cs="Calibri" w:eastAsia="Calibri" w:hAnsi="Calibri"/>
                <w:sz w:val="11"/>
                <w:szCs w:val="11"/>
                <w:b w:val="1"/>
                <w:bCs w:val="1"/>
                <w:color w:val="auto"/>
                <w:w w:val="98"/>
              </w:rPr>
              <w:t>Vested (2)(3)</w:t>
            </w:r>
          </w:p>
        </w:tc>
        <w:tc>
          <w:tcPr>
            <w:tcW w:w="1040" w:type="dxa"/>
            <w:vAlign w:val="bottom"/>
            <w:tcBorders>
              <w:bottom w:val="single" w:sz="8" w:color="AF0000"/>
            </w:tcBorders>
          </w:tcPr>
          <w:p>
            <w:pPr>
              <w:jc w:val="center"/>
              <w:spacing w:after="0"/>
              <w:rPr>
                <w:sz w:val="20"/>
                <w:szCs w:val="20"/>
                <w:color w:val="auto"/>
              </w:rPr>
            </w:pPr>
            <w:r>
              <w:rPr>
                <w:rFonts w:ascii="Calibri" w:cs="Calibri" w:eastAsia="Calibri" w:hAnsi="Calibri"/>
                <w:sz w:val="11"/>
                <w:szCs w:val="11"/>
                <w:b w:val="1"/>
                <w:bCs w:val="1"/>
                <w:color w:val="auto"/>
                <w:w w:val="96"/>
              </w:rPr>
              <w:t>Not Vested (#) (4)</w:t>
            </w:r>
          </w:p>
        </w:tc>
        <w:tc>
          <w:tcPr>
            <w:tcW w:w="980" w:type="dxa"/>
            <w:vAlign w:val="bottom"/>
            <w:tcBorders>
              <w:bottom w:val="single" w:sz="8" w:color="AF0000"/>
            </w:tcBorders>
          </w:tcPr>
          <w:p>
            <w:pPr>
              <w:jc w:val="center"/>
              <w:spacing w:after="0"/>
              <w:rPr>
                <w:sz w:val="20"/>
                <w:szCs w:val="20"/>
                <w:color w:val="auto"/>
              </w:rPr>
            </w:pPr>
            <w:r>
              <w:rPr>
                <w:rFonts w:ascii="Calibri" w:cs="Calibri" w:eastAsia="Calibri" w:hAnsi="Calibri"/>
                <w:sz w:val="11"/>
                <w:szCs w:val="11"/>
                <w:b w:val="1"/>
                <w:bCs w:val="1"/>
                <w:color w:val="auto"/>
                <w:w w:val="96"/>
              </w:rPr>
              <w:t>Not Vested ($) (4)</w:t>
            </w:r>
          </w:p>
        </w:tc>
        <w:tc>
          <w:tcPr>
            <w:tcW w:w="0" w:type="dxa"/>
            <w:vAlign w:val="bottom"/>
          </w:tcPr>
          <w:p>
            <w:pPr>
              <w:spacing w:after="0"/>
              <w:rPr>
                <w:sz w:val="1"/>
                <w:szCs w:val="1"/>
                <w:color w:val="auto"/>
              </w:rPr>
            </w:pPr>
          </w:p>
        </w:tc>
      </w:tr>
      <w:tr>
        <w:trPr>
          <w:trHeight w:val="151"/>
        </w:trPr>
        <w:tc>
          <w:tcPr>
            <w:tcW w:w="1220" w:type="dxa"/>
            <w:vAlign w:val="bottom"/>
          </w:tcPr>
          <w:p>
            <w:pPr>
              <w:spacing w:after="0" w:line="149" w:lineRule="exact"/>
              <w:rPr>
                <w:sz w:val="20"/>
                <w:szCs w:val="20"/>
                <w:color w:val="auto"/>
              </w:rPr>
            </w:pPr>
            <w:r>
              <w:rPr>
                <w:rFonts w:ascii="Calibri" w:cs="Calibri" w:eastAsia="Calibri" w:hAnsi="Calibri"/>
                <w:sz w:val="13"/>
                <w:szCs w:val="13"/>
                <w:color w:val="auto"/>
              </w:rPr>
              <w:t>Fred P. Lampropoulos</w:t>
            </w: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w w:val="95"/>
              </w:rPr>
              <w:t>3/2/2018</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38,002</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44.80</w:t>
            </w:r>
          </w:p>
        </w:tc>
        <w:tc>
          <w:tcPr>
            <w:tcW w:w="760" w:type="dxa"/>
            <w:vAlign w:val="bottom"/>
          </w:tcPr>
          <w:p>
            <w:pPr>
              <w:jc w:val="center"/>
              <w:ind w:right="146"/>
              <w:spacing w:after="0"/>
              <w:rPr>
                <w:sz w:val="20"/>
                <w:szCs w:val="20"/>
                <w:color w:val="auto"/>
              </w:rPr>
            </w:pPr>
            <w:r>
              <w:rPr>
                <w:rFonts w:ascii="Calibri" w:cs="Calibri" w:eastAsia="Calibri" w:hAnsi="Calibri"/>
                <w:sz w:val="11"/>
                <w:szCs w:val="11"/>
                <w:color w:val="auto"/>
                <w:w w:val="95"/>
              </w:rPr>
              <w:t>3/2/2025</w:t>
            </w:r>
          </w:p>
        </w:tc>
        <w:tc>
          <w:tcPr>
            <w:tcW w:w="960" w:type="dxa"/>
            <w:vAlign w:val="bottom"/>
          </w:tcPr>
          <w:p>
            <w:pPr>
              <w:jc w:val="center"/>
              <w:ind w:left="126"/>
              <w:spacing w:after="0" w:line="127" w:lineRule="exact"/>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line="127" w:lineRule="exact"/>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line="127" w:lineRule="exact"/>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line="127" w:lineRule="exact"/>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45"/>
        </w:trPr>
        <w:tc>
          <w:tcPr>
            <w:tcW w:w="1220" w:type="dxa"/>
            <w:vAlign w:val="bottom"/>
          </w:tcPr>
          <w:p>
            <w:pPr>
              <w:spacing w:after="0"/>
              <w:rPr>
                <w:sz w:val="12"/>
                <w:szCs w:val="12"/>
                <w:color w:val="auto"/>
              </w:rPr>
            </w:pPr>
          </w:p>
        </w:tc>
        <w:tc>
          <w:tcPr>
            <w:tcW w:w="680" w:type="dxa"/>
            <w:vAlign w:val="bottom"/>
            <w:vMerge w:val="restart"/>
          </w:tcPr>
          <w:p>
            <w:pPr>
              <w:jc w:val="center"/>
              <w:ind w:left="26"/>
              <w:spacing w:after="0"/>
              <w:rPr>
                <w:sz w:val="20"/>
                <w:szCs w:val="20"/>
                <w:color w:val="auto"/>
              </w:rPr>
            </w:pPr>
            <w:r>
              <w:rPr>
                <w:rFonts w:ascii="Calibri" w:cs="Calibri" w:eastAsia="Calibri" w:hAnsi="Calibri"/>
                <w:sz w:val="11"/>
                <w:szCs w:val="11"/>
                <w:color w:val="auto"/>
                <w:w w:val="95"/>
              </w:rPr>
              <w:t>3/1/2019</w:t>
            </w:r>
          </w:p>
        </w:tc>
        <w:tc>
          <w:tcPr>
            <w:tcW w:w="680" w:type="dxa"/>
            <w:vAlign w:val="bottom"/>
            <w:vMerge w:val="restart"/>
          </w:tcPr>
          <w:p>
            <w:pPr>
              <w:jc w:val="center"/>
              <w:spacing w:after="0"/>
              <w:rPr>
                <w:sz w:val="20"/>
                <w:szCs w:val="20"/>
                <w:color w:val="auto"/>
              </w:rPr>
            </w:pPr>
            <w:r>
              <w:rPr>
                <w:rFonts w:ascii="Calibri" w:cs="Calibri" w:eastAsia="Calibri" w:hAnsi="Calibri"/>
                <w:sz w:val="11"/>
                <w:szCs w:val="11"/>
                <w:color w:val="auto"/>
                <w:w w:val="99"/>
              </w:rPr>
              <w:t>127,320</w:t>
            </w:r>
          </w:p>
        </w:tc>
        <w:tc>
          <w:tcPr>
            <w:tcW w:w="980" w:type="dxa"/>
            <w:vAlign w:val="bottom"/>
            <w:vMerge w:val="restart"/>
          </w:tcPr>
          <w:p>
            <w:pPr>
              <w:jc w:val="center"/>
              <w:spacing w:after="0"/>
              <w:rPr>
                <w:sz w:val="20"/>
                <w:szCs w:val="20"/>
                <w:color w:val="auto"/>
              </w:rPr>
            </w:pPr>
            <w:r>
              <w:rPr>
                <w:rFonts w:ascii="Calibri" w:cs="Calibri" w:eastAsia="Calibri" w:hAnsi="Calibri"/>
                <w:sz w:val="11"/>
                <w:szCs w:val="11"/>
                <w:color w:val="auto"/>
                <w:w w:val="97"/>
              </w:rPr>
              <w:t>31,831</w:t>
            </w:r>
          </w:p>
        </w:tc>
        <w:tc>
          <w:tcPr>
            <w:tcW w:w="420" w:type="dxa"/>
            <w:vAlign w:val="bottom"/>
            <w:vMerge w:val="restart"/>
          </w:tcPr>
          <w:p>
            <w:pPr>
              <w:jc w:val="center"/>
              <w:ind w:right="6"/>
              <w:spacing w:after="0"/>
              <w:rPr>
                <w:sz w:val="20"/>
                <w:szCs w:val="20"/>
                <w:color w:val="auto"/>
              </w:rPr>
            </w:pPr>
            <w:r>
              <w:rPr>
                <w:rFonts w:ascii="Calibri" w:cs="Calibri" w:eastAsia="Calibri" w:hAnsi="Calibri"/>
                <w:sz w:val="11"/>
                <w:szCs w:val="11"/>
                <w:color w:val="auto"/>
                <w:w w:val="95"/>
              </w:rPr>
              <w:t>55.73</w:t>
            </w:r>
          </w:p>
        </w:tc>
        <w:tc>
          <w:tcPr>
            <w:tcW w:w="760" w:type="dxa"/>
            <w:vAlign w:val="bottom"/>
            <w:vMerge w:val="restart"/>
          </w:tcPr>
          <w:p>
            <w:pPr>
              <w:jc w:val="center"/>
              <w:ind w:right="146"/>
              <w:spacing w:after="0"/>
              <w:rPr>
                <w:sz w:val="20"/>
                <w:szCs w:val="20"/>
                <w:color w:val="auto"/>
              </w:rPr>
            </w:pPr>
            <w:r>
              <w:rPr>
                <w:rFonts w:ascii="Calibri" w:cs="Calibri" w:eastAsia="Calibri" w:hAnsi="Calibri"/>
                <w:sz w:val="11"/>
                <w:szCs w:val="11"/>
                <w:color w:val="auto"/>
                <w:w w:val="95"/>
              </w:rPr>
              <w:t>3/1/2026</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44"/>
        </w:trPr>
        <w:tc>
          <w:tcPr>
            <w:tcW w:w="12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2/26/2020</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75,251</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7"/>
              </w:rPr>
              <w:t>25,083</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37.71</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2/26/2027</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3/19/2021</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29,042</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7"/>
              </w:rPr>
              <w:t>29,041</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56.25</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3/19/2028</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7"/>
              </w:rPr>
              <w:t>18,962</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8"/>
              </w:rPr>
              <w:t>2,773,688</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2/28/2022</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12,142</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7"/>
              </w:rPr>
              <w:t>36,424</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65.03</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2/28/2029</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7"/>
              </w:rPr>
              <w:t>24,604</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4"/>
              </w:rPr>
              <w:t>3,868,920</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2/28/2023</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7"/>
              </w:rPr>
              <w:t>54,302</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70.58</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2/28/2030</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7"/>
              </w:rPr>
              <w:t>30,226</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4"/>
              </w:rPr>
              <w:t>4,962,633</w:t>
            </w:r>
          </w:p>
        </w:tc>
        <w:tc>
          <w:tcPr>
            <w:tcW w:w="0" w:type="dxa"/>
            <w:vAlign w:val="bottom"/>
          </w:tcPr>
          <w:p>
            <w:pPr>
              <w:spacing w:after="0"/>
              <w:rPr>
                <w:sz w:val="1"/>
                <w:szCs w:val="1"/>
                <w:color w:val="auto"/>
              </w:rPr>
            </w:pPr>
          </w:p>
        </w:tc>
      </w:tr>
      <w:tr>
        <w:trPr>
          <w:trHeight w:val="38"/>
        </w:trPr>
        <w:tc>
          <w:tcPr>
            <w:tcW w:w="1220" w:type="dxa"/>
            <w:vAlign w:val="bottom"/>
            <w:tcBorders>
              <w:bottom w:val="single" w:sz="8" w:color="A6A6A6"/>
            </w:tcBorders>
          </w:tcPr>
          <w:p>
            <w:pPr>
              <w:spacing w:after="0"/>
              <w:rPr>
                <w:sz w:val="3"/>
                <w:szCs w:val="3"/>
                <w:color w:val="auto"/>
              </w:rPr>
            </w:pPr>
          </w:p>
        </w:tc>
        <w:tc>
          <w:tcPr>
            <w:tcW w:w="680" w:type="dxa"/>
            <w:vAlign w:val="bottom"/>
            <w:tcBorders>
              <w:bottom w:val="single" w:sz="8" w:color="A6A6A6"/>
            </w:tcBorders>
          </w:tcPr>
          <w:p>
            <w:pPr>
              <w:spacing w:after="0"/>
              <w:rPr>
                <w:sz w:val="3"/>
                <w:szCs w:val="3"/>
                <w:color w:val="auto"/>
              </w:rPr>
            </w:pPr>
          </w:p>
        </w:tc>
        <w:tc>
          <w:tcPr>
            <w:tcW w:w="68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220" w:type="dxa"/>
            <w:vAlign w:val="bottom"/>
          </w:tcPr>
          <w:p>
            <w:pPr>
              <w:spacing w:after="0" w:line="145" w:lineRule="exact"/>
              <w:rPr>
                <w:sz w:val="20"/>
                <w:szCs w:val="20"/>
                <w:color w:val="auto"/>
              </w:rPr>
            </w:pPr>
            <w:r>
              <w:rPr>
                <w:rFonts w:ascii="Calibri" w:cs="Calibri" w:eastAsia="Calibri" w:hAnsi="Calibri"/>
                <w:sz w:val="13"/>
                <w:szCs w:val="13"/>
                <w:color w:val="auto"/>
              </w:rPr>
              <w:t>Raul Parra</w:t>
            </w: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w w:val="95"/>
              </w:rPr>
              <w:t>3/2/2018</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4,000</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44.80</w:t>
            </w:r>
          </w:p>
        </w:tc>
        <w:tc>
          <w:tcPr>
            <w:tcW w:w="760" w:type="dxa"/>
            <w:vAlign w:val="bottom"/>
          </w:tcPr>
          <w:p>
            <w:pPr>
              <w:jc w:val="center"/>
              <w:ind w:right="146"/>
              <w:spacing w:after="0"/>
              <w:rPr>
                <w:sz w:val="20"/>
                <w:szCs w:val="20"/>
                <w:color w:val="auto"/>
              </w:rPr>
            </w:pPr>
            <w:r>
              <w:rPr>
                <w:rFonts w:ascii="Calibri" w:cs="Calibri" w:eastAsia="Calibri" w:hAnsi="Calibri"/>
                <w:sz w:val="11"/>
                <w:szCs w:val="11"/>
                <w:color w:val="auto"/>
                <w:w w:val="95"/>
              </w:rPr>
              <w:t>3/2/2025</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w w:val="95"/>
              </w:rPr>
              <w:t>3/1/2019</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24,000</w:t>
            </w:r>
          </w:p>
        </w:tc>
        <w:tc>
          <w:tcPr>
            <w:tcW w:w="980" w:type="dxa"/>
            <w:vAlign w:val="bottom"/>
          </w:tcPr>
          <w:p>
            <w:pPr>
              <w:jc w:val="center"/>
              <w:ind w:right="6"/>
              <w:spacing w:after="0"/>
              <w:rPr>
                <w:sz w:val="20"/>
                <w:szCs w:val="20"/>
                <w:color w:val="auto"/>
              </w:rPr>
            </w:pPr>
            <w:r>
              <w:rPr>
                <w:rFonts w:ascii="Calibri" w:cs="Calibri" w:eastAsia="Calibri" w:hAnsi="Calibri"/>
                <w:sz w:val="11"/>
                <w:szCs w:val="11"/>
                <w:color w:val="auto"/>
                <w:w w:val="95"/>
              </w:rPr>
              <w:t>6,000</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55.73</w:t>
            </w:r>
          </w:p>
        </w:tc>
        <w:tc>
          <w:tcPr>
            <w:tcW w:w="760" w:type="dxa"/>
            <w:vAlign w:val="bottom"/>
          </w:tcPr>
          <w:p>
            <w:pPr>
              <w:jc w:val="center"/>
              <w:ind w:right="146"/>
              <w:spacing w:after="0"/>
              <w:rPr>
                <w:sz w:val="20"/>
                <w:szCs w:val="20"/>
                <w:color w:val="auto"/>
              </w:rPr>
            </w:pPr>
            <w:r>
              <w:rPr>
                <w:rFonts w:ascii="Calibri" w:cs="Calibri" w:eastAsia="Calibri" w:hAnsi="Calibri"/>
                <w:sz w:val="11"/>
                <w:szCs w:val="11"/>
                <w:color w:val="auto"/>
                <w:w w:val="95"/>
              </w:rPr>
              <w:t>3/1/2026</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2/26/2020</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6,542</w:t>
            </w:r>
          </w:p>
        </w:tc>
        <w:tc>
          <w:tcPr>
            <w:tcW w:w="980" w:type="dxa"/>
            <w:vAlign w:val="bottom"/>
          </w:tcPr>
          <w:p>
            <w:pPr>
              <w:jc w:val="center"/>
              <w:ind w:right="6"/>
              <w:spacing w:after="0"/>
              <w:rPr>
                <w:sz w:val="20"/>
                <w:szCs w:val="20"/>
                <w:color w:val="auto"/>
              </w:rPr>
            </w:pPr>
            <w:r>
              <w:rPr>
                <w:rFonts w:ascii="Calibri" w:cs="Calibri" w:eastAsia="Calibri" w:hAnsi="Calibri"/>
                <w:sz w:val="11"/>
                <w:szCs w:val="11"/>
                <w:color w:val="auto"/>
                <w:w w:val="95"/>
              </w:rPr>
              <w:t>4,180</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37.71</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2/26/2027</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3/19/2021</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4,841</w:t>
            </w:r>
          </w:p>
        </w:tc>
        <w:tc>
          <w:tcPr>
            <w:tcW w:w="980" w:type="dxa"/>
            <w:vAlign w:val="bottom"/>
          </w:tcPr>
          <w:p>
            <w:pPr>
              <w:jc w:val="center"/>
              <w:ind w:right="6"/>
              <w:spacing w:after="0"/>
              <w:rPr>
                <w:sz w:val="20"/>
                <w:szCs w:val="20"/>
                <w:color w:val="auto"/>
              </w:rPr>
            </w:pPr>
            <w:r>
              <w:rPr>
                <w:rFonts w:ascii="Calibri" w:cs="Calibri" w:eastAsia="Calibri" w:hAnsi="Calibri"/>
                <w:sz w:val="11"/>
                <w:szCs w:val="11"/>
                <w:color w:val="auto"/>
                <w:w w:val="95"/>
              </w:rPr>
              <w:t>4,840</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56.25</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3/19/2028</w:t>
            </w:r>
          </w:p>
        </w:tc>
        <w:tc>
          <w:tcPr>
            <w:tcW w:w="960" w:type="dxa"/>
            <w:vAlign w:val="bottom"/>
          </w:tcPr>
          <w:p>
            <w:pPr>
              <w:jc w:val="center"/>
              <w:ind w:left="106"/>
              <w:spacing w:after="0"/>
              <w:rPr>
                <w:sz w:val="20"/>
                <w:szCs w:val="20"/>
                <w:color w:val="auto"/>
              </w:rPr>
            </w:pPr>
            <w:r>
              <w:rPr>
                <w:rFonts w:ascii="Calibri" w:cs="Calibri" w:eastAsia="Calibri" w:hAnsi="Calibri"/>
                <w:sz w:val="11"/>
                <w:szCs w:val="11"/>
                <w:color w:val="auto"/>
                <w:w w:val="95"/>
              </w:rPr>
              <w:t>7,110</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540,076</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2/28/2022</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3,643</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7"/>
              </w:rPr>
              <w:t>10,927</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65.03</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2/28/2029</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7"/>
              </w:rPr>
              <w:t>16,608</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4"/>
              </w:rPr>
              <w:t>1,261,544</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2/28/2023</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7"/>
              </w:rPr>
              <w:t>13,576</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70.58</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2/28/2030</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7"/>
              </w:rPr>
              <w:t>17,002</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4"/>
              </w:rPr>
              <w:t>1,291,472</w:t>
            </w:r>
          </w:p>
        </w:tc>
        <w:tc>
          <w:tcPr>
            <w:tcW w:w="0" w:type="dxa"/>
            <w:vAlign w:val="bottom"/>
          </w:tcPr>
          <w:p>
            <w:pPr>
              <w:spacing w:after="0"/>
              <w:rPr>
                <w:sz w:val="1"/>
                <w:szCs w:val="1"/>
                <w:color w:val="auto"/>
              </w:rPr>
            </w:pPr>
          </w:p>
        </w:tc>
      </w:tr>
      <w:tr>
        <w:trPr>
          <w:trHeight w:val="38"/>
        </w:trPr>
        <w:tc>
          <w:tcPr>
            <w:tcW w:w="1220" w:type="dxa"/>
            <w:vAlign w:val="bottom"/>
            <w:tcBorders>
              <w:bottom w:val="single" w:sz="8" w:color="A6A6A6"/>
            </w:tcBorders>
          </w:tcPr>
          <w:p>
            <w:pPr>
              <w:spacing w:after="0"/>
              <w:rPr>
                <w:sz w:val="3"/>
                <w:szCs w:val="3"/>
                <w:color w:val="auto"/>
              </w:rPr>
            </w:pPr>
          </w:p>
        </w:tc>
        <w:tc>
          <w:tcPr>
            <w:tcW w:w="680" w:type="dxa"/>
            <w:vAlign w:val="bottom"/>
            <w:tcBorders>
              <w:bottom w:val="single" w:sz="8" w:color="A6A6A6"/>
            </w:tcBorders>
          </w:tcPr>
          <w:p>
            <w:pPr>
              <w:spacing w:after="0"/>
              <w:rPr>
                <w:sz w:val="3"/>
                <w:szCs w:val="3"/>
                <w:color w:val="auto"/>
              </w:rPr>
            </w:pPr>
          </w:p>
        </w:tc>
        <w:tc>
          <w:tcPr>
            <w:tcW w:w="68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220" w:type="dxa"/>
            <w:vAlign w:val="bottom"/>
          </w:tcPr>
          <w:p>
            <w:pPr>
              <w:spacing w:after="0" w:line="145" w:lineRule="exact"/>
              <w:rPr>
                <w:sz w:val="20"/>
                <w:szCs w:val="20"/>
                <w:color w:val="auto"/>
              </w:rPr>
            </w:pPr>
            <w:r>
              <w:rPr>
                <w:rFonts w:ascii="Calibri" w:cs="Calibri" w:eastAsia="Calibri" w:hAnsi="Calibri"/>
                <w:sz w:val="13"/>
                <w:szCs w:val="13"/>
                <w:color w:val="auto"/>
              </w:rPr>
              <w:t>Neil W. Peterson</w:t>
            </w: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w w:val="95"/>
              </w:rPr>
              <w:t>3/2/2018</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15,000</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44.80</w:t>
            </w:r>
          </w:p>
        </w:tc>
        <w:tc>
          <w:tcPr>
            <w:tcW w:w="760" w:type="dxa"/>
            <w:vAlign w:val="bottom"/>
          </w:tcPr>
          <w:p>
            <w:pPr>
              <w:jc w:val="center"/>
              <w:ind w:right="146"/>
              <w:spacing w:after="0"/>
              <w:rPr>
                <w:sz w:val="20"/>
                <w:szCs w:val="20"/>
                <w:color w:val="auto"/>
              </w:rPr>
            </w:pPr>
            <w:r>
              <w:rPr>
                <w:rFonts w:ascii="Calibri" w:cs="Calibri" w:eastAsia="Calibri" w:hAnsi="Calibri"/>
                <w:sz w:val="11"/>
                <w:szCs w:val="11"/>
                <w:color w:val="auto"/>
                <w:w w:val="95"/>
              </w:rPr>
              <w:t>3/2/2025</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4/25/2019</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16,000</w:t>
            </w:r>
          </w:p>
        </w:tc>
        <w:tc>
          <w:tcPr>
            <w:tcW w:w="980" w:type="dxa"/>
            <w:vAlign w:val="bottom"/>
          </w:tcPr>
          <w:p>
            <w:pPr>
              <w:jc w:val="center"/>
              <w:ind w:right="6"/>
              <w:spacing w:after="0"/>
              <w:rPr>
                <w:sz w:val="20"/>
                <w:szCs w:val="20"/>
                <w:color w:val="auto"/>
              </w:rPr>
            </w:pPr>
            <w:r>
              <w:rPr>
                <w:rFonts w:ascii="Calibri" w:cs="Calibri" w:eastAsia="Calibri" w:hAnsi="Calibri"/>
                <w:sz w:val="11"/>
                <w:szCs w:val="11"/>
                <w:color w:val="auto"/>
                <w:w w:val="95"/>
              </w:rPr>
              <w:t>4,000</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54.40</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4/25/2026</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8/19/2021</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12,500</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7"/>
              </w:rPr>
              <w:t>12,500</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68.33</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8/19/2028</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2/28/2022</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42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9"/>
              </w:rPr>
              <w:t>—</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5"/>
              </w:rPr>
              <w:t>9,226</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3"/>
              </w:rPr>
              <w:t>700,807</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2/28/2023</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7"/>
              </w:rPr>
              <w:t>13,576</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70.58</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2/28/2030</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7"/>
              </w:rPr>
              <w:t>17,002</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4"/>
              </w:rPr>
              <w:t>1,291,472</w:t>
            </w:r>
          </w:p>
        </w:tc>
        <w:tc>
          <w:tcPr>
            <w:tcW w:w="0" w:type="dxa"/>
            <w:vAlign w:val="bottom"/>
          </w:tcPr>
          <w:p>
            <w:pPr>
              <w:spacing w:after="0"/>
              <w:rPr>
                <w:sz w:val="1"/>
                <w:szCs w:val="1"/>
                <w:color w:val="auto"/>
              </w:rPr>
            </w:pPr>
          </w:p>
        </w:tc>
      </w:tr>
      <w:tr>
        <w:trPr>
          <w:trHeight w:val="38"/>
        </w:trPr>
        <w:tc>
          <w:tcPr>
            <w:tcW w:w="1220" w:type="dxa"/>
            <w:vAlign w:val="bottom"/>
            <w:tcBorders>
              <w:bottom w:val="single" w:sz="8" w:color="A6A6A6"/>
            </w:tcBorders>
          </w:tcPr>
          <w:p>
            <w:pPr>
              <w:spacing w:after="0"/>
              <w:rPr>
                <w:sz w:val="3"/>
                <w:szCs w:val="3"/>
                <w:color w:val="auto"/>
              </w:rPr>
            </w:pPr>
          </w:p>
        </w:tc>
        <w:tc>
          <w:tcPr>
            <w:tcW w:w="680" w:type="dxa"/>
            <w:vAlign w:val="bottom"/>
            <w:tcBorders>
              <w:bottom w:val="single" w:sz="8" w:color="A6A6A6"/>
            </w:tcBorders>
          </w:tcPr>
          <w:p>
            <w:pPr>
              <w:spacing w:after="0"/>
              <w:rPr>
                <w:sz w:val="3"/>
                <w:szCs w:val="3"/>
                <w:color w:val="auto"/>
              </w:rPr>
            </w:pPr>
          </w:p>
        </w:tc>
        <w:tc>
          <w:tcPr>
            <w:tcW w:w="68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220" w:type="dxa"/>
            <w:vAlign w:val="bottom"/>
          </w:tcPr>
          <w:p>
            <w:pPr>
              <w:spacing w:after="0" w:line="145" w:lineRule="exact"/>
              <w:rPr>
                <w:sz w:val="20"/>
                <w:szCs w:val="20"/>
                <w:color w:val="auto"/>
              </w:rPr>
            </w:pPr>
            <w:r>
              <w:rPr>
                <w:rFonts w:ascii="Calibri" w:cs="Calibri" w:eastAsia="Calibri" w:hAnsi="Calibri"/>
                <w:sz w:val="13"/>
                <w:szCs w:val="13"/>
                <w:color w:val="auto"/>
              </w:rPr>
              <w:t>Joseph C. Wright</w:t>
            </w: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4/14/2017</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25,000</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28.20</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4/14/2024</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w w:val="95"/>
              </w:rPr>
              <w:t>3/2/2018</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25,000</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44.80</w:t>
            </w:r>
          </w:p>
        </w:tc>
        <w:tc>
          <w:tcPr>
            <w:tcW w:w="760" w:type="dxa"/>
            <w:vAlign w:val="bottom"/>
          </w:tcPr>
          <w:p>
            <w:pPr>
              <w:jc w:val="center"/>
              <w:ind w:right="146"/>
              <w:spacing w:after="0"/>
              <w:rPr>
                <w:sz w:val="20"/>
                <w:szCs w:val="20"/>
                <w:color w:val="auto"/>
              </w:rPr>
            </w:pPr>
            <w:r>
              <w:rPr>
                <w:rFonts w:ascii="Calibri" w:cs="Calibri" w:eastAsia="Calibri" w:hAnsi="Calibri"/>
                <w:sz w:val="11"/>
                <w:szCs w:val="11"/>
                <w:color w:val="auto"/>
                <w:w w:val="95"/>
              </w:rPr>
              <w:t>3/2/2025</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w w:val="95"/>
              </w:rPr>
              <w:t>3/1/2019</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24,000</w:t>
            </w:r>
          </w:p>
        </w:tc>
        <w:tc>
          <w:tcPr>
            <w:tcW w:w="980" w:type="dxa"/>
            <w:vAlign w:val="bottom"/>
          </w:tcPr>
          <w:p>
            <w:pPr>
              <w:jc w:val="center"/>
              <w:ind w:right="6"/>
              <w:spacing w:after="0"/>
              <w:rPr>
                <w:sz w:val="20"/>
                <w:szCs w:val="20"/>
                <w:color w:val="auto"/>
              </w:rPr>
            </w:pPr>
            <w:r>
              <w:rPr>
                <w:rFonts w:ascii="Calibri" w:cs="Calibri" w:eastAsia="Calibri" w:hAnsi="Calibri"/>
                <w:sz w:val="11"/>
                <w:szCs w:val="11"/>
                <w:color w:val="auto"/>
                <w:w w:val="95"/>
              </w:rPr>
              <w:t>6,000</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55.73</w:t>
            </w:r>
          </w:p>
        </w:tc>
        <w:tc>
          <w:tcPr>
            <w:tcW w:w="760" w:type="dxa"/>
            <w:vAlign w:val="bottom"/>
          </w:tcPr>
          <w:p>
            <w:pPr>
              <w:jc w:val="center"/>
              <w:ind w:right="146"/>
              <w:spacing w:after="0"/>
              <w:rPr>
                <w:sz w:val="20"/>
                <w:szCs w:val="20"/>
                <w:color w:val="auto"/>
              </w:rPr>
            </w:pPr>
            <w:r>
              <w:rPr>
                <w:rFonts w:ascii="Calibri" w:cs="Calibri" w:eastAsia="Calibri" w:hAnsi="Calibri"/>
                <w:sz w:val="11"/>
                <w:szCs w:val="11"/>
                <w:color w:val="auto"/>
                <w:w w:val="95"/>
              </w:rPr>
              <w:t>3/1/2026</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2/26/2020</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12,542</w:t>
            </w:r>
          </w:p>
        </w:tc>
        <w:tc>
          <w:tcPr>
            <w:tcW w:w="980" w:type="dxa"/>
            <w:vAlign w:val="bottom"/>
          </w:tcPr>
          <w:p>
            <w:pPr>
              <w:jc w:val="center"/>
              <w:ind w:right="6"/>
              <w:spacing w:after="0"/>
              <w:rPr>
                <w:sz w:val="20"/>
                <w:szCs w:val="20"/>
                <w:color w:val="auto"/>
              </w:rPr>
            </w:pPr>
            <w:r>
              <w:rPr>
                <w:rFonts w:ascii="Calibri" w:cs="Calibri" w:eastAsia="Calibri" w:hAnsi="Calibri"/>
                <w:sz w:val="11"/>
                <w:szCs w:val="11"/>
                <w:color w:val="auto"/>
                <w:w w:val="95"/>
              </w:rPr>
              <w:t>4,180</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37.71</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2/26/2027</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3/19/2021</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4,841</w:t>
            </w:r>
          </w:p>
        </w:tc>
        <w:tc>
          <w:tcPr>
            <w:tcW w:w="980" w:type="dxa"/>
            <w:vAlign w:val="bottom"/>
          </w:tcPr>
          <w:p>
            <w:pPr>
              <w:jc w:val="center"/>
              <w:ind w:right="6"/>
              <w:spacing w:after="0"/>
              <w:rPr>
                <w:sz w:val="20"/>
                <w:szCs w:val="20"/>
                <w:color w:val="auto"/>
              </w:rPr>
            </w:pPr>
            <w:r>
              <w:rPr>
                <w:rFonts w:ascii="Calibri" w:cs="Calibri" w:eastAsia="Calibri" w:hAnsi="Calibri"/>
                <w:sz w:val="11"/>
                <w:szCs w:val="11"/>
                <w:color w:val="auto"/>
                <w:w w:val="95"/>
              </w:rPr>
              <w:t>4,840</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56.25</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3/19/2028</w:t>
            </w:r>
          </w:p>
        </w:tc>
        <w:tc>
          <w:tcPr>
            <w:tcW w:w="960" w:type="dxa"/>
            <w:vAlign w:val="bottom"/>
          </w:tcPr>
          <w:p>
            <w:pPr>
              <w:jc w:val="center"/>
              <w:ind w:left="106"/>
              <w:spacing w:after="0"/>
              <w:rPr>
                <w:sz w:val="20"/>
                <w:szCs w:val="20"/>
                <w:color w:val="auto"/>
              </w:rPr>
            </w:pPr>
            <w:r>
              <w:rPr>
                <w:rFonts w:ascii="Calibri" w:cs="Calibri" w:eastAsia="Calibri" w:hAnsi="Calibri"/>
                <w:sz w:val="11"/>
                <w:szCs w:val="11"/>
                <w:color w:val="auto"/>
                <w:w w:val="95"/>
              </w:rPr>
              <w:t>7,110</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540,076</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2/28/2022</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2,024</w:t>
            </w:r>
          </w:p>
        </w:tc>
        <w:tc>
          <w:tcPr>
            <w:tcW w:w="980" w:type="dxa"/>
            <w:vAlign w:val="bottom"/>
          </w:tcPr>
          <w:p>
            <w:pPr>
              <w:jc w:val="center"/>
              <w:ind w:right="6"/>
              <w:spacing w:after="0"/>
              <w:rPr>
                <w:sz w:val="20"/>
                <w:szCs w:val="20"/>
                <w:color w:val="auto"/>
              </w:rPr>
            </w:pPr>
            <w:r>
              <w:rPr>
                <w:rFonts w:ascii="Calibri" w:cs="Calibri" w:eastAsia="Calibri" w:hAnsi="Calibri"/>
                <w:sz w:val="11"/>
                <w:szCs w:val="11"/>
                <w:color w:val="auto"/>
                <w:w w:val="95"/>
              </w:rPr>
              <w:t>6,070</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65.03</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2/28/2029</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5"/>
              </w:rPr>
              <w:t>9,226</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3"/>
              </w:rPr>
              <w:t>700,807</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2/28/2023</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7"/>
              </w:rPr>
              <w:t>13,576</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70.58</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2/28/2030</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7"/>
              </w:rPr>
              <w:t>17,002</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4"/>
              </w:rPr>
              <w:t>1,291,472</w:t>
            </w:r>
          </w:p>
        </w:tc>
        <w:tc>
          <w:tcPr>
            <w:tcW w:w="0" w:type="dxa"/>
            <w:vAlign w:val="bottom"/>
          </w:tcPr>
          <w:p>
            <w:pPr>
              <w:spacing w:after="0"/>
              <w:rPr>
                <w:sz w:val="1"/>
                <w:szCs w:val="1"/>
                <w:color w:val="auto"/>
              </w:rPr>
            </w:pPr>
          </w:p>
        </w:tc>
      </w:tr>
      <w:tr>
        <w:trPr>
          <w:trHeight w:val="38"/>
        </w:trPr>
        <w:tc>
          <w:tcPr>
            <w:tcW w:w="1220" w:type="dxa"/>
            <w:vAlign w:val="bottom"/>
            <w:tcBorders>
              <w:bottom w:val="single" w:sz="8" w:color="A6A6A6"/>
            </w:tcBorders>
          </w:tcPr>
          <w:p>
            <w:pPr>
              <w:spacing w:after="0"/>
              <w:rPr>
                <w:sz w:val="3"/>
                <w:szCs w:val="3"/>
                <w:color w:val="auto"/>
              </w:rPr>
            </w:pPr>
          </w:p>
        </w:tc>
        <w:tc>
          <w:tcPr>
            <w:tcW w:w="680" w:type="dxa"/>
            <w:vAlign w:val="bottom"/>
            <w:tcBorders>
              <w:bottom w:val="single" w:sz="8" w:color="A6A6A6"/>
            </w:tcBorders>
          </w:tcPr>
          <w:p>
            <w:pPr>
              <w:spacing w:after="0"/>
              <w:rPr>
                <w:sz w:val="3"/>
                <w:szCs w:val="3"/>
                <w:color w:val="auto"/>
              </w:rPr>
            </w:pPr>
          </w:p>
        </w:tc>
        <w:tc>
          <w:tcPr>
            <w:tcW w:w="68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tcPr>
          <w:p>
            <w:pPr>
              <w:spacing w:after="0"/>
              <w:rPr>
                <w:sz w:val="3"/>
                <w:szCs w:val="3"/>
                <w:color w:val="auto"/>
              </w:rPr>
            </w:pPr>
          </w:p>
        </w:tc>
        <w:tc>
          <w:tcPr>
            <w:tcW w:w="7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line="142" w:lineRule="exact"/>
              <w:rPr>
                <w:sz w:val="20"/>
                <w:szCs w:val="20"/>
                <w:color w:val="auto"/>
              </w:rPr>
            </w:pPr>
            <w:r>
              <w:rPr>
                <w:rFonts w:ascii="Calibri" w:cs="Calibri" w:eastAsia="Calibri" w:hAnsi="Calibri"/>
                <w:sz w:val="13"/>
                <w:szCs w:val="13"/>
                <w:color w:val="auto"/>
              </w:rPr>
              <w:t>Brian G. Lloyd</w:t>
            </w:r>
          </w:p>
        </w:tc>
        <w:tc>
          <w:tcPr>
            <w:tcW w:w="680" w:type="dxa"/>
            <w:vAlign w:val="bottom"/>
          </w:tcPr>
          <w:p>
            <w:pPr>
              <w:jc w:val="center"/>
              <w:ind w:left="26"/>
              <w:spacing w:after="0" w:line="131" w:lineRule="exact"/>
              <w:rPr>
                <w:sz w:val="20"/>
                <w:szCs w:val="20"/>
                <w:color w:val="auto"/>
              </w:rPr>
            </w:pPr>
            <w:r>
              <w:rPr>
                <w:rFonts w:ascii="Calibri" w:cs="Calibri" w:eastAsia="Calibri" w:hAnsi="Calibri"/>
                <w:sz w:val="11"/>
                <w:szCs w:val="11"/>
                <w:color w:val="auto"/>
                <w:w w:val="95"/>
              </w:rPr>
              <w:t>3/2/2018</w:t>
            </w:r>
          </w:p>
        </w:tc>
        <w:tc>
          <w:tcPr>
            <w:tcW w:w="680" w:type="dxa"/>
            <w:vAlign w:val="bottom"/>
          </w:tcPr>
          <w:p>
            <w:pPr>
              <w:jc w:val="center"/>
              <w:spacing w:after="0" w:line="131" w:lineRule="exact"/>
              <w:rPr>
                <w:sz w:val="20"/>
                <w:szCs w:val="20"/>
                <w:color w:val="auto"/>
              </w:rPr>
            </w:pPr>
            <w:r>
              <w:rPr>
                <w:rFonts w:ascii="Calibri" w:cs="Calibri" w:eastAsia="Calibri" w:hAnsi="Calibri"/>
                <w:sz w:val="11"/>
                <w:szCs w:val="11"/>
                <w:color w:val="auto"/>
                <w:w w:val="97"/>
              </w:rPr>
              <w:t>25,000</w:t>
            </w:r>
          </w:p>
        </w:tc>
        <w:tc>
          <w:tcPr>
            <w:tcW w:w="980" w:type="dxa"/>
            <w:vAlign w:val="bottom"/>
          </w:tcPr>
          <w:p>
            <w:pPr>
              <w:jc w:val="center"/>
              <w:spacing w:after="0" w:line="131" w:lineRule="exact"/>
              <w:rPr>
                <w:sz w:val="20"/>
                <w:szCs w:val="20"/>
                <w:color w:val="auto"/>
              </w:rPr>
            </w:pPr>
            <w:r>
              <w:rPr>
                <w:rFonts w:ascii="Calibri" w:cs="Calibri" w:eastAsia="Calibri" w:hAnsi="Calibri"/>
                <w:sz w:val="11"/>
                <w:szCs w:val="11"/>
                <w:color w:val="auto"/>
                <w:w w:val="99"/>
              </w:rPr>
              <w:t>—</w:t>
            </w:r>
          </w:p>
        </w:tc>
        <w:tc>
          <w:tcPr>
            <w:tcW w:w="420" w:type="dxa"/>
            <w:vAlign w:val="bottom"/>
          </w:tcPr>
          <w:p>
            <w:pPr>
              <w:jc w:val="center"/>
              <w:ind w:right="6"/>
              <w:spacing w:after="0" w:line="131" w:lineRule="exact"/>
              <w:rPr>
                <w:sz w:val="20"/>
                <w:szCs w:val="20"/>
                <w:color w:val="auto"/>
              </w:rPr>
            </w:pPr>
            <w:r>
              <w:rPr>
                <w:rFonts w:ascii="Calibri" w:cs="Calibri" w:eastAsia="Calibri" w:hAnsi="Calibri"/>
                <w:sz w:val="11"/>
                <w:szCs w:val="11"/>
                <w:color w:val="auto"/>
                <w:w w:val="95"/>
              </w:rPr>
              <w:t>44.80</w:t>
            </w:r>
          </w:p>
        </w:tc>
        <w:tc>
          <w:tcPr>
            <w:tcW w:w="760" w:type="dxa"/>
            <w:vAlign w:val="bottom"/>
          </w:tcPr>
          <w:p>
            <w:pPr>
              <w:jc w:val="center"/>
              <w:ind w:right="146"/>
              <w:spacing w:after="0" w:line="131" w:lineRule="exact"/>
              <w:rPr>
                <w:sz w:val="20"/>
                <w:szCs w:val="20"/>
                <w:color w:val="auto"/>
              </w:rPr>
            </w:pPr>
            <w:r>
              <w:rPr>
                <w:rFonts w:ascii="Calibri" w:cs="Calibri" w:eastAsia="Calibri" w:hAnsi="Calibri"/>
                <w:sz w:val="11"/>
                <w:szCs w:val="11"/>
                <w:color w:val="auto"/>
                <w:w w:val="95"/>
              </w:rPr>
              <w:t>3/2/2025</w:t>
            </w:r>
          </w:p>
        </w:tc>
        <w:tc>
          <w:tcPr>
            <w:tcW w:w="960" w:type="dxa"/>
            <w:vAlign w:val="bottom"/>
          </w:tcPr>
          <w:p>
            <w:pPr>
              <w:jc w:val="center"/>
              <w:ind w:left="126"/>
              <w:spacing w:after="0" w:line="131" w:lineRule="exact"/>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line="131" w:lineRule="exact"/>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line="127" w:lineRule="exact"/>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line="127" w:lineRule="exact"/>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w w:val="95"/>
              </w:rPr>
              <w:t>3/1/2019</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24,000</w:t>
            </w:r>
          </w:p>
        </w:tc>
        <w:tc>
          <w:tcPr>
            <w:tcW w:w="980" w:type="dxa"/>
            <w:vAlign w:val="bottom"/>
          </w:tcPr>
          <w:p>
            <w:pPr>
              <w:jc w:val="center"/>
              <w:ind w:right="6"/>
              <w:spacing w:after="0"/>
              <w:rPr>
                <w:sz w:val="20"/>
                <w:szCs w:val="20"/>
                <w:color w:val="auto"/>
              </w:rPr>
            </w:pPr>
            <w:r>
              <w:rPr>
                <w:rFonts w:ascii="Calibri" w:cs="Calibri" w:eastAsia="Calibri" w:hAnsi="Calibri"/>
                <w:sz w:val="11"/>
                <w:szCs w:val="11"/>
                <w:color w:val="auto"/>
                <w:w w:val="95"/>
              </w:rPr>
              <w:t>6,000</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55.73</w:t>
            </w:r>
          </w:p>
        </w:tc>
        <w:tc>
          <w:tcPr>
            <w:tcW w:w="760" w:type="dxa"/>
            <w:vAlign w:val="bottom"/>
          </w:tcPr>
          <w:p>
            <w:pPr>
              <w:jc w:val="center"/>
              <w:ind w:right="146"/>
              <w:spacing w:after="0"/>
              <w:rPr>
                <w:sz w:val="20"/>
                <w:szCs w:val="20"/>
                <w:color w:val="auto"/>
              </w:rPr>
            </w:pPr>
            <w:r>
              <w:rPr>
                <w:rFonts w:ascii="Calibri" w:cs="Calibri" w:eastAsia="Calibri" w:hAnsi="Calibri"/>
                <w:sz w:val="11"/>
                <w:szCs w:val="11"/>
                <w:color w:val="auto"/>
                <w:w w:val="95"/>
              </w:rPr>
              <w:t>3/1/2026</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2/26/2020</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12,542</w:t>
            </w:r>
          </w:p>
        </w:tc>
        <w:tc>
          <w:tcPr>
            <w:tcW w:w="980" w:type="dxa"/>
            <w:vAlign w:val="bottom"/>
          </w:tcPr>
          <w:p>
            <w:pPr>
              <w:jc w:val="center"/>
              <w:ind w:right="6"/>
              <w:spacing w:after="0"/>
              <w:rPr>
                <w:sz w:val="20"/>
                <w:szCs w:val="20"/>
                <w:color w:val="auto"/>
              </w:rPr>
            </w:pPr>
            <w:r>
              <w:rPr>
                <w:rFonts w:ascii="Calibri" w:cs="Calibri" w:eastAsia="Calibri" w:hAnsi="Calibri"/>
                <w:sz w:val="11"/>
                <w:szCs w:val="11"/>
                <w:color w:val="auto"/>
                <w:w w:val="95"/>
              </w:rPr>
              <w:t>4,180</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37.71</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2/26/2027</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3/19/2021</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4,841</w:t>
            </w:r>
          </w:p>
        </w:tc>
        <w:tc>
          <w:tcPr>
            <w:tcW w:w="980" w:type="dxa"/>
            <w:vAlign w:val="bottom"/>
          </w:tcPr>
          <w:p>
            <w:pPr>
              <w:jc w:val="center"/>
              <w:ind w:right="6"/>
              <w:spacing w:after="0"/>
              <w:rPr>
                <w:sz w:val="20"/>
                <w:szCs w:val="20"/>
                <w:color w:val="auto"/>
              </w:rPr>
            </w:pPr>
            <w:r>
              <w:rPr>
                <w:rFonts w:ascii="Calibri" w:cs="Calibri" w:eastAsia="Calibri" w:hAnsi="Calibri"/>
                <w:sz w:val="11"/>
                <w:szCs w:val="11"/>
                <w:color w:val="auto"/>
                <w:w w:val="95"/>
              </w:rPr>
              <w:t>4,840</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56.25</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3/19/2028</w:t>
            </w:r>
          </w:p>
        </w:tc>
        <w:tc>
          <w:tcPr>
            <w:tcW w:w="960" w:type="dxa"/>
            <w:vAlign w:val="bottom"/>
          </w:tcPr>
          <w:p>
            <w:pPr>
              <w:jc w:val="center"/>
              <w:ind w:left="106"/>
              <w:spacing w:after="0"/>
              <w:rPr>
                <w:sz w:val="20"/>
                <w:szCs w:val="20"/>
                <w:color w:val="auto"/>
              </w:rPr>
            </w:pPr>
            <w:r>
              <w:rPr>
                <w:rFonts w:ascii="Calibri" w:cs="Calibri" w:eastAsia="Calibri" w:hAnsi="Calibri"/>
                <w:sz w:val="11"/>
                <w:szCs w:val="11"/>
                <w:color w:val="auto"/>
                <w:w w:val="95"/>
              </w:rPr>
              <w:t>7,110</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540,076</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2/28/2022</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2,024</w:t>
            </w:r>
          </w:p>
        </w:tc>
        <w:tc>
          <w:tcPr>
            <w:tcW w:w="980" w:type="dxa"/>
            <w:vAlign w:val="bottom"/>
          </w:tcPr>
          <w:p>
            <w:pPr>
              <w:jc w:val="center"/>
              <w:ind w:right="6"/>
              <w:spacing w:after="0"/>
              <w:rPr>
                <w:sz w:val="20"/>
                <w:szCs w:val="20"/>
                <w:color w:val="auto"/>
              </w:rPr>
            </w:pPr>
            <w:r>
              <w:rPr>
                <w:rFonts w:ascii="Calibri" w:cs="Calibri" w:eastAsia="Calibri" w:hAnsi="Calibri"/>
                <w:sz w:val="11"/>
                <w:szCs w:val="11"/>
                <w:color w:val="auto"/>
                <w:w w:val="95"/>
              </w:rPr>
              <w:t>6,070</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65.03</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2/28/2029</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5"/>
              </w:rPr>
              <w:t>9,226</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3"/>
              </w:rPr>
              <w:t>700,807</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680" w:type="dxa"/>
            <w:vAlign w:val="bottom"/>
          </w:tcPr>
          <w:p>
            <w:pPr>
              <w:jc w:val="center"/>
              <w:ind w:left="26"/>
              <w:spacing w:after="0"/>
              <w:rPr>
                <w:sz w:val="20"/>
                <w:szCs w:val="20"/>
                <w:color w:val="auto"/>
              </w:rPr>
            </w:pPr>
            <w:r>
              <w:rPr>
                <w:rFonts w:ascii="Calibri" w:cs="Calibri" w:eastAsia="Calibri" w:hAnsi="Calibri"/>
                <w:sz w:val="11"/>
                <w:szCs w:val="11"/>
                <w:color w:val="auto"/>
              </w:rPr>
              <w:t>2/28/2023</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7"/>
              </w:rPr>
              <w:t>13,576</w:t>
            </w:r>
          </w:p>
        </w:tc>
        <w:tc>
          <w:tcPr>
            <w:tcW w:w="420" w:type="dxa"/>
            <w:vAlign w:val="bottom"/>
          </w:tcPr>
          <w:p>
            <w:pPr>
              <w:jc w:val="center"/>
              <w:ind w:right="6"/>
              <w:spacing w:after="0"/>
              <w:rPr>
                <w:sz w:val="20"/>
                <w:szCs w:val="20"/>
                <w:color w:val="auto"/>
              </w:rPr>
            </w:pPr>
            <w:r>
              <w:rPr>
                <w:rFonts w:ascii="Calibri" w:cs="Calibri" w:eastAsia="Calibri" w:hAnsi="Calibri"/>
                <w:sz w:val="11"/>
                <w:szCs w:val="11"/>
                <w:color w:val="auto"/>
                <w:w w:val="95"/>
              </w:rPr>
              <w:t>70.58</w:t>
            </w:r>
          </w:p>
        </w:tc>
        <w:tc>
          <w:tcPr>
            <w:tcW w:w="760" w:type="dxa"/>
            <w:vAlign w:val="bottom"/>
          </w:tcPr>
          <w:p>
            <w:pPr>
              <w:jc w:val="center"/>
              <w:ind w:right="126"/>
              <w:spacing w:after="0"/>
              <w:rPr>
                <w:sz w:val="20"/>
                <w:szCs w:val="20"/>
                <w:color w:val="auto"/>
              </w:rPr>
            </w:pPr>
            <w:r>
              <w:rPr>
                <w:rFonts w:ascii="Calibri" w:cs="Calibri" w:eastAsia="Calibri" w:hAnsi="Calibri"/>
                <w:sz w:val="11"/>
                <w:szCs w:val="11"/>
                <w:color w:val="auto"/>
                <w:w w:val="96"/>
              </w:rPr>
              <w:t>2/28/2030</w:t>
            </w:r>
          </w:p>
        </w:tc>
        <w:tc>
          <w:tcPr>
            <w:tcW w:w="960" w:type="dxa"/>
            <w:vAlign w:val="bottom"/>
          </w:tcPr>
          <w:p>
            <w:pPr>
              <w:jc w:val="center"/>
              <w:ind w:left="126"/>
              <w:spacing w:after="0"/>
              <w:rPr>
                <w:sz w:val="20"/>
                <w:szCs w:val="20"/>
                <w:color w:val="auto"/>
              </w:rPr>
            </w:pPr>
            <w:r>
              <w:rPr>
                <w:rFonts w:ascii="Calibri" w:cs="Calibri" w:eastAsia="Calibri" w:hAnsi="Calibri"/>
                <w:sz w:val="11"/>
                <w:szCs w:val="11"/>
                <w:color w:val="auto"/>
                <w:w w:val="99"/>
              </w:rPr>
              <w:t>—</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9"/>
              </w:rPr>
              <w:t>—</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7"/>
              </w:rPr>
              <w:t>17,002</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4"/>
              </w:rPr>
              <w:t>1,291,472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146685</wp:posOffset>
            </wp:positionV>
            <wp:extent cx="545211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327" w:lineRule="exact"/>
        <w:rPr>
          <w:sz w:val="20"/>
          <w:szCs w:val="20"/>
          <w:color w:val="auto"/>
        </w:rPr>
      </w:pPr>
    </w:p>
    <w:p>
      <w:pPr>
        <w:ind w:left="540" w:right="279" w:hanging="331"/>
        <w:spacing w:after="0" w:line="239" w:lineRule="auto"/>
        <w:tabs>
          <w:tab w:leader="none" w:pos="540" w:val="left"/>
        </w:tabs>
        <w:numPr>
          <w:ilvl w:val="0"/>
          <w:numId w:val="86"/>
        </w:numPr>
        <w:rPr>
          <w:rFonts w:ascii="Calibri" w:cs="Calibri" w:eastAsia="Calibri" w:hAnsi="Calibri"/>
          <w:sz w:val="16"/>
          <w:szCs w:val="16"/>
          <w:color w:val="AF0000"/>
        </w:rPr>
      </w:pPr>
      <w:r>
        <w:rPr>
          <w:rFonts w:ascii="Calibri" w:cs="Calibri" w:eastAsia="Calibri" w:hAnsi="Calibri"/>
          <w:sz w:val="16"/>
          <w:szCs w:val="16"/>
          <w:color w:val="auto"/>
        </w:rPr>
        <w:t>Unvested stock opton awards granted in 2023, 2022, 2021 and 2020 vest 25% each year for four years commencing one year from the grant date. All other outstanding stock opton awards held by NEOs vest 20% each year for fve years commencing one year from the grant date.</w:t>
      </w:r>
    </w:p>
    <w:p>
      <w:pPr>
        <w:spacing w:after="0" w:line="1" w:lineRule="exact"/>
        <w:rPr>
          <w:rFonts w:ascii="Calibri" w:cs="Calibri" w:eastAsia="Calibri" w:hAnsi="Calibri"/>
          <w:sz w:val="16"/>
          <w:szCs w:val="16"/>
          <w:color w:val="AF0000"/>
        </w:rPr>
      </w:pPr>
    </w:p>
    <w:p>
      <w:pPr>
        <w:ind w:left="540" w:right="359" w:hanging="331"/>
        <w:spacing w:after="0"/>
        <w:tabs>
          <w:tab w:leader="none" w:pos="540" w:val="left"/>
        </w:tabs>
        <w:numPr>
          <w:ilvl w:val="0"/>
          <w:numId w:val="86"/>
        </w:numPr>
        <w:rPr>
          <w:rFonts w:ascii="Calibri" w:cs="Calibri" w:eastAsia="Calibri" w:hAnsi="Calibri"/>
          <w:sz w:val="16"/>
          <w:szCs w:val="16"/>
          <w:color w:val="AF0000"/>
        </w:rPr>
      </w:pPr>
      <w:r>
        <w:rPr>
          <w:rFonts w:ascii="Calibri" w:cs="Calibri" w:eastAsia="Calibri" w:hAnsi="Calibri"/>
          <w:sz w:val="16"/>
          <w:szCs w:val="16"/>
          <w:color w:val="auto"/>
        </w:rPr>
        <w:t>The market value of unvested PSUs is calculated based on a market price of $75.96 per share, which was the closing price of our Common Stock on December 31, 2023, as reported by Nasdaq.</w:t>
      </w:r>
    </w:p>
    <w:p>
      <w:pPr>
        <w:ind w:left="540" w:hanging="331"/>
        <w:spacing w:after="0" w:line="232" w:lineRule="auto"/>
        <w:tabs>
          <w:tab w:leader="none" w:pos="540" w:val="left"/>
        </w:tabs>
        <w:numPr>
          <w:ilvl w:val="0"/>
          <w:numId w:val="86"/>
        </w:numPr>
        <w:rPr>
          <w:rFonts w:ascii="Calibri" w:cs="Calibri" w:eastAsia="Calibri" w:hAnsi="Calibri"/>
          <w:sz w:val="16"/>
          <w:szCs w:val="16"/>
          <w:color w:val="AF0000"/>
        </w:rPr>
      </w:pPr>
      <w:r>
        <w:rPr>
          <w:rFonts w:ascii="Calibri" w:cs="Calibri" w:eastAsia="Calibri" w:hAnsi="Calibri"/>
          <w:sz w:val="16"/>
          <w:szCs w:val="16"/>
          <w:color w:val="auto"/>
        </w:rPr>
        <w:t>Amounts in this column represent PSUs with completed performance periods as of December 31, 2023, and for</w:t>
      </w:r>
    </w:p>
    <w:p>
      <w:pPr>
        <w:spacing w:after="0" w:line="9" w:lineRule="exact"/>
        <w:rPr>
          <w:rFonts w:ascii="Calibri" w:cs="Calibri" w:eastAsia="Calibri" w:hAnsi="Calibri"/>
          <w:sz w:val="16"/>
          <w:szCs w:val="16"/>
          <w:color w:val="AF0000"/>
        </w:rPr>
      </w:pPr>
    </w:p>
    <w:p>
      <w:pPr>
        <w:ind w:left="540" w:right="439"/>
        <w:spacing w:after="0" w:line="207" w:lineRule="auto"/>
        <w:rPr>
          <w:rFonts w:ascii="Calibri" w:cs="Calibri" w:eastAsia="Calibri" w:hAnsi="Calibri"/>
          <w:sz w:val="16"/>
          <w:szCs w:val="16"/>
          <w:color w:val="AF0000"/>
        </w:rPr>
      </w:pPr>
      <w:r>
        <w:rPr>
          <w:rFonts w:ascii="Calibri" w:cs="Calibri" w:eastAsia="Calibri" w:hAnsi="Calibri"/>
          <w:sz w:val="16"/>
          <w:szCs w:val="16"/>
          <w:color w:val="auto"/>
        </w:rPr>
        <w:t>Mr. Lampropoulos include the cash incentve of $1,333,334 for 2021 awards. The fgures shown are based upon actual achievement of the performance measures with respect to the PSU awards granted in 2021 with a three year performance period, including atainment of the maximum FCF and applicaton of the 2</w:t>
      </w:r>
      <w:r>
        <w:rPr>
          <w:rFonts w:ascii="Calibri" w:cs="Calibri" w:eastAsia="Calibri" w:hAnsi="Calibri"/>
          <w:sz w:val="24"/>
          <w:szCs w:val="24"/>
          <w:color w:val="auto"/>
          <w:vertAlign w:val="superscript"/>
        </w:rPr>
        <w:t>nd</w:t>
      </w:r>
      <w:r>
        <w:rPr>
          <w:rFonts w:ascii="Calibri" w:cs="Calibri" w:eastAsia="Calibri" w:hAnsi="Calibri"/>
          <w:sz w:val="16"/>
          <w:szCs w:val="16"/>
          <w:color w:val="auto"/>
        </w:rPr>
        <w:t xml:space="preserve"> quartle rTSR multplier. These PSUs and the underlying shares and cash incentve vested and were issued or paid, as applicable, on March 4, 2024.</w:t>
      </w:r>
    </w:p>
    <w:p>
      <w:pPr>
        <w:spacing w:after="0" w:line="2" w:lineRule="exact"/>
        <w:rPr>
          <w:rFonts w:ascii="Calibri" w:cs="Calibri" w:eastAsia="Calibri" w:hAnsi="Calibri"/>
          <w:sz w:val="16"/>
          <w:szCs w:val="16"/>
          <w:color w:val="AF0000"/>
        </w:rPr>
      </w:pPr>
    </w:p>
    <w:p>
      <w:pPr>
        <w:ind w:left="540" w:right="239" w:hanging="331"/>
        <w:spacing w:after="0" w:line="237" w:lineRule="auto"/>
        <w:tabs>
          <w:tab w:leader="none" w:pos="540" w:val="left"/>
        </w:tabs>
        <w:numPr>
          <w:ilvl w:val="0"/>
          <w:numId w:val="86"/>
        </w:numPr>
        <w:rPr>
          <w:rFonts w:ascii="Calibri" w:cs="Calibri" w:eastAsia="Calibri" w:hAnsi="Calibri"/>
          <w:sz w:val="16"/>
          <w:szCs w:val="16"/>
          <w:color w:val="AF0000"/>
        </w:rPr>
      </w:pPr>
      <w:r>
        <w:rPr>
          <w:rFonts w:ascii="Calibri" w:cs="Calibri" w:eastAsia="Calibri" w:hAnsi="Calibri"/>
          <w:sz w:val="16"/>
          <w:szCs w:val="16"/>
          <w:color w:val="auto"/>
        </w:rPr>
        <w:t>Amounts in this column represent unvested PSUs granted with incomplete performance periods as of December 31, 2023. The fgures shown assume that maximum performance is achieved with respect to PSUs issued with ongoing performance periods extending beyond 2023 (including the maximum cash incentves of $2,000,000 and $2,666,666 for awards with ongoing performance periods granted to for Mr. Lampropoulos in 2022 and 2023 respectvely) without applicaton of the rTSR multplier. The assumpton of maximum performance is based on prior year performance. If maximum performance is achieved (including the maximum rTSR multplier) the number and market value of shares and the cash incentve to be</w:t>
      </w:r>
    </w:p>
    <w:p>
      <w:pPr>
        <w:spacing w:after="0" w:line="200" w:lineRule="exact"/>
        <w:rPr>
          <w:sz w:val="20"/>
          <w:szCs w:val="20"/>
          <w:color w:val="auto"/>
        </w:rPr>
      </w:pPr>
    </w:p>
    <w:p>
      <w:pPr>
        <w:spacing w:after="0" w:line="227"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65" w:name="page66"/>
    <w:bookmarkEnd w:id="65"/>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38" w:lineRule="exact"/>
        <w:rPr>
          <w:sz w:val="20"/>
          <w:szCs w:val="20"/>
          <w:color w:val="auto"/>
        </w:rPr>
      </w:pPr>
    </w:p>
    <w:p>
      <w:pPr>
        <w:ind w:left="540"/>
        <w:spacing w:after="0"/>
        <w:rPr>
          <w:sz w:val="20"/>
          <w:szCs w:val="20"/>
          <w:color w:val="auto"/>
        </w:rPr>
      </w:pPr>
      <w:r>
        <w:rPr>
          <w:rFonts w:ascii="Calibri" w:cs="Calibri" w:eastAsia="Calibri" w:hAnsi="Calibri"/>
          <w:sz w:val="16"/>
          <w:szCs w:val="16"/>
          <w:color w:val="auto"/>
        </w:rPr>
        <w:t>issued or paid, as applicable, following vestng of these PSUs would be as follows for 2022: Mr. Lampropoulos: 30,755 Shares</w:t>
      </w:r>
    </w:p>
    <w:p>
      <w:pPr>
        <w:ind w:left="540"/>
        <w:spacing w:after="0" w:line="232" w:lineRule="auto"/>
        <w:rPr>
          <w:sz w:val="20"/>
          <w:szCs w:val="20"/>
          <w:color w:val="auto"/>
        </w:rPr>
      </w:pPr>
      <w:r>
        <w:rPr>
          <w:rFonts w:ascii="Calibri" w:cs="Calibri" w:eastAsia="Calibri" w:hAnsi="Calibri"/>
          <w:sz w:val="16"/>
          <w:szCs w:val="16"/>
          <w:color w:val="auto"/>
        </w:rPr>
        <w:t>($2,336,150) and $2,500,000 of PSU Cash Incentve (total of $4,836,150), Mr. Parra: 20,760 Shares ($1,576,930) and Messrs.</w:t>
      </w:r>
    </w:p>
    <w:p>
      <w:pPr>
        <w:spacing w:after="0" w:line="7" w:lineRule="exact"/>
        <w:rPr>
          <w:sz w:val="20"/>
          <w:szCs w:val="20"/>
          <w:color w:val="auto"/>
        </w:rPr>
      </w:pPr>
    </w:p>
    <w:p>
      <w:pPr>
        <w:ind w:left="540"/>
        <w:spacing w:after="0"/>
        <w:rPr>
          <w:sz w:val="20"/>
          <w:szCs w:val="20"/>
          <w:color w:val="auto"/>
        </w:rPr>
      </w:pPr>
      <w:r>
        <w:rPr>
          <w:rFonts w:ascii="Calibri" w:cs="Calibri" w:eastAsia="Calibri" w:hAnsi="Calibri"/>
          <w:sz w:val="16"/>
          <w:szCs w:val="16"/>
          <w:color w:val="auto"/>
        </w:rPr>
        <w:t>Wright, Lloyd and Peterson: 11,533 shares ($876,009) and for 2023: Mr. Lampropoulos: 37,783 Shares ($2,869,959) and</w:t>
      </w:r>
    </w:p>
    <w:p>
      <w:pPr>
        <w:ind w:left="540" w:right="859"/>
        <w:spacing w:after="0" w:line="232" w:lineRule="auto"/>
        <w:rPr>
          <w:sz w:val="20"/>
          <w:szCs w:val="20"/>
          <w:color w:val="auto"/>
        </w:rPr>
      </w:pPr>
      <w:r>
        <w:rPr>
          <w:rFonts w:ascii="Calibri" w:cs="Calibri" w:eastAsia="Calibri" w:hAnsi="Calibri"/>
          <w:sz w:val="16"/>
          <w:szCs w:val="16"/>
          <w:color w:val="auto"/>
        </w:rPr>
        <w:t>$3,333,333 of PSU Cash Incentve (total of $6,203,291) and Messrs. Parra, Wright, Lloyd and Peterson: 21,253 shares ($1,614,340).</w:t>
      </w:r>
    </w:p>
    <w:p>
      <w:pPr>
        <w:spacing w:after="0" w:line="163"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Opton Exercises and Stock Awards Vested</w:t>
      </w:r>
    </w:p>
    <w:p>
      <w:pPr>
        <w:spacing w:after="0" w:line="186" w:lineRule="exact"/>
        <w:rPr>
          <w:sz w:val="20"/>
          <w:szCs w:val="20"/>
          <w:color w:val="auto"/>
        </w:rPr>
      </w:pPr>
    </w:p>
    <w:p>
      <w:pPr>
        <w:ind w:left="200" w:right="599"/>
        <w:spacing w:after="0" w:line="235" w:lineRule="auto"/>
        <w:rPr>
          <w:sz w:val="20"/>
          <w:szCs w:val="20"/>
          <w:color w:val="auto"/>
        </w:rPr>
      </w:pPr>
      <w:r>
        <w:rPr>
          <w:rFonts w:ascii="Calibri" w:cs="Calibri" w:eastAsia="Calibri" w:hAnsi="Calibri"/>
          <w:sz w:val="18"/>
          <w:szCs w:val="18"/>
          <w:color w:val="auto"/>
        </w:rPr>
        <w:t>The following table provides informaton regarding stock optons exercised by each of the NEOs and restricted stock awards (PSUs) that vested during the year ended December 31, 2023.</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250"/>
        </w:trPr>
        <w:tc>
          <w:tcPr>
            <w:tcW w:w="2120" w:type="dxa"/>
            <w:vAlign w:val="bottom"/>
            <w:tcBorders>
              <w:top w:val="single" w:sz="8" w:color="AF0000"/>
            </w:tcBorders>
          </w:tcPr>
          <w:p>
            <w:pPr>
              <w:spacing w:after="0"/>
              <w:rPr>
                <w:sz w:val="21"/>
                <w:szCs w:val="21"/>
                <w:color w:val="auto"/>
              </w:rPr>
            </w:pPr>
          </w:p>
        </w:tc>
        <w:tc>
          <w:tcPr>
            <w:tcW w:w="3080" w:type="dxa"/>
            <w:vAlign w:val="bottom"/>
            <w:tcBorders>
              <w:top w:val="single" w:sz="8" w:color="AF0000"/>
              <w:bottom w:val="single" w:sz="8" w:color="AF0000"/>
            </w:tcBorders>
            <w:gridSpan w:val="2"/>
          </w:tcPr>
          <w:p>
            <w:pPr>
              <w:ind w:left="1000"/>
              <w:spacing w:after="0"/>
              <w:rPr>
                <w:sz w:val="20"/>
                <w:szCs w:val="20"/>
                <w:color w:val="auto"/>
              </w:rPr>
            </w:pPr>
            <w:r>
              <w:rPr>
                <w:rFonts w:ascii="Calibri" w:cs="Calibri" w:eastAsia="Calibri" w:hAnsi="Calibri"/>
                <w:sz w:val="18"/>
                <w:szCs w:val="18"/>
                <w:b w:val="1"/>
                <w:bCs w:val="1"/>
                <w:color w:val="auto"/>
              </w:rPr>
              <w:t>Opton Awards</w:t>
            </w:r>
          </w:p>
        </w:tc>
        <w:tc>
          <w:tcPr>
            <w:tcW w:w="260" w:type="dxa"/>
            <w:vAlign w:val="bottom"/>
            <w:tcBorders>
              <w:top w:val="single" w:sz="8" w:color="AF0000"/>
            </w:tcBorders>
          </w:tcPr>
          <w:p>
            <w:pPr>
              <w:spacing w:after="0"/>
              <w:rPr>
                <w:sz w:val="21"/>
                <w:szCs w:val="21"/>
                <w:color w:val="auto"/>
              </w:rPr>
            </w:pPr>
          </w:p>
        </w:tc>
        <w:tc>
          <w:tcPr>
            <w:tcW w:w="3120" w:type="dxa"/>
            <w:vAlign w:val="bottom"/>
            <w:tcBorders>
              <w:top w:val="single" w:sz="8" w:color="AF0000"/>
              <w:bottom w:val="single" w:sz="8" w:color="AF0000"/>
            </w:tcBorders>
            <w:gridSpan w:val="2"/>
          </w:tcPr>
          <w:p>
            <w:pPr>
              <w:ind w:left="1060"/>
              <w:spacing w:after="0"/>
              <w:rPr>
                <w:sz w:val="20"/>
                <w:szCs w:val="20"/>
                <w:color w:val="auto"/>
              </w:rPr>
            </w:pPr>
            <w:r>
              <w:rPr>
                <w:rFonts w:ascii="Calibri" w:cs="Calibri" w:eastAsia="Calibri" w:hAnsi="Calibri"/>
                <w:sz w:val="18"/>
                <w:szCs w:val="18"/>
                <w:b w:val="1"/>
                <w:bCs w:val="1"/>
                <w:color w:val="auto"/>
              </w:rPr>
              <w:t>Stock Awards</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1460" w:type="dxa"/>
            <w:vAlign w:val="bottom"/>
          </w:tcPr>
          <w:p>
            <w:pPr>
              <w:jc w:val="center"/>
              <w:spacing w:after="0" w:line="194" w:lineRule="exact"/>
              <w:rPr>
                <w:sz w:val="20"/>
                <w:szCs w:val="20"/>
                <w:color w:val="auto"/>
              </w:rPr>
            </w:pPr>
            <w:r>
              <w:rPr>
                <w:rFonts w:ascii="Calibri" w:cs="Calibri" w:eastAsia="Calibri" w:hAnsi="Calibri"/>
                <w:sz w:val="18"/>
                <w:szCs w:val="18"/>
                <w:b w:val="1"/>
                <w:bCs w:val="1"/>
                <w:color w:val="auto"/>
                <w:w w:val="96"/>
              </w:rPr>
              <w:t>Number of</w:t>
            </w:r>
          </w:p>
        </w:tc>
        <w:tc>
          <w:tcPr>
            <w:tcW w:w="1880" w:type="dxa"/>
            <w:vAlign w:val="bottom"/>
            <w:gridSpan w:val="2"/>
            <w:vMerge w:val="restart"/>
          </w:tcPr>
          <w:p>
            <w:pPr>
              <w:jc w:val="center"/>
              <w:ind w:right="180"/>
              <w:spacing w:after="0"/>
              <w:rPr>
                <w:sz w:val="20"/>
                <w:szCs w:val="20"/>
                <w:color w:val="auto"/>
              </w:rPr>
            </w:pPr>
            <w:r>
              <w:rPr>
                <w:rFonts w:ascii="Calibri" w:cs="Calibri" w:eastAsia="Calibri" w:hAnsi="Calibri"/>
                <w:sz w:val="18"/>
                <w:szCs w:val="18"/>
                <w:b w:val="1"/>
                <w:bCs w:val="1"/>
                <w:color w:val="auto"/>
                <w:w w:val="96"/>
              </w:rPr>
              <w:t>Value Realized</w:t>
            </w:r>
          </w:p>
        </w:tc>
        <w:tc>
          <w:tcPr>
            <w:tcW w:w="1480" w:type="dxa"/>
            <w:vAlign w:val="bottom"/>
          </w:tcPr>
          <w:p>
            <w:pPr>
              <w:jc w:val="center"/>
              <w:spacing w:after="0" w:line="194" w:lineRule="exact"/>
              <w:rPr>
                <w:sz w:val="20"/>
                <w:szCs w:val="20"/>
                <w:color w:val="auto"/>
              </w:rPr>
            </w:pPr>
            <w:r>
              <w:rPr>
                <w:rFonts w:ascii="Calibri" w:cs="Calibri" w:eastAsia="Calibri" w:hAnsi="Calibri"/>
                <w:sz w:val="18"/>
                <w:szCs w:val="18"/>
                <w:b w:val="1"/>
                <w:bCs w:val="1"/>
                <w:color w:val="auto"/>
                <w:w w:val="96"/>
              </w:rPr>
              <w:t>Number of</w:t>
            </w:r>
          </w:p>
        </w:tc>
        <w:tc>
          <w:tcPr>
            <w:tcW w:w="164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6"/>
              </w:rPr>
              <w:t>Value Realized</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460" w:type="dxa"/>
            <w:vAlign w:val="bottom"/>
          </w:tcPr>
          <w:p>
            <w:pPr>
              <w:jc w:val="center"/>
              <w:ind w:left="10"/>
              <w:spacing w:after="0" w:line="203" w:lineRule="exact"/>
              <w:rPr>
                <w:sz w:val="20"/>
                <w:szCs w:val="20"/>
                <w:color w:val="auto"/>
              </w:rPr>
            </w:pPr>
            <w:r>
              <w:rPr>
                <w:rFonts w:ascii="Calibri" w:cs="Calibri" w:eastAsia="Calibri" w:hAnsi="Calibri"/>
                <w:sz w:val="18"/>
                <w:szCs w:val="18"/>
                <w:b w:val="1"/>
                <w:bCs w:val="1"/>
                <w:color w:val="auto"/>
                <w:w w:val="96"/>
              </w:rPr>
              <w:t>Shares</w:t>
            </w:r>
          </w:p>
        </w:tc>
        <w:tc>
          <w:tcPr>
            <w:tcW w:w="1880" w:type="dxa"/>
            <w:vAlign w:val="bottom"/>
            <w:gridSpan w:val="2"/>
            <w:vMerge w:val="continue"/>
          </w:tcPr>
          <w:p>
            <w:pPr>
              <w:spacing w:after="0"/>
              <w:rPr>
                <w:sz w:val="17"/>
                <w:szCs w:val="17"/>
                <w:color w:val="auto"/>
              </w:rPr>
            </w:pPr>
          </w:p>
        </w:tc>
        <w:tc>
          <w:tcPr>
            <w:tcW w:w="1480" w:type="dxa"/>
            <w:vAlign w:val="bottom"/>
          </w:tcPr>
          <w:p>
            <w:pPr>
              <w:jc w:val="center"/>
              <w:spacing w:after="0" w:line="203" w:lineRule="exact"/>
              <w:rPr>
                <w:sz w:val="20"/>
                <w:szCs w:val="20"/>
                <w:color w:val="auto"/>
              </w:rPr>
            </w:pPr>
            <w:r>
              <w:rPr>
                <w:rFonts w:ascii="Calibri" w:cs="Calibri" w:eastAsia="Calibri" w:hAnsi="Calibri"/>
                <w:sz w:val="18"/>
                <w:szCs w:val="18"/>
                <w:b w:val="1"/>
                <w:bCs w:val="1"/>
                <w:color w:val="auto"/>
              </w:rPr>
              <w:t>Shares</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20" w:type="dxa"/>
            <w:vAlign w:val="bottom"/>
            <w:vMerge w:val="restart"/>
          </w:tcPr>
          <w:p>
            <w:pPr>
              <w:ind w:left="80"/>
              <w:spacing w:after="0"/>
              <w:rPr>
                <w:sz w:val="20"/>
                <w:szCs w:val="20"/>
                <w:color w:val="auto"/>
              </w:rPr>
            </w:pPr>
            <w:r>
              <w:rPr>
                <w:rFonts w:ascii="Calibri" w:cs="Calibri" w:eastAsia="Calibri" w:hAnsi="Calibri"/>
                <w:sz w:val="18"/>
                <w:szCs w:val="18"/>
                <w:b w:val="1"/>
                <w:bCs w:val="1"/>
                <w:color w:val="auto"/>
              </w:rPr>
              <w:t>Named Executve Ofcer</w:t>
            </w:r>
          </w:p>
        </w:tc>
        <w:tc>
          <w:tcPr>
            <w:tcW w:w="1460" w:type="dxa"/>
            <w:vAlign w:val="bottom"/>
          </w:tcPr>
          <w:p>
            <w:pPr>
              <w:jc w:val="center"/>
              <w:ind w:left="10"/>
              <w:spacing w:after="0"/>
              <w:rPr>
                <w:sz w:val="20"/>
                <w:szCs w:val="20"/>
                <w:color w:val="auto"/>
              </w:rPr>
            </w:pPr>
            <w:r>
              <w:rPr>
                <w:rFonts w:ascii="Calibri" w:cs="Calibri" w:eastAsia="Calibri" w:hAnsi="Calibri"/>
                <w:sz w:val="18"/>
                <w:szCs w:val="18"/>
                <w:b w:val="1"/>
                <w:bCs w:val="1"/>
                <w:color w:val="auto"/>
                <w:w w:val="96"/>
              </w:rPr>
              <w:t>Acquired on</w:t>
            </w:r>
          </w:p>
        </w:tc>
        <w:tc>
          <w:tcPr>
            <w:tcW w:w="1880" w:type="dxa"/>
            <w:vAlign w:val="bottom"/>
            <w:gridSpan w:val="2"/>
          </w:tcPr>
          <w:p>
            <w:pPr>
              <w:jc w:val="center"/>
              <w:ind w:right="180"/>
              <w:spacing w:after="0" w:line="230" w:lineRule="exact"/>
              <w:rPr>
                <w:sz w:val="20"/>
                <w:szCs w:val="20"/>
                <w:color w:val="auto"/>
              </w:rPr>
            </w:pPr>
            <w:r>
              <w:rPr>
                <w:rFonts w:ascii="Calibri" w:cs="Calibri" w:eastAsia="Calibri" w:hAnsi="Calibri"/>
                <w:sz w:val="18"/>
                <w:szCs w:val="18"/>
                <w:b w:val="1"/>
                <w:bCs w:val="1"/>
                <w:color w:val="auto"/>
                <w:w w:val="93"/>
              </w:rPr>
              <w:t xml:space="preserve">on Exercise ($) </w:t>
            </w:r>
            <w:r>
              <w:rPr>
                <w:rFonts w:ascii="Calibri" w:cs="Calibri" w:eastAsia="Calibri" w:hAnsi="Calibri"/>
                <w:sz w:val="24"/>
                <w:szCs w:val="24"/>
                <w:b w:val="1"/>
                <w:bCs w:val="1"/>
                <w:color w:val="auto"/>
                <w:w w:val="93"/>
                <w:vertAlign w:val="superscript"/>
              </w:rPr>
              <w:t>(1)</w:t>
            </w:r>
          </w:p>
        </w:tc>
        <w:tc>
          <w:tcPr>
            <w:tcW w:w="1480" w:type="dxa"/>
            <w:vAlign w:val="bottom"/>
          </w:tcPr>
          <w:p>
            <w:pPr>
              <w:jc w:val="center"/>
              <w:spacing w:after="0"/>
              <w:rPr>
                <w:sz w:val="20"/>
                <w:szCs w:val="20"/>
                <w:color w:val="auto"/>
              </w:rPr>
            </w:pPr>
            <w:r>
              <w:rPr>
                <w:rFonts w:ascii="Calibri" w:cs="Calibri" w:eastAsia="Calibri" w:hAnsi="Calibri"/>
                <w:sz w:val="18"/>
                <w:szCs w:val="18"/>
                <w:b w:val="1"/>
                <w:bCs w:val="1"/>
                <w:color w:val="auto"/>
                <w:w w:val="99"/>
              </w:rPr>
              <w:t>Acquired on</w:t>
            </w:r>
          </w:p>
        </w:tc>
        <w:tc>
          <w:tcPr>
            <w:tcW w:w="1640" w:type="dxa"/>
            <w:vAlign w:val="bottom"/>
          </w:tcPr>
          <w:p>
            <w:pPr>
              <w:jc w:val="center"/>
              <w:spacing w:after="0" w:line="230" w:lineRule="exact"/>
              <w:rPr>
                <w:sz w:val="20"/>
                <w:szCs w:val="20"/>
                <w:color w:val="auto"/>
              </w:rPr>
            </w:pPr>
            <w:r>
              <w:rPr>
                <w:rFonts w:ascii="Calibri" w:cs="Calibri" w:eastAsia="Calibri" w:hAnsi="Calibri"/>
                <w:sz w:val="18"/>
                <w:szCs w:val="18"/>
                <w:b w:val="1"/>
                <w:bCs w:val="1"/>
                <w:color w:val="auto"/>
                <w:w w:val="97"/>
              </w:rPr>
              <w:t xml:space="preserve">on Vestng ($) </w:t>
            </w:r>
            <w:r>
              <w:rPr>
                <w:rFonts w:ascii="Calibri" w:cs="Calibri" w:eastAsia="Calibri" w:hAnsi="Calibri"/>
                <w:sz w:val="24"/>
                <w:szCs w:val="24"/>
                <w:b w:val="1"/>
                <w:bCs w:val="1"/>
                <w:color w:val="auto"/>
                <w:w w:val="97"/>
                <w:vertAlign w:val="superscript"/>
              </w:rPr>
              <w:t>(2)</w:t>
            </w:r>
          </w:p>
        </w:tc>
        <w:tc>
          <w:tcPr>
            <w:tcW w:w="0" w:type="dxa"/>
            <w:vAlign w:val="bottom"/>
          </w:tcPr>
          <w:p>
            <w:pPr>
              <w:spacing w:after="0"/>
              <w:rPr>
                <w:sz w:val="1"/>
                <w:szCs w:val="1"/>
                <w:color w:val="auto"/>
              </w:rPr>
            </w:pPr>
          </w:p>
        </w:tc>
      </w:tr>
      <w:tr>
        <w:trPr>
          <w:trHeight w:val="232"/>
        </w:trPr>
        <w:tc>
          <w:tcPr>
            <w:tcW w:w="2120" w:type="dxa"/>
            <w:vAlign w:val="bottom"/>
            <w:tcBorders>
              <w:bottom w:val="single" w:sz="8" w:color="AF0000"/>
            </w:tcBorders>
            <w:vMerge w:val="continue"/>
          </w:tcPr>
          <w:p>
            <w:pPr>
              <w:spacing w:after="0"/>
              <w:rPr>
                <w:sz w:val="20"/>
                <w:szCs w:val="20"/>
                <w:color w:val="auto"/>
              </w:rPr>
            </w:pPr>
          </w:p>
        </w:tc>
        <w:tc>
          <w:tcPr>
            <w:tcW w:w="1460" w:type="dxa"/>
            <w:vAlign w:val="bottom"/>
            <w:tcBorders>
              <w:bottom w:val="single" w:sz="8" w:color="AF0000"/>
            </w:tcBorders>
          </w:tcPr>
          <w:p>
            <w:pPr>
              <w:jc w:val="center"/>
              <w:spacing w:after="0" w:line="215" w:lineRule="exact"/>
              <w:rPr>
                <w:sz w:val="20"/>
                <w:szCs w:val="20"/>
                <w:color w:val="auto"/>
              </w:rPr>
            </w:pPr>
            <w:r>
              <w:rPr>
                <w:rFonts w:ascii="Calibri" w:cs="Calibri" w:eastAsia="Calibri" w:hAnsi="Calibri"/>
                <w:sz w:val="18"/>
                <w:szCs w:val="18"/>
                <w:b w:val="1"/>
                <w:bCs w:val="1"/>
                <w:color w:val="auto"/>
                <w:w w:val="95"/>
              </w:rPr>
              <w:t>Exercise</w:t>
            </w:r>
          </w:p>
        </w:tc>
        <w:tc>
          <w:tcPr>
            <w:tcW w:w="1620" w:type="dxa"/>
            <w:vAlign w:val="bottom"/>
            <w:tcBorders>
              <w:bottom w:val="single" w:sz="8" w:color="AF0000"/>
            </w:tcBorders>
          </w:tcPr>
          <w:p>
            <w:pPr>
              <w:spacing w:after="0"/>
              <w:rPr>
                <w:sz w:val="20"/>
                <w:szCs w:val="20"/>
                <w:color w:val="auto"/>
              </w:rPr>
            </w:pPr>
          </w:p>
        </w:tc>
        <w:tc>
          <w:tcPr>
            <w:tcW w:w="260" w:type="dxa"/>
            <w:vAlign w:val="bottom"/>
            <w:tcBorders>
              <w:bottom w:val="single" w:sz="8" w:color="AF0000"/>
            </w:tcBorders>
          </w:tcPr>
          <w:p>
            <w:pPr>
              <w:spacing w:after="0"/>
              <w:rPr>
                <w:sz w:val="20"/>
                <w:szCs w:val="20"/>
                <w:color w:val="auto"/>
              </w:rPr>
            </w:pPr>
          </w:p>
        </w:tc>
        <w:tc>
          <w:tcPr>
            <w:tcW w:w="1480" w:type="dxa"/>
            <w:vAlign w:val="bottom"/>
            <w:tcBorders>
              <w:bottom w:val="single" w:sz="8" w:color="AF0000"/>
            </w:tcBorders>
          </w:tcPr>
          <w:p>
            <w:pPr>
              <w:jc w:val="center"/>
              <w:spacing w:after="0" w:line="215" w:lineRule="exact"/>
              <w:rPr>
                <w:sz w:val="20"/>
                <w:szCs w:val="20"/>
                <w:color w:val="auto"/>
              </w:rPr>
            </w:pPr>
            <w:r>
              <w:rPr>
                <w:rFonts w:ascii="Calibri" w:cs="Calibri" w:eastAsia="Calibri" w:hAnsi="Calibri"/>
                <w:sz w:val="18"/>
                <w:szCs w:val="18"/>
                <w:b w:val="1"/>
                <w:bCs w:val="1"/>
                <w:color w:val="auto"/>
              </w:rPr>
              <w:t>Vestng</w:t>
            </w:r>
          </w:p>
        </w:tc>
        <w:tc>
          <w:tcPr>
            <w:tcW w:w="1640" w:type="dxa"/>
            <w:vAlign w:val="bottom"/>
            <w:tcBorders>
              <w:bottom w:val="single" w:sz="8" w:color="AF0000"/>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2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Fred P. Lampropoulos</w:t>
            </w:r>
          </w:p>
        </w:tc>
        <w:tc>
          <w:tcPr>
            <w:tcW w:w="1460" w:type="dxa"/>
            <w:vAlign w:val="bottom"/>
            <w:tcBorders>
              <w:bottom w:val="single" w:sz="8" w:color="A6A6A6"/>
            </w:tcBorders>
          </w:tcPr>
          <w:p>
            <w:pPr>
              <w:jc w:val="center"/>
              <w:spacing w:after="0" w:line="215" w:lineRule="exact"/>
              <w:rPr>
                <w:sz w:val="20"/>
                <w:szCs w:val="20"/>
                <w:color w:val="auto"/>
              </w:rPr>
            </w:pPr>
            <w:r>
              <w:rPr>
                <w:rFonts w:ascii="Calibri" w:cs="Calibri" w:eastAsia="Calibri" w:hAnsi="Calibri"/>
                <w:sz w:val="18"/>
                <w:szCs w:val="18"/>
                <w:color w:val="auto"/>
                <w:w w:val="97"/>
              </w:rPr>
              <w:t>200,000</w:t>
            </w:r>
          </w:p>
        </w:tc>
        <w:tc>
          <w:tcPr>
            <w:tcW w:w="1620" w:type="dxa"/>
            <w:vAlign w:val="bottom"/>
            <w:tcBorders>
              <w:bottom w:val="single" w:sz="8" w:color="A6A6A6"/>
            </w:tcBorders>
          </w:tcPr>
          <w:p>
            <w:pPr>
              <w:jc w:val="center"/>
              <w:spacing w:after="0" w:line="215" w:lineRule="exact"/>
              <w:rPr>
                <w:sz w:val="20"/>
                <w:szCs w:val="20"/>
                <w:color w:val="auto"/>
              </w:rPr>
            </w:pPr>
            <w:r>
              <w:rPr>
                <w:rFonts w:ascii="Calibri" w:cs="Calibri" w:eastAsia="Calibri" w:hAnsi="Calibri"/>
                <w:sz w:val="18"/>
                <w:szCs w:val="18"/>
                <w:color w:val="auto"/>
                <w:w w:val="95"/>
              </w:rPr>
              <w:t>7,798,000</w:t>
            </w:r>
          </w:p>
        </w:tc>
        <w:tc>
          <w:tcPr>
            <w:tcW w:w="260" w:type="dxa"/>
            <w:vAlign w:val="bottom"/>
            <w:tcBorders>
              <w:bottom w:val="single" w:sz="8" w:color="A6A6A6"/>
            </w:tcBorders>
          </w:tcPr>
          <w:p>
            <w:pPr>
              <w:spacing w:after="0"/>
              <w:rPr>
                <w:sz w:val="18"/>
                <w:szCs w:val="18"/>
                <w:color w:val="auto"/>
              </w:rPr>
            </w:pPr>
          </w:p>
        </w:tc>
        <w:tc>
          <w:tcPr>
            <w:tcW w:w="1480" w:type="dxa"/>
            <w:vAlign w:val="bottom"/>
            <w:tcBorders>
              <w:bottom w:val="single" w:sz="8" w:color="A6A6A6"/>
            </w:tcBorders>
          </w:tcPr>
          <w:p>
            <w:pPr>
              <w:jc w:val="center"/>
              <w:spacing w:after="0" w:line="215" w:lineRule="exact"/>
              <w:rPr>
                <w:sz w:val="20"/>
                <w:szCs w:val="20"/>
                <w:color w:val="auto"/>
              </w:rPr>
            </w:pPr>
            <w:r>
              <w:rPr>
                <w:rFonts w:ascii="Calibri" w:cs="Calibri" w:eastAsia="Calibri" w:hAnsi="Calibri"/>
                <w:sz w:val="18"/>
                <w:szCs w:val="18"/>
                <w:color w:val="auto"/>
                <w:w w:val="99"/>
              </w:rPr>
              <w:t>27,159</w:t>
            </w:r>
          </w:p>
        </w:tc>
        <w:tc>
          <w:tcPr>
            <w:tcW w:w="1640" w:type="dxa"/>
            <w:vAlign w:val="bottom"/>
            <w:tcBorders>
              <w:bottom w:val="single" w:sz="8" w:color="A6A6A6"/>
            </w:tcBorders>
          </w:tcPr>
          <w:p>
            <w:pPr>
              <w:jc w:val="center"/>
              <w:spacing w:after="0" w:line="215" w:lineRule="exact"/>
              <w:rPr>
                <w:sz w:val="20"/>
                <w:szCs w:val="20"/>
                <w:color w:val="auto"/>
              </w:rPr>
            </w:pPr>
            <w:r>
              <w:rPr>
                <w:rFonts w:ascii="Calibri" w:cs="Calibri" w:eastAsia="Calibri" w:hAnsi="Calibri"/>
                <w:sz w:val="18"/>
                <w:szCs w:val="18"/>
                <w:color w:val="auto"/>
                <w:w w:val="95"/>
              </w:rPr>
              <w:t>1,916,918</w:t>
            </w:r>
          </w:p>
        </w:tc>
        <w:tc>
          <w:tcPr>
            <w:tcW w:w="0" w:type="dxa"/>
            <w:vAlign w:val="bottom"/>
          </w:tcPr>
          <w:p>
            <w:pPr>
              <w:spacing w:after="0"/>
              <w:rPr>
                <w:sz w:val="1"/>
                <w:szCs w:val="1"/>
                <w:color w:val="auto"/>
              </w:rPr>
            </w:pPr>
          </w:p>
        </w:tc>
      </w:tr>
      <w:tr>
        <w:trPr>
          <w:trHeight w:val="209"/>
        </w:trPr>
        <w:tc>
          <w:tcPr>
            <w:tcW w:w="212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Raul Parra</w:t>
            </w:r>
          </w:p>
        </w:tc>
        <w:tc>
          <w:tcPr>
            <w:tcW w:w="1460" w:type="dxa"/>
            <w:vAlign w:val="bottom"/>
            <w:tcBorders>
              <w:bottom w:val="single" w:sz="8" w:color="A6A6A6"/>
            </w:tcBorders>
          </w:tcPr>
          <w:p>
            <w:pPr>
              <w:jc w:val="center"/>
              <w:ind w:left="10"/>
              <w:spacing w:after="0" w:line="209" w:lineRule="exact"/>
              <w:rPr>
                <w:sz w:val="20"/>
                <w:szCs w:val="20"/>
                <w:color w:val="auto"/>
              </w:rPr>
            </w:pPr>
            <w:r>
              <w:rPr>
                <w:rFonts w:ascii="Calibri" w:cs="Calibri" w:eastAsia="Calibri" w:hAnsi="Calibri"/>
                <w:sz w:val="18"/>
                <w:szCs w:val="18"/>
                <w:color w:val="auto"/>
                <w:w w:val="97"/>
              </w:rPr>
              <w:t>6,000</w:t>
            </w:r>
          </w:p>
        </w:tc>
        <w:tc>
          <w:tcPr>
            <w:tcW w:w="162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193,740</w:t>
            </w:r>
          </w:p>
        </w:tc>
        <w:tc>
          <w:tcPr>
            <w:tcW w:w="260" w:type="dxa"/>
            <w:vAlign w:val="bottom"/>
            <w:tcBorders>
              <w:bottom w:val="single" w:sz="8" w:color="A6A6A6"/>
            </w:tcBorders>
          </w:tcPr>
          <w:p>
            <w:pPr>
              <w:spacing w:after="0"/>
              <w:rPr>
                <w:sz w:val="18"/>
                <w:szCs w:val="18"/>
                <w:color w:val="auto"/>
              </w:rPr>
            </w:pPr>
          </w:p>
        </w:tc>
        <w:tc>
          <w:tcPr>
            <w:tcW w:w="14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10,183</w:t>
            </w:r>
          </w:p>
        </w:tc>
        <w:tc>
          <w:tcPr>
            <w:tcW w:w="164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718,751</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Neil W. Peterson</w:t>
            </w:r>
          </w:p>
        </w:tc>
        <w:tc>
          <w:tcPr>
            <w:tcW w:w="146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16,000</w:t>
            </w:r>
          </w:p>
        </w:tc>
        <w:tc>
          <w:tcPr>
            <w:tcW w:w="162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642,086</w:t>
            </w:r>
          </w:p>
        </w:tc>
        <w:tc>
          <w:tcPr>
            <w:tcW w:w="260" w:type="dxa"/>
            <w:vAlign w:val="bottom"/>
            <w:tcBorders>
              <w:bottom w:val="single" w:sz="8" w:color="A6A6A6"/>
            </w:tcBorders>
          </w:tcPr>
          <w:p>
            <w:pPr>
              <w:spacing w:after="0"/>
              <w:rPr>
                <w:sz w:val="18"/>
                <w:szCs w:val="18"/>
                <w:color w:val="auto"/>
              </w:rPr>
            </w:pPr>
          </w:p>
        </w:tc>
        <w:tc>
          <w:tcPr>
            <w:tcW w:w="14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rPr>
              <w:t>—</w:t>
            </w:r>
          </w:p>
        </w:tc>
        <w:tc>
          <w:tcPr>
            <w:tcW w:w="164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9"/>
        </w:trPr>
        <w:tc>
          <w:tcPr>
            <w:tcW w:w="212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Joseph C. Wright</w:t>
            </w:r>
          </w:p>
        </w:tc>
        <w:tc>
          <w:tcPr>
            <w:tcW w:w="1460" w:type="dxa"/>
            <w:vAlign w:val="bottom"/>
            <w:tcBorders>
              <w:bottom w:val="single" w:sz="8" w:color="A6A6A6"/>
            </w:tcBorders>
          </w:tcPr>
          <w:p>
            <w:pPr>
              <w:jc w:val="center"/>
              <w:ind w:left="10"/>
              <w:spacing w:after="0" w:line="209" w:lineRule="exact"/>
              <w:rPr>
                <w:sz w:val="20"/>
                <w:szCs w:val="20"/>
                <w:color w:val="auto"/>
              </w:rPr>
            </w:pPr>
            <w:r>
              <w:rPr>
                <w:rFonts w:ascii="Calibri" w:cs="Calibri" w:eastAsia="Calibri" w:hAnsi="Calibri"/>
                <w:sz w:val="18"/>
                <w:szCs w:val="18"/>
                <w:color w:val="auto"/>
                <w:w w:val="97"/>
              </w:rPr>
              <w:t>—</w:t>
            </w:r>
          </w:p>
        </w:tc>
        <w:tc>
          <w:tcPr>
            <w:tcW w:w="1880" w:type="dxa"/>
            <w:vAlign w:val="bottom"/>
            <w:tcBorders>
              <w:bottom w:val="single" w:sz="8" w:color="A6A6A6"/>
            </w:tcBorders>
            <w:gridSpan w:val="2"/>
          </w:tcPr>
          <w:p>
            <w:pPr>
              <w:jc w:val="center"/>
              <w:ind w:right="160"/>
              <w:spacing w:after="0" w:line="209" w:lineRule="exact"/>
              <w:rPr>
                <w:sz w:val="20"/>
                <w:szCs w:val="20"/>
                <w:color w:val="auto"/>
              </w:rPr>
            </w:pPr>
            <w:r>
              <w:rPr>
                <w:rFonts w:ascii="Calibri" w:cs="Calibri" w:eastAsia="Calibri" w:hAnsi="Calibri"/>
                <w:sz w:val="18"/>
                <w:szCs w:val="18"/>
                <w:color w:val="auto"/>
                <w:w w:val="97"/>
              </w:rPr>
              <w:t>—</w:t>
            </w:r>
          </w:p>
        </w:tc>
        <w:tc>
          <w:tcPr>
            <w:tcW w:w="14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10,183</w:t>
            </w:r>
          </w:p>
        </w:tc>
        <w:tc>
          <w:tcPr>
            <w:tcW w:w="164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718,751</w:t>
            </w:r>
          </w:p>
        </w:tc>
        <w:tc>
          <w:tcPr>
            <w:tcW w:w="0" w:type="dxa"/>
            <w:vAlign w:val="bottom"/>
          </w:tcPr>
          <w:p>
            <w:pPr>
              <w:spacing w:after="0"/>
              <w:rPr>
                <w:sz w:val="1"/>
                <w:szCs w:val="1"/>
                <w:color w:val="auto"/>
              </w:rPr>
            </w:pPr>
          </w:p>
        </w:tc>
      </w:tr>
      <w:tr>
        <w:trPr>
          <w:trHeight w:val="209"/>
        </w:trPr>
        <w:tc>
          <w:tcPr>
            <w:tcW w:w="212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Brian G. Lloyd</w:t>
            </w:r>
          </w:p>
        </w:tc>
        <w:tc>
          <w:tcPr>
            <w:tcW w:w="1460" w:type="dxa"/>
            <w:vAlign w:val="bottom"/>
            <w:tcBorders>
              <w:bottom w:val="single" w:sz="8" w:color="A6A6A6"/>
            </w:tcBorders>
          </w:tcPr>
          <w:p>
            <w:pPr>
              <w:jc w:val="center"/>
              <w:ind w:left="10"/>
              <w:spacing w:after="0" w:line="209" w:lineRule="exact"/>
              <w:rPr>
                <w:sz w:val="20"/>
                <w:szCs w:val="20"/>
                <w:color w:val="auto"/>
              </w:rPr>
            </w:pPr>
            <w:r>
              <w:rPr>
                <w:rFonts w:ascii="Calibri" w:cs="Calibri" w:eastAsia="Calibri" w:hAnsi="Calibri"/>
                <w:sz w:val="18"/>
                <w:szCs w:val="18"/>
                <w:color w:val="auto"/>
                <w:w w:val="97"/>
              </w:rPr>
              <w:t>—</w:t>
            </w:r>
          </w:p>
        </w:tc>
        <w:tc>
          <w:tcPr>
            <w:tcW w:w="1880" w:type="dxa"/>
            <w:vAlign w:val="bottom"/>
            <w:tcBorders>
              <w:bottom w:val="single" w:sz="8" w:color="A6A6A6"/>
            </w:tcBorders>
            <w:gridSpan w:val="2"/>
          </w:tcPr>
          <w:p>
            <w:pPr>
              <w:jc w:val="center"/>
              <w:ind w:right="160"/>
              <w:spacing w:after="0" w:line="209" w:lineRule="exact"/>
              <w:rPr>
                <w:sz w:val="20"/>
                <w:szCs w:val="20"/>
                <w:color w:val="auto"/>
              </w:rPr>
            </w:pPr>
            <w:r>
              <w:rPr>
                <w:rFonts w:ascii="Calibri" w:cs="Calibri" w:eastAsia="Calibri" w:hAnsi="Calibri"/>
                <w:sz w:val="18"/>
                <w:szCs w:val="18"/>
                <w:color w:val="auto"/>
                <w:w w:val="97"/>
              </w:rPr>
              <w:t>—</w:t>
            </w:r>
          </w:p>
        </w:tc>
        <w:tc>
          <w:tcPr>
            <w:tcW w:w="148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10,183</w:t>
            </w:r>
          </w:p>
        </w:tc>
        <w:tc>
          <w:tcPr>
            <w:tcW w:w="164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718,751</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40" w:right="359" w:hanging="331"/>
        <w:spacing w:after="0" w:line="239" w:lineRule="auto"/>
        <w:tabs>
          <w:tab w:leader="none" w:pos="540" w:val="left"/>
        </w:tabs>
        <w:numPr>
          <w:ilvl w:val="0"/>
          <w:numId w:val="87"/>
        </w:numPr>
        <w:rPr>
          <w:rFonts w:ascii="Calibri" w:cs="Calibri" w:eastAsia="Calibri" w:hAnsi="Calibri"/>
          <w:sz w:val="16"/>
          <w:szCs w:val="16"/>
          <w:color w:val="AF0000"/>
        </w:rPr>
      </w:pPr>
      <w:r>
        <w:rPr>
          <w:rFonts w:ascii="Calibri" w:cs="Calibri" w:eastAsia="Calibri" w:hAnsi="Calibri"/>
          <w:sz w:val="16"/>
          <w:szCs w:val="16"/>
          <w:color w:val="auto"/>
        </w:rPr>
        <w:t>The reported value for this column is determined by multplying the number of shares acquired upon the exercise of the applicable opton by the diference between the market price of our Common Stock on the date of exercise and the exercise price of the stock opton. The value is stated before payment of applicable taxes.</w:t>
      </w:r>
    </w:p>
    <w:p>
      <w:pPr>
        <w:spacing w:after="0" w:line="1" w:lineRule="exact"/>
        <w:rPr>
          <w:rFonts w:ascii="Calibri" w:cs="Calibri" w:eastAsia="Calibri" w:hAnsi="Calibri"/>
          <w:sz w:val="16"/>
          <w:szCs w:val="16"/>
          <w:color w:val="AF0000"/>
        </w:rPr>
      </w:pPr>
    </w:p>
    <w:p>
      <w:pPr>
        <w:ind w:left="540" w:right="419" w:hanging="331"/>
        <w:spacing w:after="0" w:line="232" w:lineRule="auto"/>
        <w:tabs>
          <w:tab w:leader="none" w:pos="540" w:val="left"/>
        </w:tabs>
        <w:numPr>
          <w:ilvl w:val="0"/>
          <w:numId w:val="87"/>
        </w:numPr>
        <w:rPr>
          <w:rFonts w:ascii="Calibri" w:cs="Calibri" w:eastAsia="Calibri" w:hAnsi="Calibri"/>
          <w:sz w:val="16"/>
          <w:szCs w:val="16"/>
          <w:color w:val="AF0000"/>
        </w:rPr>
      </w:pPr>
      <w:r>
        <w:rPr>
          <w:rFonts w:ascii="Calibri" w:cs="Calibri" w:eastAsia="Calibri" w:hAnsi="Calibri"/>
          <w:sz w:val="16"/>
          <w:szCs w:val="16"/>
          <w:color w:val="auto"/>
        </w:rPr>
        <w:t>The reported value for this column is determined by multplying the number of shares acquired upon vestng by the closing price of the Company’s shares on the date of vestng. The value is stated before payment of applicable taxes.</w:t>
      </w:r>
    </w:p>
    <w:p>
      <w:pPr>
        <w:spacing w:after="0" w:line="163"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Non-Qualifed Deferred Compensaton</w:t>
      </w:r>
    </w:p>
    <w:p>
      <w:pPr>
        <w:spacing w:after="0" w:line="199" w:lineRule="exact"/>
        <w:rPr>
          <w:sz w:val="20"/>
          <w:szCs w:val="20"/>
          <w:color w:val="auto"/>
        </w:rPr>
      </w:pPr>
    </w:p>
    <w:p>
      <w:pPr>
        <w:ind w:left="200" w:right="239"/>
        <w:spacing w:after="0" w:line="233" w:lineRule="auto"/>
        <w:rPr>
          <w:sz w:val="20"/>
          <w:szCs w:val="20"/>
          <w:color w:val="auto"/>
        </w:rPr>
      </w:pPr>
      <w:r>
        <w:rPr>
          <w:rFonts w:ascii="Calibri" w:cs="Calibri" w:eastAsia="Calibri" w:hAnsi="Calibri"/>
          <w:sz w:val="18"/>
          <w:szCs w:val="18"/>
          <w:color w:val="auto"/>
        </w:rPr>
        <w:t>Pursuant to the Merit Medical Systems, Inc. Deferred Compensaton Plan (</w:t>
      </w:r>
      <w:r>
        <w:rPr>
          <w:rFonts w:ascii="Calibri" w:cs="Calibri" w:eastAsia="Calibri" w:hAnsi="Calibri"/>
          <w:sz w:val="18"/>
          <w:szCs w:val="18"/>
          <w:u w:val="single" w:color="auto"/>
          <w:color w:val="AF0000"/>
        </w:rPr>
        <w:t>Deferred Compensaton Plan</w:t>
      </w:r>
      <w:r>
        <w:rPr>
          <w:rFonts w:ascii="Calibri" w:cs="Calibri" w:eastAsia="Calibri" w:hAnsi="Calibri"/>
          <w:sz w:val="18"/>
          <w:szCs w:val="18"/>
          <w:color w:val="auto"/>
        </w:rPr>
        <w:t>), NEOs may elect prior to the beginning of each calendar year to defer the receipt of base salary and bonuses earned for the ensuing calendar year. Amounts deferred are credited to an unfunded liability account maintained by the Company on behalf of the applicable NEO, which account is deemed invested in and earns a rate of return based upon certain notatonal, self-directed investment optons ofered under the Deferred Compensaton Plan. The NEOs’ accounts under the Deferred Compensaton Plan may also be credited with a discretonary employer matching contributon, although no such discretonary contributon was made for 2023 or at any other tme since the Deferred Compensaton Plan’s incepton. Partcipant account balances under the Deferred Compensaton Plan are fully-vested and will be paid by the Company to each NEO upon retrement or separaton from employment, or on other specifed dates, in a lump sum form or in installments according to a schedule elected in advance by the partcipant. The following table sets forth certain informaton regarding the account balance and amounts with respect to the NEOs who partcipated in the Deferred Compensaton Plan during 2023.</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820" w:type="dxa"/>
            <w:vAlign w:val="bottom"/>
            <w:tcBorders>
              <w:top w:val="single" w:sz="8" w:color="AF0000"/>
            </w:tcBorders>
          </w:tcPr>
          <w:p>
            <w:pPr>
              <w:spacing w:after="0"/>
              <w:rPr>
                <w:sz w:val="15"/>
                <w:szCs w:val="15"/>
                <w:color w:val="auto"/>
              </w:rPr>
            </w:pPr>
          </w:p>
        </w:tc>
        <w:tc>
          <w:tcPr>
            <w:tcW w:w="1460" w:type="dxa"/>
            <w:vAlign w:val="bottom"/>
            <w:tcBorders>
              <w:top w:val="single" w:sz="8" w:color="AF0000"/>
            </w:tcBorders>
          </w:tcPr>
          <w:p>
            <w:pPr>
              <w:jc w:val="center"/>
              <w:ind w:left="4"/>
              <w:spacing w:after="0"/>
              <w:rPr>
                <w:sz w:val="20"/>
                <w:szCs w:val="20"/>
                <w:color w:val="auto"/>
              </w:rPr>
            </w:pPr>
            <w:r>
              <w:rPr>
                <w:rFonts w:ascii="Calibri" w:cs="Calibri" w:eastAsia="Calibri" w:hAnsi="Calibri"/>
                <w:sz w:val="14"/>
                <w:szCs w:val="14"/>
                <w:b w:val="1"/>
                <w:bCs w:val="1"/>
                <w:color w:val="auto"/>
              </w:rPr>
              <w:t>Executve</w:t>
            </w:r>
          </w:p>
        </w:tc>
        <w:tc>
          <w:tcPr>
            <w:tcW w:w="1300" w:type="dxa"/>
            <w:vAlign w:val="bottom"/>
            <w:tcBorders>
              <w:top w:val="single" w:sz="8" w:color="AF0000"/>
            </w:tcBorders>
          </w:tcPr>
          <w:p>
            <w:pPr>
              <w:jc w:val="center"/>
              <w:spacing w:after="0"/>
              <w:rPr>
                <w:sz w:val="20"/>
                <w:szCs w:val="20"/>
                <w:color w:val="auto"/>
              </w:rPr>
            </w:pPr>
            <w:r>
              <w:rPr>
                <w:rFonts w:ascii="Calibri" w:cs="Calibri" w:eastAsia="Calibri" w:hAnsi="Calibri"/>
                <w:sz w:val="14"/>
                <w:szCs w:val="14"/>
                <w:b w:val="1"/>
                <w:bCs w:val="1"/>
                <w:color w:val="auto"/>
              </w:rPr>
              <w:t>Registrant</w:t>
            </w:r>
          </w:p>
        </w:tc>
        <w:tc>
          <w:tcPr>
            <w:tcW w:w="1420" w:type="dxa"/>
            <w:vAlign w:val="bottom"/>
            <w:tcBorders>
              <w:top w:val="single" w:sz="8" w:color="AF0000"/>
            </w:tcBorders>
          </w:tcPr>
          <w:p>
            <w:pPr>
              <w:spacing w:after="0"/>
              <w:rPr>
                <w:sz w:val="15"/>
                <w:szCs w:val="15"/>
                <w:color w:val="auto"/>
              </w:rPr>
            </w:pPr>
          </w:p>
        </w:tc>
        <w:tc>
          <w:tcPr>
            <w:tcW w:w="1220" w:type="dxa"/>
            <w:vAlign w:val="bottom"/>
            <w:tcBorders>
              <w:top w:val="single" w:sz="8" w:color="AF0000"/>
            </w:tcBorders>
          </w:tcPr>
          <w:p>
            <w:pPr>
              <w:jc w:val="center"/>
              <w:ind w:right="24"/>
              <w:spacing w:after="0"/>
              <w:rPr>
                <w:sz w:val="20"/>
                <w:szCs w:val="20"/>
                <w:color w:val="auto"/>
              </w:rPr>
            </w:pPr>
            <w:r>
              <w:rPr>
                <w:rFonts w:ascii="Calibri" w:cs="Calibri" w:eastAsia="Calibri" w:hAnsi="Calibri"/>
                <w:sz w:val="14"/>
                <w:szCs w:val="14"/>
                <w:b w:val="1"/>
                <w:bCs w:val="1"/>
                <w:color w:val="auto"/>
              </w:rPr>
              <w:t>Aggregate</w:t>
            </w:r>
          </w:p>
        </w:tc>
        <w:tc>
          <w:tcPr>
            <w:tcW w:w="1360" w:type="dxa"/>
            <w:vAlign w:val="bottom"/>
            <w:tcBorders>
              <w:top w:val="single" w:sz="8" w:color="AF0000"/>
            </w:tcBorders>
          </w:tcPr>
          <w:p>
            <w:pPr>
              <w:jc w:val="center"/>
              <w:spacing w:after="0"/>
              <w:rPr>
                <w:sz w:val="20"/>
                <w:szCs w:val="20"/>
                <w:color w:val="auto"/>
              </w:rPr>
            </w:pPr>
            <w:r>
              <w:rPr>
                <w:rFonts w:ascii="Calibri" w:cs="Calibri" w:eastAsia="Calibri" w:hAnsi="Calibri"/>
                <w:sz w:val="14"/>
                <w:szCs w:val="14"/>
                <w:b w:val="1"/>
                <w:bCs w:val="1"/>
                <w:color w:val="auto"/>
              </w:rPr>
              <w:t>Aggregate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alibri" w:cs="Calibri" w:eastAsia="Calibri" w:hAnsi="Calibri"/>
                <w:sz w:val="14"/>
                <w:szCs w:val="14"/>
                <w:b w:val="1"/>
                <w:bCs w:val="1"/>
                <w:color w:val="auto"/>
              </w:rPr>
              <w:t>Contributons in</w:t>
            </w:r>
          </w:p>
        </w:tc>
        <w:tc>
          <w:tcPr>
            <w:tcW w:w="1300" w:type="dxa"/>
            <w:vAlign w:val="bottom"/>
          </w:tcPr>
          <w:p>
            <w:pPr>
              <w:jc w:val="center"/>
              <w:spacing w:after="0"/>
              <w:rPr>
                <w:sz w:val="20"/>
                <w:szCs w:val="20"/>
                <w:color w:val="auto"/>
              </w:rPr>
            </w:pPr>
            <w:r>
              <w:rPr>
                <w:rFonts w:ascii="Calibri" w:cs="Calibri" w:eastAsia="Calibri" w:hAnsi="Calibri"/>
                <w:sz w:val="14"/>
                <w:szCs w:val="14"/>
                <w:b w:val="1"/>
                <w:bCs w:val="1"/>
                <w:color w:val="auto"/>
              </w:rPr>
              <w:t>Contributons in</w:t>
            </w:r>
          </w:p>
        </w:tc>
        <w:tc>
          <w:tcPr>
            <w:tcW w:w="1420" w:type="dxa"/>
            <w:vAlign w:val="bottom"/>
          </w:tcPr>
          <w:p>
            <w:pPr>
              <w:jc w:val="center"/>
              <w:spacing w:after="0"/>
              <w:rPr>
                <w:sz w:val="20"/>
                <w:szCs w:val="20"/>
                <w:color w:val="auto"/>
              </w:rPr>
            </w:pPr>
            <w:r>
              <w:rPr>
                <w:rFonts w:ascii="Calibri" w:cs="Calibri" w:eastAsia="Calibri" w:hAnsi="Calibri"/>
                <w:sz w:val="14"/>
                <w:szCs w:val="14"/>
                <w:b w:val="1"/>
                <w:bCs w:val="1"/>
                <w:color w:val="auto"/>
              </w:rPr>
              <w:t>Aggregate Earnings</w:t>
            </w:r>
          </w:p>
        </w:tc>
        <w:tc>
          <w:tcPr>
            <w:tcW w:w="1220" w:type="dxa"/>
            <w:vAlign w:val="bottom"/>
          </w:tcPr>
          <w:p>
            <w:pPr>
              <w:jc w:val="center"/>
              <w:ind w:right="4"/>
              <w:spacing w:after="0"/>
              <w:rPr>
                <w:sz w:val="20"/>
                <w:szCs w:val="20"/>
                <w:color w:val="auto"/>
              </w:rPr>
            </w:pPr>
            <w:r>
              <w:rPr>
                <w:rFonts w:ascii="Calibri" w:cs="Calibri" w:eastAsia="Calibri" w:hAnsi="Calibri"/>
                <w:sz w:val="14"/>
                <w:szCs w:val="14"/>
                <w:b w:val="1"/>
                <w:bCs w:val="1"/>
                <w:color w:val="auto"/>
              </w:rPr>
              <w:t>Withdrawals /</w:t>
            </w:r>
          </w:p>
        </w:tc>
        <w:tc>
          <w:tcPr>
            <w:tcW w:w="1360" w:type="dxa"/>
            <w:vAlign w:val="bottom"/>
          </w:tcPr>
          <w:p>
            <w:pPr>
              <w:jc w:val="center"/>
              <w:spacing w:after="0"/>
              <w:rPr>
                <w:sz w:val="20"/>
                <w:szCs w:val="20"/>
                <w:color w:val="auto"/>
              </w:rPr>
            </w:pPr>
            <w:r>
              <w:rPr>
                <w:rFonts w:ascii="Calibri" w:cs="Calibri" w:eastAsia="Calibri" w:hAnsi="Calibri"/>
                <w:sz w:val="14"/>
                <w:szCs w:val="14"/>
                <w:b w:val="1"/>
                <w:bCs w:val="1"/>
                <w:color w:val="auto"/>
              </w:rPr>
              <w:t>Balance at Last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6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Last Fiscal Year</w:t>
            </w:r>
          </w:p>
        </w:tc>
        <w:tc>
          <w:tcPr>
            <w:tcW w:w="130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Last Fiscal Year</w:t>
            </w:r>
          </w:p>
        </w:tc>
        <w:tc>
          <w:tcPr>
            <w:tcW w:w="142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in Last Fiscal Year</w:t>
            </w:r>
          </w:p>
        </w:tc>
        <w:tc>
          <w:tcPr>
            <w:tcW w:w="122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Distributons</w:t>
            </w:r>
          </w:p>
        </w:tc>
        <w:tc>
          <w:tcPr>
            <w:tcW w:w="136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Fiscal Years End</w:t>
            </w:r>
          </w:p>
        </w:tc>
        <w:tc>
          <w:tcPr>
            <w:tcW w:w="0" w:type="dxa"/>
            <w:vAlign w:val="bottom"/>
          </w:tcPr>
          <w:p>
            <w:pPr>
              <w:spacing w:after="0"/>
              <w:rPr>
                <w:sz w:val="1"/>
                <w:szCs w:val="1"/>
                <w:color w:val="auto"/>
              </w:rPr>
            </w:pPr>
          </w:p>
        </w:tc>
      </w:tr>
      <w:tr>
        <w:trPr>
          <w:trHeight w:val="289"/>
        </w:trPr>
        <w:tc>
          <w:tcPr>
            <w:tcW w:w="1840" w:type="dxa"/>
            <w:vAlign w:val="bottom"/>
            <w:gridSpan w:val="2"/>
            <w:vMerge w:val="restart"/>
          </w:tcPr>
          <w:p>
            <w:pPr>
              <w:spacing w:after="0"/>
              <w:rPr>
                <w:sz w:val="20"/>
                <w:szCs w:val="20"/>
                <w:color w:val="auto"/>
              </w:rPr>
            </w:pPr>
            <w:r>
              <w:rPr>
                <w:rFonts w:ascii="Calibri" w:cs="Calibri" w:eastAsia="Calibri" w:hAnsi="Calibri"/>
                <w:sz w:val="14"/>
                <w:szCs w:val="14"/>
                <w:b w:val="1"/>
                <w:bCs w:val="1"/>
                <w:color w:val="FFFFFF"/>
              </w:rPr>
              <w:t>Named Executive Officer</w:t>
            </w:r>
          </w:p>
        </w:tc>
        <w:tc>
          <w:tcPr>
            <w:tcW w:w="1460" w:type="dxa"/>
            <w:vAlign w:val="bottom"/>
          </w:tcPr>
          <w:p>
            <w:pPr>
              <w:jc w:val="center"/>
              <w:ind w:left="4"/>
              <w:spacing w:after="0" w:line="289" w:lineRule="exact"/>
              <w:rPr>
                <w:sz w:val="20"/>
                <w:szCs w:val="20"/>
                <w:color w:val="auto"/>
              </w:rPr>
            </w:pPr>
            <w:r>
              <w:rPr>
                <w:rFonts w:ascii="Calibri" w:cs="Calibri" w:eastAsia="Calibri" w:hAnsi="Calibri"/>
                <w:sz w:val="14"/>
                <w:szCs w:val="14"/>
                <w:b w:val="1"/>
                <w:bCs w:val="1"/>
                <w:color w:val="auto"/>
                <w:w w:val="91"/>
              </w:rPr>
              <w:t xml:space="preserve">($) </w:t>
            </w:r>
            <w:r>
              <w:rPr>
                <w:rFonts w:ascii="Calibri" w:cs="Calibri" w:eastAsia="Calibri" w:hAnsi="Calibri"/>
                <w:sz w:val="24"/>
                <w:szCs w:val="24"/>
                <w:b w:val="1"/>
                <w:bCs w:val="1"/>
                <w:color w:val="auto"/>
                <w:w w:val="91"/>
                <w:vertAlign w:val="superscript"/>
              </w:rPr>
              <w:t>(1)</w:t>
            </w:r>
          </w:p>
        </w:tc>
        <w:tc>
          <w:tcPr>
            <w:tcW w:w="130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1420" w:type="dxa"/>
            <w:vAlign w:val="bottom"/>
          </w:tcPr>
          <w:p>
            <w:pPr>
              <w:jc w:val="center"/>
              <w:spacing w:after="0"/>
              <w:rPr>
                <w:sz w:val="20"/>
                <w:szCs w:val="20"/>
                <w:color w:val="auto"/>
              </w:rPr>
            </w:pPr>
            <w:r>
              <w:rPr>
                <w:rFonts w:ascii="Calibri" w:cs="Calibri" w:eastAsia="Calibri" w:hAnsi="Calibri"/>
                <w:sz w:val="14"/>
                <w:szCs w:val="14"/>
                <w:b w:val="1"/>
                <w:bCs w:val="1"/>
                <w:color w:val="auto"/>
                <w:w w:val="91"/>
              </w:rPr>
              <w:t xml:space="preserve">($) </w:t>
            </w:r>
            <w:r>
              <w:rPr>
                <w:rFonts w:ascii="Calibri" w:cs="Calibri" w:eastAsia="Calibri" w:hAnsi="Calibri"/>
                <w:sz w:val="21"/>
                <w:szCs w:val="21"/>
                <w:b w:val="1"/>
                <w:bCs w:val="1"/>
                <w:color w:val="auto"/>
                <w:w w:val="91"/>
                <w:vertAlign w:val="superscript"/>
              </w:rPr>
              <w:t>(2)</w:t>
            </w:r>
          </w:p>
        </w:tc>
        <w:tc>
          <w:tcPr>
            <w:tcW w:w="122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136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56"/>
        </w:trPr>
        <w:tc>
          <w:tcPr>
            <w:tcW w:w="184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820" w:type="dxa"/>
            <w:vAlign w:val="bottom"/>
            <w:tcBorders>
              <w:bottom w:val="single" w:sz="8" w:color="AF0000"/>
            </w:tcBorders>
          </w:tcPr>
          <w:p>
            <w:pPr>
              <w:spacing w:after="0"/>
              <w:rPr>
                <w:sz w:val="3"/>
                <w:szCs w:val="3"/>
                <w:color w:val="auto"/>
              </w:rPr>
            </w:pPr>
          </w:p>
        </w:tc>
        <w:tc>
          <w:tcPr>
            <w:tcW w:w="1460" w:type="dxa"/>
            <w:vAlign w:val="bottom"/>
            <w:tcBorders>
              <w:bottom w:val="single" w:sz="8" w:color="AF0000"/>
            </w:tcBorders>
          </w:tcPr>
          <w:p>
            <w:pPr>
              <w:spacing w:after="0"/>
              <w:rPr>
                <w:sz w:val="3"/>
                <w:szCs w:val="3"/>
                <w:color w:val="auto"/>
              </w:rPr>
            </w:pPr>
          </w:p>
        </w:tc>
        <w:tc>
          <w:tcPr>
            <w:tcW w:w="1300" w:type="dxa"/>
            <w:vAlign w:val="bottom"/>
            <w:tcBorders>
              <w:bottom w:val="single" w:sz="8" w:color="AF0000"/>
            </w:tcBorders>
          </w:tcPr>
          <w:p>
            <w:pPr>
              <w:spacing w:after="0"/>
              <w:rPr>
                <w:sz w:val="3"/>
                <w:szCs w:val="3"/>
                <w:color w:val="auto"/>
              </w:rPr>
            </w:pPr>
          </w:p>
        </w:tc>
        <w:tc>
          <w:tcPr>
            <w:tcW w:w="1420" w:type="dxa"/>
            <w:vAlign w:val="bottom"/>
            <w:tcBorders>
              <w:bottom w:val="single" w:sz="8" w:color="AF0000"/>
            </w:tcBorders>
          </w:tcPr>
          <w:p>
            <w:pPr>
              <w:spacing w:after="0"/>
              <w:rPr>
                <w:sz w:val="3"/>
                <w:szCs w:val="3"/>
                <w:color w:val="auto"/>
              </w:rPr>
            </w:pPr>
          </w:p>
        </w:tc>
        <w:tc>
          <w:tcPr>
            <w:tcW w:w="1220" w:type="dxa"/>
            <w:vAlign w:val="bottom"/>
            <w:tcBorders>
              <w:bottom w:val="single" w:sz="8" w:color="AF0000"/>
            </w:tcBorders>
          </w:tcPr>
          <w:p>
            <w:pPr>
              <w:spacing w:after="0"/>
              <w:rPr>
                <w:sz w:val="3"/>
                <w:szCs w:val="3"/>
                <w:color w:val="auto"/>
              </w:rPr>
            </w:pPr>
          </w:p>
        </w:tc>
        <w:tc>
          <w:tcPr>
            <w:tcW w:w="1360" w:type="dxa"/>
            <w:vAlign w:val="bottom"/>
            <w:tcBorders>
              <w:bottom w:val="single" w:sz="8" w:color="AF0000"/>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20" w:type="dxa"/>
            <w:vAlign w:val="bottom"/>
          </w:tcPr>
          <w:p>
            <w:pPr>
              <w:ind w:left="100"/>
              <w:spacing w:after="0"/>
              <w:rPr>
                <w:sz w:val="20"/>
                <w:szCs w:val="20"/>
                <w:color w:val="auto"/>
              </w:rPr>
            </w:pPr>
            <w:r>
              <w:rPr>
                <w:rFonts w:ascii="Calibri" w:cs="Calibri" w:eastAsia="Calibri" w:hAnsi="Calibri"/>
                <w:sz w:val="16"/>
                <w:szCs w:val="16"/>
                <w:color w:val="auto"/>
              </w:rPr>
              <w:t>Neil W. Peterson</w:t>
            </w:r>
          </w:p>
        </w:tc>
        <w:tc>
          <w:tcPr>
            <w:tcW w:w="1460" w:type="dxa"/>
            <w:vAlign w:val="bottom"/>
          </w:tcPr>
          <w:p>
            <w:pPr>
              <w:jc w:val="center"/>
              <w:ind w:left="4"/>
              <w:spacing w:after="0"/>
              <w:rPr>
                <w:sz w:val="20"/>
                <w:szCs w:val="20"/>
                <w:color w:val="auto"/>
              </w:rPr>
            </w:pPr>
            <w:r>
              <w:rPr>
                <w:rFonts w:ascii="Calibri" w:cs="Calibri" w:eastAsia="Calibri" w:hAnsi="Calibri"/>
                <w:sz w:val="16"/>
                <w:szCs w:val="16"/>
                <w:color w:val="auto"/>
              </w:rPr>
              <w:t>121,269</w:t>
            </w:r>
          </w:p>
        </w:tc>
        <w:tc>
          <w:tcPr>
            <w:tcW w:w="1300" w:type="dxa"/>
            <w:vAlign w:val="bottom"/>
          </w:tcPr>
          <w:p>
            <w:pPr>
              <w:jc w:val="center"/>
              <w:ind w:left="4"/>
              <w:spacing w:after="0"/>
              <w:rPr>
                <w:sz w:val="20"/>
                <w:szCs w:val="20"/>
                <w:color w:val="auto"/>
              </w:rPr>
            </w:pPr>
            <w:r>
              <w:rPr>
                <w:rFonts w:ascii="Calibri" w:cs="Calibri" w:eastAsia="Calibri" w:hAnsi="Calibri"/>
                <w:sz w:val="16"/>
                <w:szCs w:val="16"/>
                <w:color w:val="auto"/>
                <w:w w:val="96"/>
              </w:rPr>
              <w:t>—</w:t>
            </w:r>
          </w:p>
        </w:tc>
        <w:tc>
          <w:tcPr>
            <w:tcW w:w="1420" w:type="dxa"/>
            <w:vAlign w:val="bottom"/>
          </w:tcPr>
          <w:p>
            <w:pPr>
              <w:jc w:val="right"/>
              <w:ind w:right="324"/>
              <w:spacing w:after="0"/>
              <w:rPr>
                <w:sz w:val="20"/>
                <w:szCs w:val="20"/>
                <w:color w:val="auto"/>
              </w:rPr>
            </w:pPr>
            <w:r>
              <w:rPr>
                <w:rFonts w:ascii="Calibri" w:cs="Calibri" w:eastAsia="Calibri" w:hAnsi="Calibri"/>
                <w:sz w:val="16"/>
                <w:szCs w:val="16"/>
                <w:color w:val="auto"/>
              </w:rPr>
              <w:t>44,049</w:t>
            </w:r>
          </w:p>
        </w:tc>
        <w:tc>
          <w:tcPr>
            <w:tcW w:w="1220" w:type="dxa"/>
            <w:vAlign w:val="bottom"/>
          </w:tcPr>
          <w:p>
            <w:pPr>
              <w:jc w:val="center"/>
              <w:spacing w:after="0"/>
              <w:rPr>
                <w:sz w:val="20"/>
                <w:szCs w:val="20"/>
                <w:color w:val="auto"/>
              </w:rPr>
            </w:pPr>
            <w:r>
              <w:rPr>
                <w:rFonts w:ascii="Calibri" w:cs="Calibri" w:eastAsia="Calibri" w:hAnsi="Calibri"/>
                <w:sz w:val="16"/>
                <w:szCs w:val="16"/>
                <w:color w:val="auto"/>
                <w:w w:val="96"/>
              </w:rPr>
              <w:t>—</w:t>
            </w:r>
          </w:p>
        </w:tc>
        <w:tc>
          <w:tcPr>
            <w:tcW w:w="1360" w:type="dxa"/>
            <w:vAlign w:val="bottom"/>
          </w:tcPr>
          <w:p>
            <w:pPr>
              <w:jc w:val="right"/>
              <w:ind w:right="224"/>
              <w:spacing w:after="0"/>
              <w:rPr>
                <w:sz w:val="20"/>
                <w:szCs w:val="20"/>
                <w:color w:val="auto"/>
              </w:rPr>
            </w:pPr>
            <w:r>
              <w:rPr>
                <w:rFonts w:ascii="Calibri" w:cs="Calibri" w:eastAsia="Calibri" w:hAnsi="Calibri"/>
                <w:sz w:val="16"/>
                <w:szCs w:val="16"/>
                <w:color w:val="auto"/>
              </w:rPr>
              <w:t>536,401</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82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820" w:type="dxa"/>
            <w:vAlign w:val="bottom"/>
          </w:tcPr>
          <w:p>
            <w:pPr>
              <w:ind w:left="100"/>
              <w:spacing w:after="0"/>
              <w:rPr>
                <w:sz w:val="20"/>
                <w:szCs w:val="20"/>
                <w:color w:val="auto"/>
              </w:rPr>
            </w:pPr>
            <w:r>
              <w:rPr>
                <w:rFonts w:ascii="Calibri" w:cs="Calibri" w:eastAsia="Calibri" w:hAnsi="Calibri"/>
                <w:sz w:val="16"/>
                <w:szCs w:val="16"/>
                <w:color w:val="auto"/>
              </w:rPr>
              <w:t>Raul Parra</w:t>
            </w:r>
          </w:p>
        </w:tc>
        <w:tc>
          <w:tcPr>
            <w:tcW w:w="1460" w:type="dxa"/>
            <w:vAlign w:val="bottom"/>
          </w:tcPr>
          <w:p>
            <w:pPr>
              <w:jc w:val="center"/>
              <w:ind w:left="4"/>
              <w:spacing w:after="0"/>
              <w:rPr>
                <w:sz w:val="20"/>
                <w:szCs w:val="20"/>
                <w:color w:val="auto"/>
              </w:rPr>
            </w:pPr>
            <w:r>
              <w:rPr>
                <w:rFonts w:ascii="Calibri" w:cs="Calibri" w:eastAsia="Calibri" w:hAnsi="Calibri"/>
                <w:sz w:val="16"/>
                <w:szCs w:val="16"/>
                <w:color w:val="auto"/>
              </w:rPr>
              <w:t>30,317</w:t>
            </w:r>
          </w:p>
        </w:tc>
        <w:tc>
          <w:tcPr>
            <w:tcW w:w="1300" w:type="dxa"/>
            <w:vAlign w:val="bottom"/>
          </w:tcPr>
          <w:p>
            <w:pPr>
              <w:jc w:val="center"/>
              <w:ind w:left="4"/>
              <w:spacing w:after="0"/>
              <w:rPr>
                <w:sz w:val="20"/>
                <w:szCs w:val="20"/>
                <w:color w:val="auto"/>
              </w:rPr>
            </w:pPr>
            <w:r>
              <w:rPr>
                <w:rFonts w:ascii="Calibri" w:cs="Calibri" w:eastAsia="Calibri" w:hAnsi="Calibri"/>
                <w:sz w:val="16"/>
                <w:szCs w:val="16"/>
                <w:color w:val="auto"/>
                <w:w w:val="96"/>
              </w:rPr>
              <w:t>—</w:t>
            </w:r>
          </w:p>
        </w:tc>
        <w:tc>
          <w:tcPr>
            <w:tcW w:w="1420" w:type="dxa"/>
            <w:vAlign w:val="bottom"/>
          </w:tcPr>
          <w:p>
            <w:pPr>
              <w:jc w:val="right"/>
              <w:ind w:right="324"/>
              <w:spacing w:after="0"/>
              <w:rPr>
                <w:sz w:val="20"/>
                <w:szCs w:val="20"/>
                <w:color w:val="auto"/>
              </w:rPr>
            </w:pPr>
            <w:r>
              <w:rPr>
                <w:rFonts w:ascii="Calibri" w:cs="Calibri" w:eastAsia="Calibri" w:hAnsi="Calibri"/>
                <w:sz w:val="16"/>
                <w:szCs w:val="16"/>
                <w:color w:val="auto"/>
              </w:rPr>
              <w:t>3,393</w:t>
            </w:r>
          </w:p>
        </w:tc>
        <w:tc>
          <w:tcPr>
            <w:tcW w:w="1220" w:type="dxa"/>
            <w:vAlign w:val="bottom"/>
          </w:tcPr>
          <w:p>
            <w:pPr>
              <w:jc w:val="center"/>
              <w:spacing w:after="0"/>
              <w:rPr>
                <w:sz w:val="20"/>
                <w:szCs w:val="20"/>
                <w:color w:val="auto"/>
              </w:rPr>
            </w:pPr>
            <w:r>
              <w:rPr>
                <w:rFonts w:ascii="Calibri" w:cs="Calibri" w:eastAsia="Calibri" w:hAnsi="Calibri"/>
                <w:sz w:val="16"/>
                <w:szCs w:val="16"/>
                <w:color w:val="auto"/>
                <w:w w:val="96"/>
              </w:rPr>
              <w:t>—</w:t>
            </w:r>
          </w:p>
        </w:tc>
        <w:tc>
          <w:tcPr>
            <w:tcW w:w="1360" w:type="dxa"/>
            <w:vAlign w:val="bottom"/>
          </w:tcPr>
          <w:p>
            <w:pPr>
              <w:jc w:val="right"/>
              <w:ind w:right="224"/>
              <w:spacing w:after="0"/>
              <w:rPr>
                <w:sz w:val="20"/>
                <w:szCs w:val="20"/>
                <w:color w:val="auto"/>
              </w:rPr>
            </w:pPr>
            <w:r>
              <w:rPr>
                <w:rFonts w:ascii="Calibri" w:cs="Calibri" w:eastAsia="Calibri" w:hAnsi="Calibri"/>
                <w:sz w:val="16"/>
                <w:szCs w:val="16"/>
                <w:color w:val="auto"/>
              </w:rPr>
              <w:t>33,711</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82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820" w:type="dxa"/>
            <w:vAlign w:val="bottom"/>
          </w:tcPr>
          <w:p>
            <w:pPr>
              <w:ind w:left="100"/>
              <w:spacing w:after="0"/>
              <w:rPr>
                <w:sz w:val="20"/>
                <w:szCs w:val="20"/>
                <w:color w:val="auto"/>
              </w:rPr>
            </w:pPr>
            <w:r>
              <w:rPr>
                <w:rFonts w:ascii="Calibri" w:cs="Calibri" w:eastAsia="Calibri" w:hAnsi="Calibri"/>
                <w:sz w:val="16"/>
                <w:szCs w:val="16"/>
                <w:color w:val="auto"/>
              </w:rPr>
              <w:t>Joseph C. Wright</w:t>
            </w:r>
          </w:p>
        </w:tc>
        <w:tc>
          <w:tcPr>
            <w:tcW w:w="1460" w:type="dxa"/>
            <w:vAlign w:val="bottom"/>
          </w:tcPr>
          <w:p>
            <w:pPr>
              <w:jc w:val="center"/>
              <w:ind w:left="4"/>
              <w:spacing w:after="0"/>
              <w:rPr>
                <w:sz w:val="20"/>
                <w:szCs w:val="20"/>
                <w:color w:val="auto"/>
              </w:rPr>
            </w:pPr>
            <w:r>
              <w:rPr>
                <w:rFonts w:ascii="Calibri" w:cs="Calibri" w:eastAsia="Calibri" w:hAnsi="Calibri"/>
                <w:sz w:val="16"/>
                <w:szCs w:val="16"/>
                <w:color w:val="auto"/>
                <w:w w:val="96"/>
              </w:rPr>
              <w:t>—</w:t>
            </w:r>
          </w:p>
        </w:tc>
        <w:tc>
          <w:tcPr>
            <w:tcW w:w="1300" w:type="dxa"/>
            <w:vAlign w:val="bottom"/>
          </w:tcPr>
          <w:p>
            <w:pPr>
              <w:jc w:val="center"/>
              <w:ind w:left="4"/>
              <w:spacing w:after="0"/>
              <w:rPr>
                <w:sz w:val="20"/>
                <w:szCs w:val="20"/>
                <w:color w:val="auto"/>
              </w:rPr>
            </w:pPr>
            <w:r>
              <w:rPr>
                <w:rFonts w:ascii="Calibri" w:cs="Calibri" w:eastAsia="Calibri" w:hAnsi="Calibri"/>
                <w:sz w:val="16"/>
                <w:szCs w:val="16"/>
                <w:color w:val="auto"/>
                <w:w w:val="96"/>
              </w:rPr>
              <w:t>—</w:t>
            </w:r>
          </w:p>
        </w:tc>
        <w:tc>
          <w:tcPr>
            <w:tcW w:w="1420" w:type="dxa"/>
            <w:vAlign w:val="bottom"/>
          </w:tcPr>
          <w:p>
            <w:pPr>
              <w:jc w:val="right"/>
              <w:ind w:right="324"/>
              <w:spacing w:after="0"/>
              <w:rPr>
                <w:sz w:val="20"/>
                <w:szCs w:val="20"/>
                <w:color w:val="auto"/>
              </w:rPr>
            </w:pPr>
            <w:r>
              <w:rPr>
                <w:rFonts w:ascii="Calibri" w:cs="Calibri" w:eastAsia="Calibri" w:hAnsi="Calibri"/>
                <w:sz w:val="16"/>
                <w:szCs w:val="16"/>
                <w:color w:val="auto"/>
              </w:rPr>
              <w:t>517,030</w:t>
            </w:r>
          </w:p>
        </w:tc>
        <w:tc>
          <w:tcPr>
            <w:tcW w:w="1220" w:type="dxa"/>
            <w:vAlign w:val="bottom"/>
          </w:tcPr>
          <w:p>
            <w:pPr>
              <w:jc w:val="center"/>
              <w:spacing w:after="0"/>
              <w:rPr>
                <w:sz w:val="20"/>
                <w:szCs w:val="20"/>
                <w:color w:val="auto"/>
              </w:rPr>
            </w:pPr>
            <w:r>
              <w:rPr>
                <w:rFonts w:ascii="Calibri" w:cs="Calibri" w:eastAsia="Calibri" w:hAnsi="Calibri"/>
                <w:sz w:val="16"/>
                <w:szCs w:val="16"/>
                <w:color w:val="auto"/>
                <w:w w:val="96"/>
              </w:rPr>
              <w:t>—</w:t>
            </w:r>
          </w:p>
        </w:tc>
        <w:tc>
          <w:tcPr>
            <w:tcW w:w="1360" w:type="dxa"/>
            <w:vAlign w:val="bottom"/>
          </w:tcPr>
          <w:p>
            <w:pPr>
              <w:jc w:val="right"/>
              <w:ind w:right="224"/>
              <w:spacing w:after="0"/>
              <w:rPr>
                <w:sz w:val="20"/>
                <w:szCs w:val="20"/>
                <w:color w:val="auto"/>
              </w:rPr>
            </w:pPr>
            <w:r>
              <w:rPr>
                <w:rFonts w:ascii="Calibri" w:cs="Calibri" w:eastAsia="Calibri" w:hAnsi="Calibri"/>
                <w:sz w:val="16"/>
                <w:szCs w:val="16"/>
                <w:color w:val="auto"/>
              </w:rPr>
              <w:t>2,728,898</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20" w:type="dxa"/>
            <w:vAlign w:val="bottom"/>
            <w:tcBorders>
              <w:bottom w:val="single" w:sz="8" w:color="AF0000"/>
            </w:tcBorders>
          </w:tcPr>
          <w:p>
            <w:pPr>
              <w:spacing w:after="0"/>
              <w:rPr>
                <w:sz w:val="4"/>
                <w:szCs w:val="4"/>
                <w:color w:val="auto"/>
              </w:rPr>
            </w:pPr>
          </w:p>
        </w:tc>
        <w:tc>
          <w:tcPr>
            <w:tcW w:w="1460" w:type="dxa"/>
            <w:vAlign w:val="bottom"/>
            <w:tcBorders>
              <w:bottom w:val="single" w:sz="8" w:color="AF0000"/>
            </w:tcBorders>
          </w:tcPr>
          <w:p>
            <w:pPr>
              <w:spacing w:after="0"/>
              <w:rPr>
                <w:sz w:val="4"/>
                <w:szCs w:val="4"/>
                <w:color w:val="auto"/>
              </w:rPr>
            </w:pPr>
          </w:p>
        </w:tc>
        <w:tc>
          <w:tcPr>
            <w:tcW w:w="1300" w:type="dxa"/>
            <w:vAlign w:val="bottom"/>
            <w:tcBorders>
              <w:bottom w:val="single" w:sz="8" w:color="AF0000"/>
            </w:tcBorders>
          </w:tcPr>
          <w:p>
            <w:pPr>
              <w:spacing w:after="0"/>
              <w:rPr>
                <w:sz w:val="4"/>
                <w:szCs w:val="4"/>
                <w:color w:val="auto"/>
              </w:rPr>
            </w:pPr>
          </w:p>
        </w:tc>
        <w:tc>
          <w:tcPr>
            <w:tcW w:w="1420" w:type="dxa"/>
            <w:vAlign w:val="bottom"/>
            <w:tcBorders>
              <w:bottom w:val="single" w:sz="8" w:color="AF0000"/>
            </w:tcBorders>
          </w:tcPr>
          <w:p>
            <w:pPr>
              <w:spacing w:after="0"/>
              <w:rPr>
                <w:sz w:val="4"/>
                <w:szCs w:val="4"/>
                <w:color w:val="auto"/>
              </w:rPr>
            </w:pPr>
          </w:p>
        </w:tc>
        <w:tc>
          <w:tcPr>
            <w:tcW w:w="1220" w:type="dxa"/>
            <w:vAlign w:val="bottom"/>
            <w:tcBorders>
              <w:bottom w:val="single" w:sz="8" w:color="AF0000"/>
            </w:tcBorders>
          </w:tcPr>
          <w:p>
            <w:pPr>
              <w:spacing w:after="0"/>
              <w:rPr>
                <w:sz w:val="4"/>
                <w:szCs w:val="4"/>
                <w:color w:val="auto"/>
              </w:rPr>
            </w:pPr>
          </w:p>
        </w:tc>
        <w:tc>
          <w:tcPr>
            <w:tcW w:w="1360" w:type="dxa"/>
            <w:vAlign w:val="bottom"/>
            <w:tcBorders>
              <w:bottom w:val="single" w:sz="8" w:color="AF000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540" w:hanging="331"/>
        <w:spacing w:after="0"/>
        <w:tabs>
          <w:tab w:leader="none" w:pos="540" w:val="left"/>
        </w:tabs>
        <w:numPr>
          <w:ilvl w:val="0"/>
          <w:numId w:val="88"/>
        </w:numPr>
        <w:rPr>
          <w:rFonts w:ascii="Calibri" w:cs="Calibri" w:eastAsia="Calibri" w:hAnsi="Calibri"/>
          <w:sz w:val="18"/>
          <w:szCs w:val="18"/>
          <w:color w:val="AF0000"/>
        </w:rPr>
      </w:pPr>
      <w:r>
        <w:rPr>
          <w:rFonts w:ascii="Calibri" w:cs="Calibri" w:eastAsia="Calibri" w:hAnsi="Calibri"/>
          <w:sz w:val="16"/>
          <w:szCs w:val="16"/>
          <w:color w:val="auto"/>
        </w:rPr>
        <w:t>These amounts are also refected in the Summary Compensaton Table for the year ended December 31, 2023 as “Salary.”</w:t>
      </w: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62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66" w:name="page67"/>
    <w:bookmarkEnd w:id="66"/>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EXECUTIVE COMPENSATION AND RELATED MATTERS</w:t>
      </w:r>
    </w:p>
    <w:p>
      <w:pPr>
        <w:spacing w:after="0" w:line="181" w:lineRule="exact"/>
        <w:rPr>
          <w:sz w:val="20"/>
          <w:szCs w:val="20"/>
          <w:color w:val="auto"/>
        </w:rPr>
      </w:pPr>
    </w:p>
    <w:p>
      <w:pPr>
        <w:ind w:left="540" w:right="399" w:hanging="331"/>
        <w:spacing w:after="0" w:line="221" w:lineRule="auto"/>
        <w:tabs>
          <w:tab w:leader="none" w:pos="540" w:val="left"/>
        </w:tabs>
        <w:numPr>
          <w:ilvl w:val="0"/>
          <w:numId w:val="89"/>
        </w:numPr>
        <w:rPr>
          <w:rFonts w:ascii="Calibri" w:cs="Calibri" w:eastAsia="Calibri" w:hAnsi="Calibri"/>
          <w:sz w:val="18"/>
          <w:szCs w:val="18"/>
          <w:color w:val="AF0000"/>
        </w:rPr>
      </w:pPr>
      <w:r>
        <w:rPr>
          <w:rFonts w:ascii="Calibri" w:cs="Calibri" w:eastAsia="Calibri" w:hAnsi="Calibri"/>
          <w:sz w:val="16"/>
          <w:szCs w:val="16"/>
          <w:color w:val="auto"/>
        </w:rPr>
        <w:t>Earnings have not been refected in the Summary Compensaton Table for the year ended December 31, 2023 because they do not refect compensaton for services provided.</w:t>
      </w:r>
    </w:p>
    <w:p>
      <w:pPr>
        <w:spacing w:after="0" w:line="181" w:lineRule="exact"/>
        <w:rPr>
          <w:sz w:val="20"/>
          <w:szCs w:val="20"/>
          <w:color w:val="auto"/>
        </w:rPr>
      </w:pPr>
    </w:p>
    <w:p>
      <w:pPr>
        <w:ind w:left="200" w:right="339"/>
        <w:spacing w:after="0" w:line="235" w:lineRule="auto"/>
        <w:rPr>
          <w:sz w:val="20"/>
          <w:szCs w:val="20"/>
          <w:color w:val="auto"/>
        </w:rPr>
      </w:pPr>
      <w:r>
        <w:rPr>
          <w:rFonts w:ascii="Calibri" w:cs="Calibri" w:eastAsia="Calibri" w:hAnsi="Calibri"/>
          <w:sz w:val="18"/>
          <w:szCs w:val="18"/>
          <w:color w:val="auto"/>
        </w:rPr>
        <w:t>The table below shows the funds available for notatonal investment under the Deferred Compensaton Plan and their annual rate of return for the calendar year ended December 31, 2023. These notatonal investments were generally the same as the mutual fund investment optons ofered in 2023 under our 401(k) Plan:</w:t>
      </w:r>
    </w:p>
    <w:p>
      <w:pPr>
        <w:spacing w:after="0" w:line="181" w:lineRule="exact"/>
        <w:rPr>
          <w:sz w:val="20"/>
          <w:szCs w:val="20"/>
          <w:color w:val="auto"/>
        </w:rPr>
      </w:pPr>
    </w:p>
    <w:tbl>
      <w:tblPr>
        <w:tblLayout w:type="fixed"/>
        <w:tblInd w:w="1080" w:type="dxa"/>
        <w:tblCellMar>
          <w:top w:w="0" w:type="dxa"/>
          <w:left w:w="0" w:type="dxa"/>
          <w:bottom w:w="0" w:type="dxa"/>
          <w:right w:w="0" w:type="dxa"/>
        </w:tblCellMar>
      </w:tblPr>
      <w:tr>
        <w:trPr>
          <w:trHeight w:val="223"/>
        </w:trPr>
        <w:tc>
          <w:tcPr>
            <w:tcW w:w="5140" w:type="dxa"/>
            <w:vAlign w:val="bottom"/>
            <w:tcBorders>
              <w:top w:val="single" w:sz="8" w:color="AF0000"/>
              <w:bottom w:val="single" w:sz="8" w:color="AF0000"/>
            </w:tcBorders>
          </w:tcPr>
          <w:p>
            <w:pPr>
              <w:ind w:left="80"/>
              <w:spacing w:after="0"/>
              <w:rPr>
                <w:sz w:val="20"/>
                <w:szCs w:val="20"/>
                <w:color w:val="auto"/>
              </w:rPr>
            </w:pPr>
            <w:r>
              <w:rPr>
                <w:rFonts w:ascii="Calibri" w:cs="Calibri" w:eastAsia="Calibri" w:hAnsi="Calibri"/>
                <w:sz w:val="16"/>
                <w:szCs w:val="16"/>
                <w:b w:val="1"/>
                <w:bCs w:val="1"/>
                <w:color w:val="auto"/>
              </w:rPr>
              <w:t>Name of Fund</w:t>
            </w:r>
          </w:p>
        </w:tc>
        <w:tc>
          <w:tcPr>
            <w:tcW w:w="1720" w:type="dxa"/>
            <w:vAlign w:val="bottom"/>
            <w:tcBorders>
              <w:top w:val="single" w:sz="8" w:color="AF0000"/>
              <w:bottom w:val="single" w:sz="8" w:color="AF0000"/>
            </w:tcBorders>
            <w:gridSpan w:val="2"/>
          </w:tcPr>
          <w:p>
            <w:pPr>
              <w:jc w:val="right"/>
              <w:ind w:right="50"/>
              <w:spacing w:after="0"/>
              <w:rPr>
                <w:sz w:val="20"/>
                <w:szCs w:val="20"/>
                <w:color w:val="auto"/>
              </w:rPr>
            </w:pPr>
            <w:r>
              <w:rPr>
                <w:rFonts w:ascii="Calibri" w:cs="Calibri" w:eastAsia="Calibri" w:hAnsi="Calibri"/>
                <w:sz w:val="16"/>
                <w:szCs w:val="16"/>
                <w:b w:val="1"/>
                <w:bCs w:val="1"/>
                <w:color w:val="auto"/>
              </w:rPr>
              <w:t>Rate of Return</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T. Rowe Price Blue Chip Growth Fund</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49.55</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T. Rowe Price Equity Income Fund</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9.75</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Vanguard 500 Index Fund Admiral Shares</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26.24</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Vanguard Total Stock Market Index Fund Admiral Shares</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26.01</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MFS Mid Cap Value Fund Class R6</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12.92</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T. Rowe Price Mid-Cap Growth Fund</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20.26</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DFA U.S. Targeted Value</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19.31</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Vanguard Explorer Fund Admiral Shares</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19.90</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American Funds EuroPacifc Growth Fund Class R-6</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16.05</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Fidelity Internatonal Index Fund</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18.31</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Lazard Emerging Markets Equity Advantage Portolio R6 Shares</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22.37</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MFS Internatonal Intrinsic Value Fund Class R6</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18.05</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Vanguard Real Estate Index Fund Admiral Shares</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11.81</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Vanguard LifeStrategy Conservatve Growth Fund</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12.48</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Vanguard LifeStrategy Moderate Growth Fund</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15.49</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Vanguard LifeStrategy Growth Fund Investor Shares</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18.55</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Vanguard LifeStrategy Income Fund Investor Shares</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9.48</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PIMCO Real Return Fund Insttutonal Class</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3.74</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140" w:type="dxa"/>
            <w:vAlign w:val="bottom"/>
            <w:tcBorders>
              <w:bottom w:val="single" w:sz="8" w:color="A6A6A6"/>
            </w:tcBorders>
          </w:tcPr>
          <w:p>
            <w:pPr>
              <w:ind w:left="80"/>
              <w:spacing w:after="0" w:line="215" w:lineRule="exact"/>
              <w:rPr>
                <w:sz w:val="20"/>
                <w:szCs w:val="20"/>
                <w:color w:val="auto"/>
              </w:rPr>
            </w:pPr>
            <w:r>
              <w:rPr>
                <w:rFonts w:ascii="Calibri" w:cs="Calibri" w:eastAsia="Calibri" w:hAnsi="Calibri"/>
                <w:sz w:val="18"/>
                <w:szCs w:val="18"/>
                <w:color w:val="auto"/>
              </w:rPr>
              <w:t>PIMCO Total Return Fund Insttutonal Class</w:t>
            </w:r>
          </w:p>
        </w:tc>
        <w:tc>
          <w:tcPr>
            <w:tcW w:w="14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6.30</w:t>
            </w:r>
          </w:p>
        </w:tc>
        <w:tc>
          <w:tcPr>
            <w:tcW w:w="260" w:type="dxa"/>
            <w:vAlign w:val="bottom"/>
            <w:tcBorders>
              <w:bottom w:val="single" w:sz="8" w:color="A6A6A6"/>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5140" w:type="dxa"/>
            <w:vAlign w:val="bottom"/>
            <w:tcBorders>
              <w:bottom w:val="single" w:sz="8" w:color="AF0000"/>
            </w:tcBorders>
          </w:tcPr>
          <w:p>
            <w:pPr>
              <w:ind w:left="80"/>
              <w:spacing w:after="0" w:line="215" w:lineRule="exact"/>
              <w:rPr>
                <w:sz w:val="20"/>
                <w:szCs w:val="20"/>
                <w:color w:val="auto"/>
              </w:rPr>
            </w:pPr>
            <w:r>
              <w:rPr>
                <w:rFonts w:ascii="Calibri" w:cs="Calibri" w:eastAsia="Calibri" w:hAnsi="Calibri"/>
                <w:sz w:val="18"/>
                <w:szCs w:val="18"/>
                <w:color w:val="auto"/>
              </w:rPr>
              <w:t>Vanguard Federal Money Market Fund</w:t>
            </w:r>
          </w:p>
        </w:tc>
        <w:tc>
          <w:tcPr>
            <w:tcW w:w="1460" w:type="dxa"/>
            <w:vAlign w:val="bottom"/>
            <w:tcBorders>
              <w:bottom w:val="single" w:sz="8" w:color="AF0000"/>
            </w:tcBorders>
          </w:tcPr>
          <w:p>
            <w:pPr>
              <w:jc w:val="right"/>
              <w:spacing w:after="0" w:line="215" w:lineRule="exact"/>
              <w:rPr>
                <w:sz w:val="20"/>
                <w:szCs w:val="20"/>
                <w:color w:val="auto"/>
              </w:rPr>
            </w:pPr>
            <w:r>
              <w:rPr>
                <w:rFonts w:ascii="Calibri" w:cs="Calibri" w:eastAsia="Calibri" w:hAnsi="Calibri"/>
                <w:sz w:val="18"/>
                <w:szCs w:val="18"/>
                <w:color w:val="auto"/>
              </w:rPr>
              <w:t>5.09</w:t>
            </w:r>
          </w:p>
        </w:tc>
        <w:tc>
          <w:tcPr>
            <w:tcW w:w="260" w:type="dxa"/>
            <w:vAlign w:val="bottom"/>
            <w:tcBorders>
              <w:bottom w:val="single" w:sz="8" w:color="AF0000"/>
            </w:tcBorders>
          </w:tcPr>
          <w:p>
            <w:pPr>
              <w:jc w:val="right"/>
              <w:spacing w:after="0" w:line="215" w:lineRule="exact"/>
              <w:rPr>
                <w:sz w:val="20"/>
                <w:szCs w:val="20"/>
                <w:color w:val="auto"/>
              </w:rPr>
            </w:pPr>
            <w:r>
              <w:rPr>
                <w:rFonts w:ascii="Calibri" w:cs="Calibri" w:eastAsia="Calibri" w:hAnsi="Calibri"/>
                <w:sz w:val="18"/>
                <w:szCs w:val="18"/>
                <w:color w:val="auto"/>
              </w:rPr>
              <w:t>%</w:t>
            </w:r>
          </w:p>
        </w:tc>
      </w:tr>
    </w:tbl>
    <w:p>
      <w:pPr>
        <w:spacing w:after="0" w:line="175"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Potental Payments Upon Terminaton or Change in Control</w:t>
      </w:r>
    </w:p>
    <w:p>
      <w:pPr>
        <w:spacing w:after="0" w:line="201"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Employment Agreements and PSUs</w:t>
      </w:r>
    </w:p>
    <w:p>
      <w:pPr>
        <w:spacing w:after="0" w:line="146" w:lineRule="exact"/>
        <w:rPr>
          <w:sz w:val="20"/>
          <w:szCs w:val="20"/>
          <w:color w:val="auto"/>
        </w:rPr>
      </w:pPr>
    </w:p>
    <w:p>
      <w:pPr>
        <w:jc w:val="both"/>
        <w:ind w:left="200" w:right="299"/>
        <w:spacing w:after="0" w:line="235" w:lineRule="auto"/>
        <w:rPr>
          <w:sz w:val="20"/>
          <w:szCs w:val="20"/>
          <w:color w:val="auto"/>
        </w:rPr>
      </w:pPr>
      <w:r>
        <w:rPr>
          <w:rFonts w:ascii="Calibri" w:cs="Calibri" w:eastAsia="Calibri" w:hAnsi="Calibri"/>
          <w:sz w:val="18"/>
          <w:szCs w:val="18"/>
          <w:color w:val="auto"/>
        </w:rPr>
        <w:t>The Employment Agreements and PSU award agreements provide payments and benefts in the event of terminaton of employment under certain circumstances, including in connecton with a Change in Control. The discussion that follows is only a summary of certain material provisions of the Employment Agreements, PSU award agreements and the 2018 Incentve Plan. This discussion is qualifed in its entrety by reference to the full text of the applicable agreement or plan which can be found in the list of exhibits atached to our Annual Report.</w:t>
      </w:r>
    </w:p>
    <w:p>
      <w:pPr>
        <w:spacing w:after="0" w:line="175"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Terminaton Other Than in Connecton with a Change in Control</w:t>
      </w:r>
    </w:p>
    <w:p>
      <w:pPr>
        <w:spacing w:after="0" w:line="177" w:lineRule="exact"/>
        <w:rPr>
          <w:sz w:val="20"/>
          <w:szCs w:val="20"/>
          <w:color w:val="auto"/>
        </w:rPr>
      </w:pPr>
    </w:p>
    <w:p>
      <w:pPr>
        <w:ind w:left="200" w:right="419"/>
        <w:spacing w:after="0" w:line="233" w:lineRule="auto"/>
        <w:rPr>
          <w:sz w:val="20"/>
          <w:szCs w:val="20"/>
          <w:color w:val="auto"/>
        </w:rPr>
      </w:pPr>
      <w:r>
        <w:rPr>
          <w:rFonts w:ascii="Calibri" w:cs="Calibri" w:eastAsia="Calibri" w:hAnsi="Calibri"/>
          <w:sz w:val="18"/>
          <w:szCs w:val="18"/>
          <w:color w:val="auto"/>
        </w:rPr>
        <w:t xml:space="preserve">If an NEO’s employment with the Company is terminated for any reason, voluntarily or involuntarily, with or without Cause (as defned in the respectve Employment Agreement), other than in Connecton with a Change in Control (as defned in the respectve Employment Agreement), we would be obligated to pay the NEO a lump sum cash payment equal to his or her accrued and unpaid base salary and any accrued vacaton pay earned but not yet paid through the date of terminaton, plus a lump sum cash payment equal to the NEO’s accrued annual bonus earned for our last fscal year ending immediately prior to the NEO’s date of terminaton, to the extent not already paid (the sum of such payments hereinafer referred to as </w:t>
      </w:r>
      <w:r>
        <w:rPr>
          <w:rFonts w:ascii="Calibri" w:cs="Calibri" w:eastAsia="Calibri" w:hAnsi="Calibri"/>
          <w:sz w:val="18"/>
          <w:szCs w:val="18"/>
          <w:u w:val="single" w:color="auto"/>
          <w:color w:val="AF0000"/>
        </w:rPr>
        <w:t>Accrued Obligatons</w:t>
      </w:r>
      <w:r>
        <w:rPr>
          <w:rFonts w:ascii="Calibri" w:cs="Calibri" w:eastAsia="Calibri" w:hAnsi="Calibri"/>
          <w:sz w:val="18"/>
          <w:szCs w:val="18"/>
          <w:color w:val="auto"/>
        </w:rPr>
        <w:t>).</w:t>
      </w:r>
    </w:p>
    <w:p>
      <w:pPr>
        <w:spacing w:after="0" w:line="181" w:lineRule="exact"/>
        <w:rPr>
          <w:sz w:val="20"/>
          <w:szCs w:val="20"/>
          <w:color w:val="auto"/>
        </w:rPr>
      </w:pPr>
    </w:p>
    <w:p>
      <w:pPr>
        <w:ind w:left="200" w:right="439"/>
        <w:spacing w:after="0" w:line="235" w:lineRule="auto"/>
        <w:rPr>
          <w:sz w:val="20"/>
          <w:szCs w:val="20"/>
          <w:color w:val="auto"/>
        </w:rPr>
      </w:pPr>
      <w:r>
        <w:rPr>
          <w:rFonts w:ascii="Calibri" w:cs="Calibri" w:eastAsia="Calibri" w:hAnsi="Calibri"/>
          <w:sz w:val="18"/>
          <w:szCs w:val="18"/>
          <w:color w:val="auto"/>
        </w:rPr>
        <w:t>With respect to PSUs granted to an NEO more than one year prior to the date of terminaton, if an NEO’s employment with the Company is terminated other than in Connecton with a Change in Control by either the Company without Cause or by the NEO for Good Reason (as defned below), the NEO would be enttled to receive</w:t>
      </w:r>
    </w:p>
    <w:p>
      <w:pPr>
        <w:sectPr>
          <w:pgSz w:w="11900" w:h="16838" w:orient="portrait"/>
          <w:cols w:equalWidth="0" w:num="1">
            <w:col w:w="9019"/>
          </w:cols>
          <w:pgMar w:left="1440" w:top="504" w:right="1440"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67" w:name="page68"/>
    <w:bookmarkEnd w:id="67"/>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36" w:lineRule="exact"/>
        <w:rPr>
          <w:sz w:val="20"/>
          <w:szCs w:val="20"/>
          <w:color w:val="auto"/>
        </w:rPr>
      </w:pPr>
    </w:p>
    <w:p>
      <w:pPr>
        <w:ind w:left="200" w:right="679"/>
        <w:spacing w:after="0" w:line="235" w:lineRule="auto"/>
        <w:rPr>
          <w:sz w:val="20"/>
          <w:szCs w:val="20"/>
          <w:color w:val="auto"/>
        </w:rPr>
      </w:pPr>
      <w:r>
        <w:rPr>
          <w:rFonts w:ascii="Calibri" w:cs="Calibri" w:eastAsia="Calibri" w:hAnsi="Calibri"/>
          <w:sz w:val="18"/>
          <w:szCs w:val="18"/>
          <w:color w:val="auto"/>
        </w:rPr>
        <w:t>a pro rata porton of the number of shares of Common Stock (and the PSU Cash Incentve in the case of Mr. Lampropoulos) that would have been received under PSU award agreements had the NEO remained in contnuous service with the Company through the end of the applicable performance period.</w:t>
      </w:r>
    </w:p>
    <w:p>
      <w:pPr>
        <w:spacing w:after="0" w:line="178" w:lineRule="exact"/>
        <w:rPr>
          <w:sz w:val="20"/>
          <w:szCs w:val="20"/>
          <w:color w:val="auto"/>
        </w:rPr>
      </w:pPr>
    </w:p>
    <w:p>
      <w:pPr>
        <w:ind w:left="200" w:right="319"/>
        <w:spacing w:after="0" w:line="234" w:lineRule="auto"/>
        <w:rPr>
          <w:sz w:val="20"/>
          <w:szCs w:val="20"/>
          <w:color w:val="auto"/>
        </w:rPr>
      </w:pPr>
      <w:r>
        <w:rPr>
          <w:rFonts w:ascii="Calibri" w:cs="Calibri" w:eastAsia="Calibri" w:hAnsi="Calibri"/>
          <w:sz w:val="18"/>
          <w:szCs w:val="18"/>
          <w:color w:val="auto"/>
        </w:rPr>
        <w:t>Pursuant to the CEO Employment Agreement, if Mr. Lampropoulos’ employment with the Company is terminated other than in Connecton with a Change in Control either by the Company without Cause or by Mr. Lampropoulos for Good Reason, we are obligated to pay or provide (as applicable) to Mr. Lampropoulos the following: (i) the Accrued Obligatons, (ii) a lump sum cash payment equal to two (2) tmes his annual base salary, (iii) maintenance of certain insurance benefts to Mr. Lampropoulos, his spouse and dependent children for twenty-four (24) months following the terminaton of his employment, (iv) automatc vestng of otherwise unvested stock optons issued under the 2018 Incentve Plan that have been outstanding for one year or more prior to the date of terminaton, (v) full satsfacton of service-based vestng conditons relatng to all unvested equity-based awards issued under the 2018 Incentve Plan that have been outstanding for one year or more prior to the date of terminaton and (vi) certain other benefts.</w:t>
      </w:r>
    </w:p>
    <w:p>
      <w:pPr>
        <w:spacing w:after="0" w:line="178" w:lineRule="exact"/>
        <w:rPr>
          <w:sz w:val="20"/>
          <w:szCs w:val="20"/>
          <w:color w:val="auto"/>
        </w:rPr>
      </w:pPr>
    </w:p>
    <w:p>
      <w:pPr>
        <w:ind w:left="200" w:right="299"/>
        <w:spacing w:after="0" w:line="235" w:lineRule="auto"/>
        <w:rPr>
          <w:sz w:val="20"/>
          <w:szCs w:val="20"/>
          <w:color w:val="auto"/>
        </w:rPr>
      </w:pPr>
      <w:r>
        <w:rPr>
          <w:rFonts w:ascii="Calibri" w:cs="Calibri" w:eastAsia="Calibri" w:hAnsi="Calibri"/>
          <w:sz w:val="18"/>
          <w:szCs w:val="18"/>
          <w:color w:val="auto"/>
        </w:rPr>
        <w:t>Any additonal severance beneft payable to the NEOs, including Mr. Lampropoulos, is solely at the discreton of the Company. A terminaton is deemed to be in Connecton with a Change in Control if it occurs on or within two years afer the date of a Change in Control or, in the case of involuntary terminaton without Cause, within six months prior to a Change in Control and in antcipaton of the Change in Control.</w:t>
      </w:r>
    </w:p>
    <w:p>
      <w:pPr>
        <w:spacing w:after="0" w:line="179" w:lineRule="exact"/>
        <w:rPr>
          <w:sz w:val="20"/>
          <w:szCs w:val="20"/>
          <w:color w:val="auto"/>
        </w:rPr>
      </w:pPr>
    </w:p>
    <w:p>
      <w:pPr>
        <w:ind w:left="200" w:right="1079"/>
        <w:spacing w:after="0" w:line="235" w:lineRule="auto"/>
        <w:rPr>
          <w:sz w:val="20"/>
          <w:szCs w:val="20"/>
          <w:color w:val="auto"/>
        </w:rPr>
      </w:pPr>
      <w:r>
        <w:rPr>
          <w:rFonts w:ascii="Calibri" w:cs="Calibri" w:eastAsia="Calibri" w:hAnsi="Calibri"/>
          <w:sz w:val="18"/>
          <w:szCs w:val="18"/>
          <w:u w:val="single" w:color="auto"/>
          <w:color w:val="AF0000"/>
        </w:rPr>
        <w:t>Change in Control</w:t>
      </w:r>
      <w:r>
        <w:rPr>
          <w:rFonts w:ascii="Calibri" w:cs="Calibri" w:eastAsia="Calibri" w:hAnsi="Calibri"/>
          <w:sz w:val="18"/>
          <w:szCs w:val="18"/>
          <w:color w:val="AF0000"/>
        </w:rPr>
        <w:t xml:space="preserve"> </w:t>
      </w:r>
      <w:r>
        <w:rPr>
          <w:rFonts w:ascii="Calibri" w:cs="Calibri" w:eastAsia="Calibri" w:hAnsi="Calibri"/>
          <w:sz w:val="18"/>
          <w:szCs w:val="18"/>
          <w:color w:val="000000"/>
        </w:rPr>
        <w:t>has the meaning given to such term in the applicable agreement or plan. The Employment</w:t>
      </w:r>
      <w:r>
        <w:rPr>
          <w:rFonts w:ascii="Calibri" w:cs="Calibri" w:eastAsia="Calibri" w:hAnsi="Calibri"/>
          <w:sz w:val="18"/>
          <w:szCs w:val="18"/>
          <w:color w:val="AF0000"/>
        </w:rPr>
        <w:t xml:space="preserve"> </w:t>
      </w:r>
      <w:r>
        <w:rPr>
          <w:rFonts w:ascii="Calibri" w:cs="Calibri" w:eastAsia="Calibri" w:hAnsi="Calibri"/>
          <w:sz w:val="18"/>
          <w:szCs w:val="18"/>
          <w:color w:val="000000"/>
        </w:rPr>
        <w:t>Agreements generally defne a Change in Control as:</w:t>
      </w:r>
    </w:p>
    <w:p>
      <w:pPr>
        <w:spacing w:after="0" w:line="177" w:lineRule="exact"/>
        <w:rPr>
          <w:sz w:val="20"/>
          <w:szCs w:val="20"/>
          <w:color w:val="auto"/>
        </w:rPr>
      </w:pPr>
    </w:p>
    <w:p>
      <w:pPr>
        <w:jc w:val="both"/>
        <w:ind w:left="540" w:right="319" w:hanging="331"/>
        <w:spacing w:after="0" w:line="235" w:lineRule="auto"/>
        <w:tabs>
          <w:tab w:leader="none" w:pos="540" w:val="left"/>
        </w:tabs>
        <w:numPr>
          <w:ilvl w:val="0"/>
          <w:numId w:val="90"/>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the acquisiton in one or more integrated transactons by any individual, entty or group of benefcial ownership of more than 30% of the combined votng power of the then outstanding votng securites of the Company enttled to vote generally in the electon of directors;</w:t>
      </w:r>
    </w:p>
    <w:p>
      <w:pPr>
        <w:spacing w:after="0" w:line="173"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90"/>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certain changes in a majority of the Board within a 12-month period; and</w:t>
      </w:r>
    </w:p>
    <w:p>
      <w:pPr>
        <w:spacing w:after="0" w:line="190" w:lineRule="exact"/>
        <w:rPr>
          <w:rFonts w:ascii="Times New Roman" w:cs="Times New Roman" w:eastAsia="Times New Roman" w:hAnsi="Times New Roman"/>
          <w:sz w:val="18"/>
          <w:szCs w:val="18"/>
          <w:color w:val="AF0000"/>
        </w:rPr>
      </w:pPr>
    </w:p>
    <w:p>
      <w:pPr>
        <w:ind w:left="540" w:right="399" w:hanging="331"/>
        <w:spacing w:after="0" w:line="227" w:lineRule="auto"/>
        <w:tabs>
          <w:tab w:leader="none" w:pos="540" w:val="left"/>
        </w:tabs>
        <w:numPr>
          <w:ilvl w:val="0"/>
          <w:numId w:val="90"/>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consummaton of a reorganizaton, merger or consolidaton or sale or other dispositon of all or substantally all of our assets.</w:t>
      </w:r>
    </w:p>
    <w:p>
      <w:pPr>
        <w:spacing w:after="0" w:line="187"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The PSU award agreements and 2018 Incentve Plan generally defne a Change in Control as:</w:t>
      </w:r>
    </w:p>
    <w:p>
      <w:pPr>
        <w:spacing w:after="0" w:line="172" w:lineRule="exact"/>
        <w:rPr>
          <w:sz w:val="20"/>
          <w:szCs w:val="20"/>
          <w:color w:val="auto"/>
        </w:rPr>
      </w:pPr>
    </w:p>
    <w:p>
      <w:pPr>
        <w:ind w:left="540" w:hanging="331"/>
        <w:spacing w:after="0"/>
        <w:tabs>
          <w:tab w:leader="none" w:pos="540" w:val="left"/>
        </w:tabs>
        <w:numPr>
          <w:ilvl w:val="0"/>
          <w:numId w:val="9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certain changes in the majority of the Board within a 24-month period;</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9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the acquisiton by any person of 30% or more of the Common Stock or other votng securites;</w:t>
      </w:r>
    </w:p>
    <w:p>
      <w:pPr>
        <w:spacing w:after="0" w:line="190" w:lineRule="exact"/>
        <w:rPr>
          <w:rFonts w:ascii="Times New Roman" w:cs="Times New Roman" w:eastAsia="Times New Roman" w:hAnsi="Times New Roman"/>
          <w:sz w:val="18"/>
          <w:szCs w:val="18"/>
          <w:color w:val="AF0000"/>
        </w:rPr>
      </w:pPr>
    </w:p>
    <w:p>
      <w:pPr>
        <w:ind w:left="540" w:right="259" w:hanging="331"/>
        <w:spacing w:after="0" w:line="248" w:lineRule="auto"/>
        <w:tabs>
          <w:tab w:leader="none" w:pos="540" w:val="left"/>
        </w:tabs>
        <w:numPr>
          <w:ilvl w:val="0"/>
          <w:numId w:val="91"/>
        </w:numPr>
        <w:rPr>
          <w:rFonts w:ascii="Times New Roman" w:cs="Times New Roman" w:eastAsia="Times New Roman" w:hAnsi="Times New Roman"/>
          <w:sz w:val="17"/>
          <w:szCs w:val="17"/>
          <w:color w:val="AF0000"/>
        </w:rPr>
      </w:pPr>
      <w:r>
        <w:rPr>
          <w:rFonts w:ascii="Calibri" w:cs="Calibri" w:eastAsia="Calibri" w:hAnsi="Calibri"/>
          <w:sz w:val="17"/>
          <w:szCs w:val="17"/>
          <w:color w:val="auto"/>
        </w:rPr>
        <w:t>consummaton of a merger or reorganizaton of the Company that requires the approval of our shareholders, unless more than 30% of the total votng power of the surviving corporaton or its parent is represented by securites held by the company’s shareholders prior to the transacton, no person (other than an employee beneft plan sponsored or maintained by the surviving corporaton or its parent) owns more than 30% of the securites eligible to elect directors of the surviving corporaton or its parent, and at least a majority of the directors of the parent corporaton or the surviving corporaton were directors of the Company for a period of 12 months preceding such transacton;</w:t>
      </w:r>
    </w:p>
    <w:p>
      <w:pPr>
        <w:spacing w:after="0" w:line="166" w:lineRule="exact"/>
        <w:rPr>
          <w:rFonts w:ascii="Times New Roman" w:cs="Times New Roman" w:eastAsia="Times New Roman" w:hAnsi="Times New Roman"/>
          <w:sz w:val="17"/>
          <w:szCs w:val="17"/>
          <w:color w:val="AF0000"/>
        </w:rPr>
      </w:pPr>
    </w:p>
    <w:p>
      <w:pPr>
        <w:ind w:left="540" w:hanging="331"/>
        <w:spacing w:after="0"/>
        <w:tabs>
          <w:tab w:leader="none" w:pos="540" w:val="left"/>
        </w:tabs>
        <w:numPr>
          <w:ilvl w:val="0"/>
          <w:numId w:val="9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shareholder approval of a liquidaton or dissoluton of the Company; or</w:t>
      </w:r>
    </w:p>
    <w:p>
      <w:pPr>
        <w:spacing w:after="0" w:line="176" w:lineRule="exact"/>
        <w:rPr>
          <w:rFonts w:ascii="Times New Roman" w:cs="Times New Roman" w:eastAsia="Times New Roman" w:hAnsi="Times New Roman"/>
          <w:sz w:val="18"/>
          <w:szCs w:val="18"/>
          <w:color w:val="AF0000"/>
        </w:rPr>
      </w:pPr>
    </w:p>
    <w:p>
      <w:pPr>
        <w:ind w:left="540" w:right="699" w:hanging="331"/>
        <w:spacing w:after="0" w:line="235" w:lineRule="auto"/>
        <w:tabs>
          <w:tab w:leader="none" w:pos="540" w:val="left"/>
        </w:tabs>
        <w:numPr>
          <w:ilvl w:val="0"/>
          <w:numId w:val="91"/>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 sale or other dispositon of all or substantally all of our assets to another entty that is not controlled by our shareholders.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64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68" w:name="page69"/>
    <w:bookmarkEnd w:id="68"/>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5080"/>
        <w:spacing w:after="0"/>
        <w:rPr>
          <w:sz w:val="20"/>
          <w:szCs w:val="20"/>
          <w:color w:val="auto"/>
        </w:rPr>
      </w:pPr>
      <w:r>
        <w:rPr>
          <w:rFonts w:ascii="Calibri" w:cs="Calibri" w:eastAsia="Calibri" w:hAnsi="Calibri"/>
          <w:sz w:val="17"/>
          <w:szCs w:val="17"/>
          <w:color w:val="auto"/>
        </w:rPr>
        <w:t>EXECUTIVE COMPENSATION AND RELATED MATTERS</w:t>
      </w:r>
    </w:p>
    <w:p>
      <w:pPr>
        <w:spacing w:after="0" w:line="179"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Terminaton for Good Reason or Without Cause in Connecton with a Change in Control</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If an NEO’s employment with the Company is terminated by the NEO for Good Reason in Connecton with a Change in</w:t>
      </w:r>
    </w:p>
    <w:p>
      <w:pPr>
        <w:ind w:left="200"/>
        <w:spacing w:after="0" w:line="235" w:lineRule="auto"/>
        <w:rPr>
          <w:sz w:val="20"/>
          <w:szCs w:val="20"/>
          <w:color w:val="auto"/>
        </w:rPr>
      </w:pPr>
      <w:r>
        <w:rPr>
          <w:rFonts w:ascii="Calibri" w:cs="Calibri" w:eastAsia="Calibri" w:hAnsi="Calibri"/>
          <w:sz w:val="18"/>
          <w:szCs w:val="18"/>
          <w:color w:val="auto"/>
        </w:rPr>
        <w:t>Control or by the Company without Cause in Connecton with a Change in Control, the Company is obligated to:</w:t>
      </w:r>
    </w:p>
    <w:p>
      <w:pPr>
        <w:spacing w:after="0" w:line="173" w:lineRule="exact"/>
        <w:rPr>
          <w:sz w:val="20"/>
          <w:szCs w:val="20"/>
          <w:color w:val="auto"/>
        </w:rPr>
      </w:pPr>
    </w:p>
    <w:p>
      <w:pPr>
        <w:ind w:left="540" w:hanging="331"/>
        <w:spacing w:after="0"/>
        <w:tabs>
          <w:tab w:leader="none" w:pos="540" w:val="left"/>
        </w:tabs>
        <w:numPr>
          <w:ilvl w:val="0"/>
          <w:numId w:val="92"/>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pay to the NEO any Accrued Obligatons to the extent not already paid;</w:t>
      </w:r>
    </w:p>
    <w:p>
      <w:pPr>
        <w:spacing w:after="0" w:line="176" w:lineRule="exact"/>
        <w:rPr>
          <w:rFonts w:ascii="Times New Roman" w:cs="Times New Roman" w:eastAsia="Times New Roman" w:hAnsi="Times New Roman"/>
          <w:sz w:val="18"/>
          <w:szCs w:val="18"/>
          <w:color w:val="AF0000"/>
        </w:rPr>
      </w:pPr>
    </w:p>
    <w:p>
      <w:pPr>
        <w:jc w:val="both"/>
        <w:ind w:left="540" w:right="219" w:hanging="331"/>
        <w:spacing w:after="0" w:line="235" w:lineRule="auto"/>
        <w:tabs>
          <w:tab w:leader="none" w:pos="540" w:val="left"/>
        </w:tabs>
        <w:numPr>
          <w:ilvl w:val="0"/>
          <w:numId w:val="92"/>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pay to the NEO a cash severance beneft equal to two tmes (three tmes solely in the case of the CEO) the sum of (i) the NEO’s annual base salary then in efect, and (ii) the NEO’s average annual bonus for the last three full fscal years ending prior to the Change in Control;</w:t>
      </w:r>
    </w:p>
    <w:p>
      <w:pPr>
        <w:spacing w:after="0" w:line="191" w:lineRule="exact"/>
        <w:rPr>
          <w:rFonts w:ascii="Times New Roman" w:cs="Times New Roman" w:eastAsia="Times New Roman" w:hAnsi="Times New Roman"/>
          <w:sz w:val="18"/>
          <w:szCs w:val="18"/>
          <w:color w:val="AF0000"/>
        </w:rPr>
      </w:pPr>
    </w:p>
    <w:p>
      <w:pPr>
        <w:ind w:left="540" w:right="319" w:hanging="331"/>
        <w:spacing w:after="0" w:line="235" w:lineRule="auto"/>
        <w:tabs>
          <w:tab w:leader="none" w:pos="540" w:val="left"/>
        </w:tabs>
        <w:numPr>
          <w:ilvl w:val="0"/>
          <w:numId w:val="92"/>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contnue to provide group health benefts to the NEO and/or NEO’s eligible spouse and dependent children for two years (three years solely in the case of the CEO) afer the date of the NEO’s terminaton;</w:t>
      </w:r>
    </w:p>
    <w:p>
      <w:pPr>
        <w:spacing w:after="0" w:line="172"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92"/>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provide the NEO with certain outplacement services at our expense;</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92"/>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pay or provide to the NEO certain other accrued benefts to the extent not already paid or provided; and</w:t>
      </w:r>
    </w:p>
    <w:p>
      <w:pPr>
        <w:spacing w:after="0" w:line="190" w:lineRule="exact"/>
        <w:rPr>
          <w:rFonts w:ascii="Times New Roman" w:cs="Times New Roman" w:eastAsia="Times New Roman" w:hAnsi="Times New Roman"/>
          <w:sz w:val="18"/>
          <w:szCs w:val="18"/>
          <w:color w:val="AF0000"/>
        </w:rPr>
      </w:pPr>
    </w:p>
    <w:p>
      <w:pPr>
        <w:ind w:left="540" w:right="299" w:hanging="331"/>
        <w:spacing w:after="0" w:line="235" w:lineRule="auto"/>
        <w:tabs>
          <w:tab w:leader="none" w:pos="540" w:val="left"/>
        </w:tabs>
        <w:numPr>
          <w:ilvl w:val="0"/>
          <w:numId w:val="92"/>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provide the total Target PSU Shares (and the Target Cash Incentve, in the case of Mr. Lampropoulos) under the PSU award agreements, without regard to the Company’s performance or other vestng requirements.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The Employment Agreements, PSU award agreements and 2018 Incentve Plan generally defne </w:t>
      </w:r>
      <w:r>
        <w:rPr>
          <w:rFonts w:ascii="Calibri" w:cs="Calibri" w:eastAsia="Calibri" w:hAnsi="Calibri"/>
          <w:sz w:val="18"/>
          <w:szCs w:val="18"/>
          <w:u w:val="single" w:color="auto"/>
          <w:color w:val="AF0000"/>
        </w:rPr>
        <w:t>Cause</w:t>
      </w:r>
      <w:r>
        <w:rPr>
          <w:rFonts w:ascii="Calibri" w:cs="Calibri" w:eastAsia="Calibri" w:hAnsi="Calibri"/>
          <w:sz w:val="18"/>
          <w:szCs w:val="18"/>
          <w:color w:val="auto"/>
        </w:rPr>
        <w:t xml:space="preserve"> as:</w:t>
      </w:r>
    </w:p>
    <w:p>
      <w:pPr>
        <w:spacing w:after="0" w:line="177" w:lineRule="exact"/>
        <w:rPr>
          <w:sz w:val="20"/>
          <w:szCs w:val="20"/>
          <w:color w:val="auto"/>
        </w:rPr>
      </w:pPr>
    </w:p>
    <w:p>
      <w:pPr>
        <w:ind w:left="540" w:right="359" w:hanging="331"/>
        <w:spacing w:after="0" w:line="235" w:lineRule="auto"/>
        <w:tabs>
          <w:tab w:leader="none" w:pos="540" w:val="left"/>
        </w:tabs>
        <w:numPr>
          <w:ilvl w:val="0"/>
          <w:numId w:val="93"/>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the willful and contnued failure of an NEO to perform his or her dutes afer a writen demand for substantal performance specifcally identfying the defciencies in the Executve’s performance has been delivered to the NEO by the Board or, in the case of all NEOs other than the CEO, by the CEO;</w:t>
      </w:r>
    </w:p>
    <w:p>
      <w:pPr>
        <w:spacing w:after="0" w:line="191" w:lineRule="exact"/>
        <w:rPr>
          <w:rFonts w:ascii="Times New Roman" w:cs="Times New Roman" w:eastAsia="Times New Roman" w:hAnsi="Times New Roman"/>
          <w:sz w:val="18"/>
          <w:szCs w:val="18"/>
          <w:color w:val="AF0000"/>
        </w:rPr>
      </w:pPr>
    </w:p>
    <w:p>
      <w:pPr>
        <w:ind w:left="540" w:right="419" w:hanging="331"/>
        <w:spacing w:after="0" w:line="227" w:lineRule="auto"/>
        <w:tabs>
          <w:tab w:leader="none" w:pos="540" w:val="left"/>
        </w:tabs>
        <w:numPr>
          <w:ilvl w:val="0"/>
          <w:numId w:val="93"/>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the willful engaging by an NEO in illegal conduct, intentonal misconduct or gross negligence which materially and demonstrably injures the Company; or</w:t>
      </w:r>
    </w:p>
    <w:p>
      <w:pPr>
        <w:spacing w:after="0" w:line="191" w:lineRule="exact"/>
        <w:rPr>
          <w:rFonts w:ascii="Times New Roman" w:cs="Times New Roman" w:eastAsia="Times New Roman" w:hAnsi="Times New Roman"/>
          <w:sz w:val="18"/>
          <w:szCs w:val="18"/>
          <w:color w:val="AF0000"/>
        </w:rPr>
      </w:pPr>
    </w:p>
    <w:p>
      <w:pPr>
        <w:ind w:left="540" w:right="699" w:hanging="331"/>
        <w:spacing w:after="0" w:line="235" w:lineRule="auto"/>
        <w:tabs>
          <w:tab w:leader="none" w:pos="540" w:val="left"/>
        </w:tabs>
        <w:numPr>
          <w:ilvl w:val="0"/>
          <w:numId w:val="93"/>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violaton of writen Company policies prohibitng workplace discriminaton, sexual harassment, and alcohol or substance abuse.</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The Employment Agreements, PSU award agreements and 2018 Incentve Plan generally defne </w:t>
      </w:r>
      <w:r>
        <w:rPr>
          <w:rFonts w:ascii="Calibri" w:cs="Calibri" w:eastAsia="Calibri" w:hAnsi="Calibri"/>
          <w:sz w:val="18"/>
          <w:szCs w:val="18"/>
          <w:u w:val="single" w:color="auto"/>
          <w:color w:val="AF0000"/>
        </w:rPr>
        <w:t>Good Reason</w:t>
      </w:r>
      <w:r>
        <w:rPr>
          <w:rFonts w:ascii="Calibri" w:cs="Calibri" w:eastAsia="Calibri" w:hAnsi="Calibri"/>
          <w:sz w:val="18"/>
          <w:szCs w:val="18"/>
          <w:color w:val="auto"/>
        </w:rPr>
        <w:t xml:space="preserve"> as:</w:t>
      </w:r>
    </w:p>
    <w:p>
      <w:pPr>
        <w:spacing w:after="0" w:line="177" w:lineRule="exact"/>
        <w:rPr>
          <w:sz w:val="20"/>
          <w:szCs w:val="20"/>
          <w:color w:val="auto"/>
        </w:rPr>
      </w:pPr>
    </w:p>
    <w:p>
      <w:pPr>
        <w:ind w:left="540" w:right="439" w:hanging="331"/>
        <w:spacing w:after="0" w:line="235" w:lineRule="auto"/>
        <w:tabs>
          <w:tab w:leader="none" w:pos="540" w:val="left"/>
        </w:tabs>
        <w:numPr>
          <w:ilvl w:val="0"/>
          <w:numId w:val="94"/>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our assignment to the NEO, upon or within two years afer a Change in Control, of any dutes inconsistent with or that diminishes the NEO’s dutes, authority or responsibilites under the terms of the NEO’s Employment Agreement;</w:t>
      </w:r>
    </w:p>
    <w:p>
      <w:pPr>
        <w:spacing w:after="0" w:line="186"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94"/>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our failure to comply with certain compensaton provisions in the Employment Agreements;</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94"/>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requiring the NEO to relocate to another ofce or locaton upon or within two years of a Change in Control; or</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94"/>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our failure to require any successor entty to comply with the terms of a respectve Employment Agreement.</w:t>
      </w:r>
    </w:p>
    <w:p>
      <w:pPr>
        <w:spacing w:after="0" w:line="185"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Terminaton for Cause or Without Good Reason Following a Change in Control</w:t>
      </w:r>
    </w:p>
    <w:p>
      <w:pPr>
        <w:spacing w:after="0" w:line="177" w:lineRule="exact"/>
        <w:rPr>
          <w:sz w:val="20"/>
          <w:szCs w:val="20"/>
          <w:color w:val="auto"/>
        </w:rPr>
      </w:pPr>
    </w:p>
    <w:p>
      <w:pPr>
        <w:ind w:left="200" w:right="219"/>
        <w:spacing w:after="0" w:line="248" w:lineRule="auto"/>
        <w:rPr>
          <w:sz w:val="20"/>
          <w:szCs w:val="20"/>
          <w:color w:val="auto"/>
        </w:rPr>
      </w:pPr>
      <w:r>
        <w:rPr>
          <w:rFonts w:ascii="Calibri" w:cs="Calibri" w:eastAsia="Calibri" w:hAnsi="Calibri"/>
          <w:sz w:val="17"/>
          <w:szCs w:val="17"/>
          <w:color w:val="auto"/>
        </w:rPr>
        <w:t>If the Company terminates an NEO’s employment for Cause on or afer the date of a Change in Control, the Company must pay to the NEO his or her annual base salary and accrued vacaton and must contnue to pay and/or provide certain other welfare benefts to the extent not already provided and/or unpaid. If an NEO voluntarily terminates his or her employment without Good Reason upon or following a Change in Control, the Company is obligated to pay the NEO for Accrued Obligatons and to provide certain other accrued benefts to the extent not already paid and/or provided.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69" w:name="page70"/>
    <w:bookmarkEnd w:id="69"/>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31"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Terminaton upon Death or Disability</w:t>
      </w:r>
    </w:p>
    <w:p>
      <w:pPr>
        <w:spacing w:after="0" w:line="177" w:lineRule="exact"/>
        <w:rPr>
          <w:sz w:val="20"/>
          <w:szCs w:val="20"/>
          <w:color w:val="auto"/>
        </w:rPr>
      </w:pPr>
    </w:p>
    <w:p>
      <w:pPr>
        <w:ind w:left="200" w:right="259"/>
        <w:spacing w:after="0" w:line="249" w:lineRule="auto"/>
        <w:rPr>
          <w:sz w:val="20"/>
          <w:szCs w:val="20"/>
          <w:color w:val="auto"/>
        </w:rPr>
      </w:pPr>
      <w:r>
        <w:rPr>
          <w:rFonts w:ascii="Calibri" w:cs="Calibri" w:eastAsia="Calibri" w:hAnsi="Calibri"/>
          <w:sz w:val="17"/>
          <w:szCs w:val="17"/>
          <w:color w:val="auto"/>
        </w:rPr>
        <w:t>Upon an NEO’s terminaton of employment as a result of death or disability, other than in Connecton with a Change in Control, the Company is obligated to pay the NEO (or the NEO’s estate) an amount equal to Accrued Obligatons plus any additonal discretonary severance benefts approved by the Compensaton Commitee. If an NEO’s employment is terminated afer the date of a Change in Control by reason of the NEO’s death, the Company must also contnue to provide certain welfare benefts to the NEOs family for a stated period. If an NEO’s employment is terminated afer the date of a Change in Control by reason of the NEO’s disability, the Company must also contnue to provide certain welfare benefts. Afer the end of the applicable performance period under his or her PSU award agreement, each such deceased or disabled NEO (or the NEO’s estate) shall also receive a pro rata porton of the number of shares of Common Stock (and in the case of Mr. Lampropoulos, a pro rata porton of the PSU Cash Incentve) that would have been received under his or her PSU award agreements had the NEO remained in contnuous service with the Company.</w:t>
      </w:r>
    </w:p>
    <w:p>
      <w:pPr>
        <w:spacing w:after="0" w:line="164"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Accelerated Stock Opton and PSU Vestng Upon a Change in Control</w:t>
      </w:r>
    </w:p>
    <w:p>
      <w:pPr>
        <w:spacing w:after="0" w:line="177" w:lineRule="exact"/>
        <w:rPr>
          <w:sz w:val="20"/>
          <w:szCs w:val="20"/>
          <w:color w:val="auto"/>
        </w:rPr>
      </w:pPr>
    </w:p>
    <w:p>
      <w:pPr>
        <w:ind w:left="200" w:right="239"/>
        <w:spacing w:after="0" w:line="235" w:lineRule="auto"/>
        <w:rPr>
          <w:sz w:val="20"/>
          <w:szCs w:val="20"/>
          <w:color w:val="auto"/>
        </w:rPr>
      </w:pPr>
      <w:r>
        <w:rPr>
          <w:rFonts w:ascii="Calibri" w:cs="Calibri" w:eastAsia="Calibri" w:hAnsi="Calibri"/>
          <w:sz w:val="18"/>
          <w:szCs w:val="18"/>
          <w:color w:val="auto"/>
        </w:rPr>
        <w:t>Under our 2018 Incentve Plan, all otherwise unvested stock optons held by NEOs become fully vested upon a Change in Control, without regard to whether the NEO terminates employment. Additonally, the Target PSU Shares under unvested PSU award agreements (and the Target Cash Incentve in the case of Mr. Lampropoulos) shall be payable without regard to otherwise applicable performance conditons.</w:t>
      </w:r>
    </w:p>
    <w:p>
      <w:pPr>
        <w:spacing w:after="0" w:line="167"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Amounts Payable upon a Change in Control without Terminaton of Employment</w:t>
      </w:r>
    </w:p>
    <w:p>
      <w:pPr>
        <w:spacing w:after="0" w:line="146" w:lineRule="exact"/>
        <w:rPr>
          <w:sz w:val="20"/>
          <w:szCs w:val="20"/>
          <w:color w:val="auto"/>
        </w:rPr>
      </w:pPr>
    </w:p>
    <w:p>
      <w:pPr>
        <w:ind w:left="200" w:right="299"/>
        <w:spacing w:after="0" w:line="234" w:lineRule="auto"/>
        <w:rPr>
          <w:sz w:val="20"/>
          <w:szCs w:val="20"/>
          <w:color w:val="auto"/>
        </w:rPr>
      </w:pPr>
      <w:r>
        <w:rPr>
          <w:rFonts w:ascii="Calibri" w:cs="Calibri" w:eastAsia="Calibri" w:hAnsi="Calibri"/>
          <w:sz w:val="18"/>
          <w:szCs w:val="18"/>
          <w:color w:val="auto"/>
        </w:rPr>
        <w:t>The following table shows for each NEO the intrinsic value of his or her otherwise unvested stock optons and PSUs on December 31, 2023 that would have vested had a “Change in Control” within the meaning of the Employment Agreements occurred on that date. For optons, the intrinsic value is calculated by multplying the number of underlying shares by the closing price of Common Stock on the last trading day of 2023 and by then subtractng the applicable opton exercise price. For PSUs, the intrinsic value is calculated by multplying the Target PSU Shares by the closing price of Common Stock on the last trading day of 2023, and in the case of Mr. Lampropoulos includes the Target Cash Incentves of $666,667, $1,000,000 and $1,333,333 under unvested PSU awards granted in 2021, 2022 and 2023, respectvely. The Employment Agreements do not provide for any additonal payments to the NEOs merely upon a Change in Control (i.e., absent a terminaton of employment of the NEOs).</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211"/>
        </w:trPr>
        <w:tc>
          <w:tcPr>
            <w:tcW w:w="2180" w:type="dxa"/>
            <w:vAlign w:val="bottom"/>
            <w:tcBorders>
              <w:top w:val="single" w:sz="8" w:color="AF0000"/>
            </w:tcBorders>
          </w:tcPr>
          <w:p>
            <w:pPr>
              <w:spacing w:after="0"/>
              <w:rPr>
                <w:sz w:val="18"/>
                <w:szCs w:val="18"/>
                <w:color w:val="auto"/>
              </w:rPr>
            </w:pPr>
          </w:p>
        </w:tc>
        <w:tc>
          <w:tcPr>
            <w:tcW w:w="2280" w:type="dxa"/>
            <w:vAlign w:val="bottom"/>
            <w:tcBorders>
              <w:top w:val="single" w:sz="8" w:color="AF0000"/>
            </w:tcBorders>
          </w:tcPr>
          <w:p>
            <w:pPr>
              <w:jc w:val="center"/>
              <w:ind w:left="99"/>
              <w:spacing w:after="0"/>
              <w:rPr>
                <w:sz w:val="20"/>
                <w:szCs w:val="20"/>
                <w:color w:val="auto"/>
              </w:rPr>
            </w:pPr>
            <w:r>
              <w:rPr>
                <w:rFonts w:ascii="Calibri" w:cs="Calibri" w:eastAsia="Calibri" w:hAnsi="Calibri"/>
                <w:sz w:val="16"/>
                <w:szCs w:val="16"/>
                <w:b w:val="1"/>
                <w:bCs w:val="1"/>
                <w:color w:val="auto"/>
              </w:rPr>
              <w:t>Intrinsic Value of Stock</w:t>
            </w:r>
          </w:p>
        </w:tc>
        <w:tc>
          <w:tcPr>
            <w:tcW w:w="2300" w:type="dxa"/>
            <w:vAlign w:val="bottom"/>
            <w:tcBorders>
              <w:top w:val="single" w:sz="8" w:color="AF0000"/>
            </w:tcBorders>
          </w:tcPr>
          <w:p>
            <w:pPr>
              <w:jc w:val="center"/>
              <w:ind w:right="119"/>
              <w:spacing w:after="0"/>
              <w:rPr>
                <w:sz w:val="20"/>
                <w:szCs w:val="20"/>
                <w:color w:val="auto"/>
              </w:rPr>
            </w:pPr>
            <w:r>
              <w:rPr>
                <w:rFonts w:ascii="Calibri" w:cs="Calibri" w:eastAsia="Calibri" w:hAnsi="Calibri"/>
                <w:sz w:val="16"/>
                <w:szCs w:val="16"/>
                <w:b w:val="1"/>
                <w:bCs w:val="1"/>
                <w:color w:val="auto"/>
              </w:rPr>
              <w:t>Intrinsic Value of Stock</w:t>
            </w:r>
          </w:p>
        </w:tc>
        <w:tc>
          <w:tcPr>
            <w:tcW w:w="1820" w:type="dxa"/>
            <w:vAlign w:val="bottom"/>
            <w:tcBorders>
              <w:top w:val="single" w:sz="8" w:color="AF0000"/>
            </w:tcBorders>
          </w:tcPr>
          <w:p>
            <w:pPr>
              <w:spacing w:after="0"/>
              <w:rPr>
                <w:sz w:val="18"/>
                <w:szCs w:val="18"/>
                <w:color w:val="auto"/>
              </w:rPr>
            </w:pPr>
          </w:p>
        </w:tc>
      </w:tr>
      <w:tr>
        <w:trPr>
          <w:trHeight w:val="215"/>
        </w:trPr>
        <w:tc>
          <w:tcPr>
            <w:tcW w:w="2180" w:type="dxa"/>
            <w:vAlign w:val="bottom"/>
            <w:tcBorders>
              <w:bottom w:val="single" w:sz="8" w:color="AF0000"/>
            </w:tcBorders>
          </w:tcPr>
          <w:p>
            <w:pPr>
              <w:ind w:left="80"/>
              <w:spacing w:after="0" w:line="193" w:lineRule="exact"/>
              <w:rPr>
                <w:sz w:val="20"/>
                <w:szCs w:val="20"/>
                <w:color w:val="auto"/>
              </w:rPr>
            </w:pPr>
            <w:r>
              <w:rPr>
                <w:rFonts w:ascii="Calibri" w:cs="Calibri" w:eastAsia="Calibri" w:hAnsi="Calibri"/>
                <w:sz w:val="16"/>
                <w:szCs w:val="16"/>
                <w:b w:val="1"/>
                <w:bCs w:val="1"/>
                <w:color w:val="auto"/>
              </w:rPr>
              <w:t>Named Executve Ofcer</w:t>
            </w:r>
          </w:p>
        </w:tc>
        <w:tc>
          <w:tcPr>
            <w:tcW w:w="2280" w:type="dxa"/>
            <w:vAlign w:val="bottom"/>
            <w:tcBorders>
              <w:bottom w:val="single" w:sz="8" w:color="AF0000"/>
            </w:tcBorders>
          </w:tcPr>
          <w:p>
            <w:pPr>
              <w:jc w:val="center"/>
              <w:ind w:left="99"/>
              <w:spacing w:after="0" w:line="193" w:lineRule="exact"/>
              <w:rPr>
                <w:sz w:val="20"/>
                <w:szCs w:val="20"/>
                <w:color w:val="auto"/>
              </w:rPr>
            </w:pPr>
            <w:r>
              <w:rPr>
                <w:rFonts w:ascii="Calibri" w:cs="Calibri" w:eastAsia="Calibri" w:hAnsi="Calibri"/>
                <w:sz w:val="16"/>
                <w:szCs w:val="16"/>
                <w:b w:val="1"/>
                <w:bCs w:val="1"/>
                <w:color w:val="auto"/>
              </w:rPr>
              <w:t>Optons ($)</w:t>
            </w:r>
          </w:p>
        </w:tc>
        <w:tc>
          <w:tcPr>
            <w:tcW w:w="2300" w:type="dxa"/>
            <w:vAlign w:val="bottom"/>
            <w:tcBorders>
              <w:bottom w:val="single" w:sz="8" w:color="AF0000"/>
            </w:tcBorders>
          </w:tcPr>
          <w:p>
            <w:pPr>
              <w:jc w:val="center"/>
              <w:ind w:right="139"/>
              <w:spacing w:after="0" w:line="193" w:lineRule="exact"/>
              <w:rPr>
                <w:sz w:val="20"/>
                <w:szCs w:val="20"/>
                <w:color w:val="auto"/>
              </w:rPr>
            </w:pPr>
            <w:r>
              <w:rPr>
                <w:rFonts w:ascii="Calibri" w:cs="Calibri" w:eastAsia="Calibri" w:hAnsi="Calibri"/>
                <w:sz w:val="16"/>
                <w:szCs w:val="16"/>
                <w:b w:val="1"/>
                <w:bCs w:val="1"/>
                <w:color w:val="auto"/>
              </w:rPr>
              <w:t>Awards (PSUs) ($)</w:t>
            </w:r>
          </w:p>
        </w:tc>
        <w:tc>
          <w:tcPr>
            <w:tcW w:w="1820" w:type="dxa"/>
            <w:vAlign w:val="bottom"/>
            <w:tcBorders>
              <w:bottom w:val="single" w:sz="8" w:color="AF0000"/>
            </w:tcBorders>
          </w:tcPr>
          <w:p>
            <w:pPr>
              <w:jc w:val="center"/>
              <w:ind w:right="99"/>
              <w:spacing w:after="0" w:line="193" w:lineRule="exact"/>
              <w:rPr>
                <w:sz w:val="20"/>
                <w:szCs w:val="20"/>
                <w:color w:val="auto"/>
              </w:rPr>
            </w:pPr>
            <w:r>
              <w:rPr>
                <w:rFonts w:ascii="Calibri" w:cs="Calibri" w:eastAsia="Calibri" w:hAnsi="Calibri"/>
                <w:sz w:val="16"/>
                <w:szCs w:val="16"/>
                <w:b w:val="1"/>
                <w:bCs w:val="1"/>
                <w:color w:val="auto"/>
              </w:rPr>
              <w:t>Total ($)</w:t>
            </w:r>
          </w:p>
        </w:tc>
      </w:tr>
      <w:tr>
        <w:trPr>
          <w:trHeight w:val="223"/>
        </w:trPr>
        <w:tc>
          <w:tcPr>
            <w:tcW w:w="2180" w:type="dxa"/>
            <w:vAlign w:val="bottom"/>
            <w:tcBorders>
              <w:bottom w:val="single" w:sz="8" w:color="A6A6A6"/>
            </w:tcBorders>
          </w:tcPr>
          <w:p>
            <w:pPr>
              <w:ind w:left="80"/>
              <w:spacing w:after="0"/>
              <w:rPr>
                <w:sz w:val="20"/>
                <w:szCs w:val="20"/>
                <w:color w:val="auto"/>
              </w:rPr>
            </w:pPr>
            <w:r>
              <w:rPr>
                <w:rFonts w:ascii="Calibri" w:cs="Calibri" w:eastAsia="Calibri" w:hAnsi="Calibri"/>
                <w:sz w:val="16"/>
                <w:szCs w:val="16"/>
                <w:color w:val="auto"/>
              </w:rPr>
              <w:t>Fred P. Lampropoulos</w:t>
            </w:r>
          </w:p>
        </w:tc>
        <w:tc>
          <w:tcPr>
            <w:tcW w:w="2280" w:type="dxa"/>
            <w:vAlign w:val="bottom"/>
            <w:tcBorders>
              <w:bottom w:val="single" w:sz="8" w:color="A6A6A6"/>
            </w:tcBorders>
          </w:tcPr>
          <w:p>
            <w:pPr>
              <w:jc w:val="center"/>
              <w:ind w:left="99"/>
              <w:spacing w:after="0" w:line="193" w:lineRule="exact"/>
              <w:rPr>
                <w:sz w:val="20"/>
                <w:szCs w:val="20"/>
                <w:color w:val="auto"/>
              </w:rPr>
            </w:pPr>
            <w:r>
              <w:rPr>
                <w:rFonts w:ascii="Calibri" w:cs="Calibri" w:eastAsia="Calibri" w:hAnsi="Calibri"/>
                <w:sz w:val="16"/>
                <w:szCs w:val="16"/>
                <w:color w:val="auto"/>
              </w:rPr>
              <w:t>2,866,023</w:t>
            </w:r>
          </w:p>
        </w:tc>
        <w:tc>
          <w:tcPr>
            <w:tcW w:w="2300" w:type="dxa"/>
            <w:vAlign w:val="bottom"/>
            <w:tcBorders>
              <w:bottom w:val="single" w:sz="8" w:color="A6A6A6"/>
            </w:tcBorders>
          </w:tcPr>
          <w:p>
            <w:pPr>
              <w:jc w:val="center"/>
              <w:ind w:right="119"/>
              <w:spacing w:after="0" w:line="193" w:lineRule="exact"/>
              <w:rPr>
                <w:sz w:val="20"/>
                <w:szCs w:val="20"/>
                <w:color w:val="auto"/>
              </w:rPr>
            </w:pPr>
            <w:r>
              <w:rPr>
                <w:rFonts w:ascii="Calibri" w:cs="Calibri" w:eastAsia="Calibri" w:hAnsi="Calibri"/>
                <w:sz w:val="16"/>
                <w:szCs w:val="16"/>
                <w:color w:val="auto"/>
              </w:rPr>
              <w:t>5,802,620</w:t>
            </w:r>
          </w:p>
        </w:tc>
        <w:tc>
          <w:tcPr>
            <w:tcW w:w="1820" w:type="dxa"/>
            <w:vAlign w:val="bottom"/>
            <w:tcBorders>
              <w:bottom w:val="single" w:sz="8" w:color="A6A6A6"/>
            </w:tcBorders>
          </w:tcPr>
          <w:p>
            <w:pPr>
              <w:jc w:val="center"/>
              <w:ind w:right="99"/>
              <w:spacing w:after="0" w:line="193" w:lineRule="exact"/>
              <w:rPr>
                <w:sz w:val="20"/>
                <w:szCs w:val="20"/>
                <w:color w:val="auto"/>
              </w:rPr>
            </w:pPr>
            <w:r>
              <w:rPr>
                <w:rFonts w:ascii="Calibri" w:cs="Calibri" w:eastAsia="Calibri" w:hAnsi="Calibri"/>
                <w:sz w:val="16"/>
                <w:szCs w:val="16"/>
                <w:color w:val="auto"/>
                <w:w w:val="98"/>
              </w:rPr>
              <w:t>8,668,643</w:t>
            </w:r>
          </w:p>
        </w:tc>
      </w:tr>
      <w:tr>
        <w:trPr>
          <w:trHeight w:val="223"/>
        </w:trPr>
        <w:tc>
          <w:tcPr>
            <w:tcW w:w="2180" w:type="dxa"/>
            <w:vAlign w:val="bottom"/>
            <w:tcBorders>
              <w:bottom w:val="single" w:sz="8" w:color="A6A6A6"/>
            </w:tcBorders>
          </w:tcPr>
          <w:p>
            <w:pPr>
              <w:ind w:left="80"/>
              <w:spacing w:after="0"/>
              <w:rPr>
                <w:sz w:val="20"/>
                <w:szCs w:val="20"/>
                <w:color w:val="auto"/>
              </w:rPr>
            </w:pPr>
            <w:r>
              <w:rPr>
                <w:rFonts w:ascii="Calibri" w:cs="Calibri" w:eastAsia="Calibri" w:hAnsi="Calibri"/>
                <w:sz w:val="16"/>
                <w:szCs w:val="16"/>
                <w:color w:val="auto"/>
              </w:rPr>
              <w:t>Raul Parra</w:t>
            </w:r>
          </w:p>
        </w:tc>
        <w:tc>
          <w:tcPr>
            <w:tcW w:w="2280" w:type="dxa"/>
            <w:vAlign w:val="bottom"/>
            <w:tcBorders>
              <w:bottom w:val="single" w:sz="8" w:color="A6A6A6"/>
            </w:tcBorders>
          </w:tcPr>
          <w:p>
            <w:pPr>
              <w:jc w:val="center"/>
              <w:ind w:left="99"/>
              <w:spacing w:after="0" w:line="193" w:lineRule="exact"/>
              <w:rPr>
                <w:sz w:val="20"/>
                <w:szCs w:val="20"/>
                <w:color w:val="auto"/>
              </w:rPr>
            </w:pPr>
            <w:r>
              <w:rPr>
                <w:rFonts w:ascii="Calibri" w:cs="Calibri" w:eastAsia="Calibri" w:hAnsi="Calibri"/>
                <w:sz w:val="16"/>
                <w:szCs w:val="16"/>
                <w:color w:val="auto"/>
              </w:rPr>
              <w:t>569,132</w:t>
            </w:r>
          </w:p>
        </w:tc>
        <w:tc>
          <w:tcPr>
            <w:tcW w:w="2300" w:type="dxa"/>
            <w:vAlign w:val="bottom"/>
            <w:tcBorders>
              <w:bottom w:val="single" w:sz="8" w:color="A6A6A6"/>
            </w:tcBorders>
          </w:tcPr>
          <w:p>
            <w:pPr>
              <w:jc w:val="center"/>
              <w:ind w:right="119"/>
              <w:spacing w:after="0" w:line="193" w:lineRule="exact"/>
              <w:rPr>
                <w:sz w:val="20"/>
                <w:szCs w:val="20"/>
                <w:color w:val="auto"/>
              </w:rPr>
            </w:pPr>
            <w:r>
              <w:rPr>
                <w:rFonts w:ascii="Calibri" w:cs="Calibri" w:eastAsia="Calibri" w:hAnsi="Calibri"/>
                <w:sz w:val="16"/>
                <w:szCs w:val="16"/>
                <w:color w:val="auto"/>
              </w:rPr>
              <w:t>1,546,546</w:t>
            </w:r>
          </w:p>
        </w:tc>
        <w:tc>
          <w:tcPr>
            <w:tcW w:w="1820" w:type="dxa"/>
            <w:vAlign w:val="bottom"/>
            <w:tcBorders>
              <w:bottom w:val="single" w:sz="8" w:color="A6A6A6"/>
            </w:tcBorders>
          </w:tcPr>
          <w:p>
            <w:pPr>
              <w:jc w:val="center"/>
              <w:ind w:right="99"/>
              <w:spacing w:after="0" w:line="193" w:lineRule="exact"/>
              <w:rPr>
                <w:sz w:val="20"/>
                <w:szCs w:val="20"/>
                <w:color w:val="auto"/>
              </w:rPr>
            </w:pPr>
            <w:r>
              <w:rPr>
                <w:rFonts w:ascii="Calibri" w:cs="Calibri" w:eastAsia="Calibri" w:hAnsi="Calibri"/>
                <w:sz w:val="16"/>
                <w:szCs w:val="16"/>
                <w:color w:val="auto"/>
                <w:w w:val="98"/>
              </w:rPr>
              <w:t>2,115,678</w:t>
            </w:r>
          </w:p>
        </w:tc>
      </w:tr>
      <w:tr>
        <w:trPr>
          <w:trHeight w:val="223"/>
        </w:trPr>
        <w:tc>
          <w:tcPr>
            <w:tcW w:w="2180" w:type="dxa"/>
            <w:vAlign w:val="bottom"/>
            <w:tcBorders>
              <w:bottom w:val="single" w:sz="8" w:color="A6A6A6"/>
            </w:tcBorders>
          </w:tcPr>
          <w:p>
            <w:pPr>
              <w:ind w:left="80"/>
              <w:spacing w:after="0"/>
              <w:rPr>
                <w:sz w:val="20"/>
                <w:szCs w:val="20"/>
                <w:color w:val="auto"/>
              </w:rPr>
            </w:pPr>
            <w:r>
              <w:rPr>
                <w:rFonts w:ascii="Calibri" w:cs="Calibri" w:eastAsia="Calibri" w:hAnsi="Calibri"/>
                <w:sz w:val="16"/>
                <w:szCs w:val="16"/>
                <w:color w:val="auto"/>
              </w:rPr>
              <w:t>Neil W. Peterson</w:t>
            </w:r>
          </w:p>
        </w:tc>
        <w:tc>
          <w:tcPr>
            <w:tcW w:w="2280" w:type="dxa"/>
            <w:vAlign w:val="bottom"/>
            <w:tcBorders>
              <w:bottom w:val="single" w:sz="8" w:color="A6A6A6"/>
            </w:tcBorders>
          </w:tcPr>
          <w:p>
            <w:pPr>
              <w:jc w:val="center"/>
              <w:ind w:left="99"/>
              <w:spacing w:after="0" w:line="193" w:lineRule="exact"/>
              <w:rPr>
                <w:sz w:val="20"/>
                <w:szCs w:val="20"/>
                <w:color w:val="auto"/>
              </w:rPr>
            </w:pPr>
            <w:r>
              <w:rPr>
                <w:rFonts w:ascii="Calibri" w:cs="Calibri" w:eastAsia="Calibri" w:hAnsi="Calibri"/>
                <w:sz w:val="16"/>
                <w:szCs w:val="16"/>
                <w:color w:val="auto"/>
              </w:rPr>
              <w:t>254,654</w:t>
            </w:r>
          </w:p>
        </w:tc>
        <w:tc>
          <w:tcPr>
            <w:tcW w:w="2300" w:type="dxa"/>
            <w:vAlign w:val="bottom"/>
            <w:tcBorders>
              <w:bottom w:val="single" w:sz="8" w:color="A6A6A6"/>
            </w:tcBorders>
          </w:tcPr>
          <w:p>
            <w:pPr>
              <w:jc w:val="center"/>
              <w:ind w:right="119"/>
              <w:spacing w:after="0" w:line="193" w:lineRule="exact"/>
              <w:rPr>
                <w:sz w:val="20"/>
                <w:szCs w:val="20"/>
                <w:color w:val="auto"/>
              </w:rPr>
            </w:pPr>
            <w:r>
              <w:rPr>
                <w:rFonts w:ascii="Calibri" w:cs="Calibri" w:eastAsia="Calibri" w:hAnsi="Calibri"/>
                <w:sz w:val="16"/>
                <w:szCs w:val="16"/>
                <w:color w:val="auto"/>
              </w:rPr>
              <w:t>996,139</w:t>
            </w:r>
          </w:p>
        </w:tc>
        <w:tc>
          <w:tcPr>
            <w:tcW w:w="1820" w:type="dxa"/>
            <w:vAlign w:val="bottom"/>
            <w:tcBorders>
              <w:bottom w:val="single" w:sz="8" w:color="A6A6A6"/>
            </w:tcBorders>
          </w:tcPr>
          <w:p>
            <w:pPr>
              <w:jc w:val="center"/>
              <w:ind w:right="99"/>
              <w:spacing w:after="0" w:line="193" w:lineRule="exact"/>
              <w:rPr>
                <w:sz w:val="20"/>
                <w:szCs w:val="20"/>
                <w:color w:val="auto"/>
              </w:rPr>
            </w:pPr>
            <w:r>
              <w:rPr>
                <w:rFonts w:ascii="Calibri" w:cs="Calibri" w:eastAsia="Calibri" w:hAnsi="Calibri"/>
                <w:sz w:val="16"/>
                <w:szCs w:val="16"/>
                <w:color w:val="auto"/>
                <w:w w:val="98"/>
              </w:rPr>
              <w:t>1,250,793</w:t>
            </w:r>
          </w:p>
        </w:tc>
      </w:tr>
      <w:tr>
        <w:trPr>
          <w:trHeight w:val="223"/>
        </w:trPr>
        <w:tc>
          <w:tcPr>
            <w:tcW w:w="2180" w:type="dxa"/>
            <w:vAlign w:val="bottom"/>
            <w:tcBorders>
              <w:bottom w:val="single" w:sz="8" w:color="A6A6A6"/>
            </w:tcBorders>
          </w:tcPr>
          <w:p>
            <w:pPr>
              <w:ind w:left="80"/>
              <w:spacing w:after="0"/>
              <w:rPr>
                <w:sz w:val="20"/>
                <w:szCs w:val="20"/>
                <w:color w:val="auto"/>
              </w:rPr>
            </w:pPr>
            <w:r>
              <w:rPr>
                <w:rFonts w:ascii="Calibri" w:cs="Calibri" w:eastAsia="Calibri" w:hAnsi="Calibri"/>
                <w:sz w:val="16"/>
                <w:szCs w:val="16"/>
                <w:color w:val="auto"/>
              </w:rPr>
              <w:t>Joseph C. Wright</w:t>
            </w:r>
          </w:p>
        </w:tc>
        <w:tc>
          <w:tcPr>
            <w:tcW w:w="2280" w:type="dxa"/>
            <w:vAlign w:val="bottom"/>
            <w:tcBorders>
              <w:bottom w:val="single" w:sz="8" w:color="A6A6A6"/>
            </w:tcBorders>
          </w:tcPr>
          <w:p>
            <w:pPr>
              <w:jc w:val="center"/>
              <w:ind w:left="99"/>
              <w:spacing w:after="0" w:line="193" w:lineRule="exact"/>
              <w:rPr>
                <w:sz w:val="20"/>
                <w:szCs w:val="20"/>
                <w:color w:val="auto"/>
              </w:rPr>
            </w:pPr>
            <w:r>
              <w:rPr>
                <w:rFonts w:ascii="Calibri" w:cs="Calibri" w:eastAsia="Calibri" w:hAnsi="Calibri"/>
                <w:sz w:val="16"/>
                <w:szCs w:val="16"/>
                <w:color w:val="auto"/>
              </w:rPr>
              <w:t>516,045</w:t>
            </w:r>
          </w:p>
        </w:tc>
        <w:tc>
          <w:tcPr>
            <w:tcW w:w="2300" w:type="dxa"/>
            <w:vAlign w:val="bottom"/>
            <w:tcBorders>
              <w:bottom w:val="single" w:sz="8" w:color="A6A6A6"/>
            </w:tcBorders>
          </w:tcPr>
          <w:p>
            <w:pPr>
              <w:jc w:val="center"/>
              <w:ind w:right="119"/>
              <w:spacing w:after="0" w:line="193" w:lineRule="exact"/>
              <w:rPr>
                <w:sz w:val="20"/>
                <w:szCs w:val="20"/>
                <w:color w:val="auto"/>
              </w:rPr>
            </w:pPr>
            <w:r>
              <w:rPr>
                <w:rFonts w:ascii="Calibri" w:cs="Calibri" w:eastAsia="Calibri" w:hAnsi="Calibri"/>
                <w:sz w:val="16"/>
                <w:szCs w:val="16"/>
                <w:color w:val="auto"/>
              </w:rPr>
              <w:t>1,266,177</w:t>
            </w:r>
          </w:p>
        </w:tc>
        <w:tc>
          <w:tcPr>
            <w:tcW w:w="1820" w:type="dxa"/>
            <w:vAlign w:val="bottom"/>
            <w:tcBorders>
              <w:bottom w:val="single" w:sz="8" w:color="A6A6A6"/>
            </w:tcBorders>
          </w:tcPr>
          <w:p>
            <w:pPr>
              <w:jc w:val="center"/>
              <w:ind w:right="99"/>
              <w:spacing w:after="0" w:line="193" w:lineRule="exact"/>
              <w:rPr>
                <w:sz w:val="20"/>
                <w:szCs w:val="20"/>
                <w:color w:val="auto"/>
              </w:rPr>
            </w:pPr>
            <w:r>
              <w:rPr>
                <w:rFonts w:ascii="Calibri" w:cs="Calibri" w:eastAsia="Calibri" w:hAnsi="Calibri"/>
                <w:sz w:val="16"/>
                <w:szCs w:val="16"/>
                <w:color w:val="auto"/>
                <w:w w:val="98"/>
              </w:rPr>
              <w:t>1,782,222</w:t>
            </w:r>
          </w:p>
        </w:tc>
      </w:tr>
      <w:tr>
        <w:trPr>
          <w:trHeight w:val="237"/>
        </w:trPr>
        <w:tc>
          <w:tcPr>
            <w:tcW w:w="2180" w:type="dxa"/>
            <w:vAlign w:val="bottom"/>
            <w:tcBorders>
              <w:bottom w:val="single" w:sz="8" w:color="AF0000"/>
            </w:tcBorders>
          </w:tcPr>
          <w:p>
            <w:pPr>
              <w:ind w:left="80"/>
              <w:spacing w:after="0"/>
              <w:rPr>
                <w:sz w:val="20"/>
                <w:szCs w:val="20"/>
                <w:color w:val="auto"/>
              </w:rPr>
            </w:pPr>
            <w:r>
              <w:rPr>
                <w:rFonts w:ascii="Calibri" w:cs="Calibri" w:eastAsia="Calibri" w:hAnsi="Calibri"/>
                <w:sz w:val="16"/>
                <w:szCs w:val="16"/>
                <w:color w:val="auto"/>
              </w:rPr>
              <w:t>Brian G. Lloyd</w:t>
            </w:r>
          </w:p>
        </w:tc>
        <w:tc>
          <w:tcPr>
            <w:tcW w:w="2280" w:type="dxa"/>
            <w:vAlign w:val="bottom"/>
            <w:tcBorders>
              <w:bottom w:val="single" w:sz="8" w:color="AF0000"/>
            </w:tcBorders>
          </w:tcPr>
          <w:p>
            <w:pPr>
              <w:jc w:val="center"/>
              <w:ind w:left="99"/>
              <w:spacing w:after="0" w:line="193" w:lineRule="exact"/>
              <w:rPr>
                <w:sz w:val="20"/>
                <w:szCs w:val="20"/>
                <w:color w:val="auto"/>
              </w:rPr>
            </w:pPr>
            <w:r>
              <w:rPr>
                <w:rFonts w:ascii="Calibri" w:cs="Calibri" w:eastAsia="Calibri" w:hAnsi="Calibri"/>
                <w:sz w:val="16"/>
                <w:szCs w:val="16"/>
                <w:color w:val="auto"/>
              </w:rPr>
              <w:t>516,045</w:t>
            </w:r>
          </w:p>
        </w:tc>
        <w:tc>
          <w:tcPr>
            <w:tcW w:w="2300" w:type="dxa"/>
            <w:vAlign w:val="bottom"/>
            <w:tcBorders>
              <w:bottom w:val="single" w:sz="8" w:color="AF0000"/>
            </w:tcBorders>
          </w:tcPr>
          <w:p>
            <w:pPr>
              <w:jc w:val="center"/>
              <w:ind w:right="119"/>
              <w:spacing w:after="0" w:line="193" w:lineRule="exact"/>
              <w:rPr>
                <w:sz w:val="20"/>
                <w:szCs w:val="20"/>
                <w:color w:val="auto"/>
              </w:rPr>
            </w:pPr>
            <w:r>
              <w:rPr>
                <w:rFonts w:ascii="Calibri" w:cs="Calibri" w:eastAsia="Calibri" w:hAnsi="Calibri"/>
                <w:sz w:val="16"/>
                <w:szCs w:val="16"/>
                <w:color w:val="auto"/>
              </w:rPr>
              <w:t>1,266,177</w:t>
            </w:r>
          </w:p>
        </w:tc>
        <w:tc>
          <w:tcPr>
            <w:tcW w:w="1820" w:type="dxa"/>
            <w:vAlign w:val="bottom"/>
            <w:tcBorders>
              <w:bottom w:val="single" w:sz="8" w:color="AF0000"/>
            </w:tcBorders>
          </w:tcPr>
          <w:p>
            <w:pPr>
              <w:jc w:val="center"/>
              <w:ind w:right="99"/>
              <w:spacing w:after="0" w:line="193" w:lineRule="exact"/>
              <w:rPr>
                <w:sz w:val="20"/>
                <w:szCs w:val="20"/>
                <w:color w:val="auto"/>
              </w:rPr>
            </w:pPr>
            <w:r>
              <w:rPr>
                <w:rFonts w:ascii="Calibri" w:cs="Calibri" w:eastAsia="Calibri" w:hAnsi="Calibri"/>
                <w:sz w:val="16"/>
                <w:szCs w:val="16"/>
                <w:color w:val="auto"/>
                <w:w w:val="98"/>
              </w:rPr>
              <w:t>1,782,222</w:t>
            </w:r>
          </w:p>
        </w:tc>
      </w:tr>
    </w:tbl>
    <w:p>
      <w:pPr>
        <w:spacing w:after="0" w:line="168"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Amounts Payable upon Terminaton of Employment</w:t>
      </w:r>
    </w:p>
    <w:p>
      <w:pPr>
        <w:spacing w:after="0" w:line="141"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Terminaton without Cause or For Good Reason in Connecton with a Change in Control.</w:t>
      </w:r>
    </w:p>
    <w:p>
      <w:pPr>
        <w:spacing w:after="0" w:line="190" w:lineRule="exact"/>
        <w:rPr>
          <w:sz w:val="20"/>
          <w:szCs w:val="20"/>
          <w:color w:val="auto"/>
        </w:rPr>
      </w:pPr>
    </w:p>
    <w:p>
      <w:pPr>
        <w:jc w:val="both"/>
        <w:ind w:left="200" w:right="359"/>
        <w:spacing w:after="0" w:line="246" w:lineRule="auto"/>
        <w:rPr>
          <w:sz w:val="20"/>
          <w:szCs w:val="20"/>
          <w:color w:val="auto"/>
        </w:rPr>
      </w:pPr>
      <w:r>
        <w:rPr>
          <w:rFonts w:ascii="Calibri" w:cs="Calibri" w:eastAsia="Calibri" w:hAnsi="Calibri"/>
          <w:sz w:val="17"/>
          <w:szCs w:val="17"/>
          <w:color w:val="auto"/>
        </w:rPr>
        <w:t>The following table shows the amounts that would be payable to each NEO if the Company had undergone a Change in Control within the meaning of the Employment Agreements and the NEO’s employment with the Company terminated voluntarily for Good Reason or involuntarily without Cause, in each case, on December 31, 2023.</w:t>
      </w:r>
    </w:p>
    <w:p>
      <w:pPr>
        <w:spacing w:after="0" w:line="200" w:lineRule="exact"/>
        <w:rPr>
          <w:sz w:val="20"/>
          <w:szCs w:val="20"/>
          <w:color w:val="auto"/>
        </w:rPr>
      </w:pPr>
    </w:p>
    <w:p>
      <w:pPr>
        <w:spacing w:after="0" w:line="387"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66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70" w:name="page71"/>
    <w:bookmarkEnd w:id="70"/>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5080"/>
        <w:spacing w:after="0"/>
        <w:rPr>
          <w:sz w:val="20"/>
          <w:szCs w:val="20"/>
          <w:color w:val="auto"/>
        </w:rPr>
      </w:pPr>
      <w:r>
        <w:rPr>
          <w:rFonts w:ascii="Calibri" w:cs="Calibri" w:eastAsia="Calibri" w:hAnsi="Calibri"/>
          <w:sz w:val="17"/>
          <w:szCs w:val="17"/>
          <w:color w:val="auto"/>
        </w:rPr>
        <w:t>EXECUTIVE COMPENSATION AND RELATED MATTERS</w:t>
      </w:r>
    </w:p>
    <w:p>
      <w:pPr>
        <w:spacing w:after="0" w:line="184" w:lineRule="exact"/>
        <w:rPr>
          <w:sz w:val="20"/>
          <w:szCs w:val="20"/>
          <w:color w:val="auto"/>
        </w:rPr>
      </w:pPr>
    </w:p>
    <w:p>
      <w:pPr>
        <w:ind w:left="200" w:right="319"/>
        <w:spacing w:after="0" w:line="235" w:lineRule="auto"/>
        <w:rPr>
          <w:sz w:val="20"/>
          <w:szCs w:val="20"/>
          <w:color w:val="auto"/>
        </w:rPr>
      </w:pPr>
      <w:r>
        <w:rPr>
          <w:rFonts w:ascii="Calibri" w:cs="Calibri" w:eastAsia="Calibri" w:hAnsi="Calibri"/>
          <w:sz w:val="18"/>
          <w:szCs w:val="18"/>
          <w:color w:val="auto"/>
        </w:rPr>
        <w:t>Amounts shown in the table do not refect any accrued vacaton and distributons from our 401(k) Plan that are payable to all salaried employees upon terminaton of employment:</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420" w:type="dxa"/>
            <w:vAlign w:val="bottom"/>
            <w:tcBorders>
              <w:top w:val="single" w:sz="8" w:color="AF0000"/>
            </w:tcBorders>
          </w:tcPr>
          <w:p>
            <w:pPr>
              <w:spacing w:after="0"/>
              <w:rPr>
                <w:sz w:val="15"/>
                <w:szCs w:val="15"/>
                <w:color w:val="auto"/>
              </w:rPr>
            </w:pPr>
          </w:p>
        </w:tc>
        <w:tc>
          <w:tcPr>
            <w:tcW w:w="1220" w:type="dxa"/>
            <w:vAlign w:val="bottom"/>
            <w:tcBorders>
              <w:top w:val="single" w:sz="8" w:color="AF0000"/>
            </w:tcBorders>
          </w:tcPr>
          <w:p>
            <w:pPr>
              <w:spacing w:after="0"/>
              <w:rPr>
                <w:sz w:val="15"/>
                <w:szCs w:val="15"/>
                <w:color w:val="auto"/>
              </w:rPr>
            </w:pPr>
          </w:p>
        </w:tc>
        <w:tc>
          <w:tcPr>
            <w:tcW w:w="1220" w:type="dxa"/>
            <w:vAlign w:val="bottom"/>
            <w:tcBorders>
              <w:top w:val="single" w:sz="8" w:color="AF0000"/>
            </w:tcBorders>
          </w:tcPr>
          <w:p>
            <w:pPr>
              <w:jc w:val="center"/>
              <w:spacing w:after="0"/>
              <w:rPr>
                <w:sz w:val="20"/>
                <w:szCs w:val="20"/>
                <w:color w:val="auto"/>
              </w:rPr>
            </w:pPr>
            <w:r>
              <w:rPr>
                <w:rFonts w:ascii="Calibri" w:cs="Calibri" w:eastAsia="Calibri" w:hAnsi="Calibri"/>
                <w:sz w:val="14"/>
                <w:szCs w:val="14"/>
                <w:b w:val="1"/>
                <w:bCs w:val="1"/>
                <w:color w:val="auto"/>
              </w:rPr>
              <w:t>Stock Opton</w:t>
            </w:r>
          </w:p>
        </w:tc>
        <w:tc>
          <w:tcPr>
            <w:tcW w:w="1200" w:type="dxa"/>
            <w:vAlign w:val="bottom"/>
            <w:tcBorders>
              <w:top w:val="single" w:sz="8" w:color="AF0000"/>
            </w:tcBorders>
          </w:tcPr>
          <w:p>
            <w:pPr>
              <w:jc w:val="center"/>
              <w:spacing w:after="0"/>
              <w:rPr>
                <w:sz w:val="20"/>
                <w:szCs w:val="20"/>
                <w:color w:val="auto"/>
              </w:rPr>
            </w:pPr>
            <w:r>
              <w:rPr>
                <w:rFonts w:ascii="Calibri" w:cs="Calibri" w:eastAsia="Calibri" w:hAnsi="Calibri"/>
                <w:sz w:val="14"/>
                <w:szCs w:val="14"/>
                <w:b w:val="1"/>
                <w:bCs w:val="1"/>
                <w:color w:val="auto"/>
              </w:rPr>
              <w:t>Stock Award</w:t>
            </w:r>
          </w:p>
        </w:tc>
        <w:tc>
          <w:tcPr>
            <w:tcW w:w="1200" w:type="dxa"/>
            <w:vAlign w:val="bottom"/>
            <w:tcBorders>
              <w:top w:val="single" w:sz="8" w:color="AF0000"/>
            </w:tcBorders>
          </w:tcPr>
          <w:p>
            <w:pPr>
              <w:jc w:val="center"/>
              <w:spacing w:after="0"/>
              <w:rPr>
                <w:sz w:val="20"/>
                <w:szCs w:val="20"/>
                <w:color w:val="auto"/>
              </w:rPr>
            </w:pPr>
            <w:r>
              <w:rPr>
                <w:rFonts w:ascii="Calibri" w:cs="Calibri" w:eastAsia="Calibri" w:hAnsi="Calibri"/>
                <w:sz w:val="14"/>
                <w:szCs w:val="14"/>
                <w:b w:val="1"/>
                <w:bCs w:val="1"/>
                <w:color w:val="auto"/>
              </w:rPr>
              <w:t>Health Plan</w:t>
            </w:r>
          </w:p>
        </w:tc>
        <w:tc>
          <w:tcPr>
            <w:tcW w:w="1280" w:type="dxa"/>
            <w:vAlign w:val="bottom"/>
            <w:tcBorders>
              <w:top w:val="single" w:sz="8" w:color="AF0000"/>
            </w:tcBorders>
          </w:tcPr>
          <w:p>
            <w:pPr>
              <w:spacing w:after="0"/>
              <w:rPr>
                <w:sz w:val="15"/>
                <w:szCs w:val="15"/>
                <w:color w:val="auto"/>
              </w:rPr>
            </w:pPr>
          </w:p>
        </w:tc>
        <w:tc>
          <w:tcPr>
            <w:tcW w:w="1040" w:type="dxa"/>
            <w:vAlign w:val="bottom"/>
            <w:tcBorders>
              <w:top w:val="single" w:sz="8" w:color="AF0000"/>
            </w:tcBorders>
          </w:tcPr>
          <w:p>
            <w:pPr>
              <w:spacing w:after="0"/>
              <w:rPr>
                <w:sz w:val="15"/>
                <w:szCs w:val="15"/>
                <w:color w:val="auto"/>
              </w:rPr>
            </w:pPr>
          </w:p>
        </w:tc>
      </w:tr>
      <w:tr>
        <w:trPr>
          <w:trHeight w:val="163"/>
        </w:trPr>
        <w:tc>
          <w:tcPr>
            <w:tcW w:w="1420" w:type="dxa"/>
            <w:vAlign w:val="bottom"/>
          </w:tcPr>
          <w:p>
            <w:pPr>
              <w:spacing w:after="0"/>
              <w:rPr>
                <w:sz w:val="14"/>
                <w:szCs w:val="14"/>
                <w:color w:val="auto"/>
              </w:rPr>
            </w:pPr>
          </w:p>
        </w:tc>
        <w:tc>
          <w:tcPr>
            <w:tcW w:w="1220" w:type="dxa"/>
            <w:vAlign w:val="bottom"/>
          </w:tcPr>
          <w:p>
            <w:pPr>
              <w:jc w:val="center"/>
              <w:spacing w:after="0" w:line="163" w:lineRule="exact"/>
              <w:rPr>
                <w:sz w:val="20"/>
                <w:szCs w:val="20"/>
                <w:color w:val="auto"/>
              </w:rPr>
            </w:pPr>
            <w:r>
              <w:rPr>
                <w:rFonts w:ascii="Calibri" w:cs="Calibri" w:eastAsia="Calibri" w:hAnsi="Calibri"/>
                <w:sz w:val="14"/>
                <w:szCs w:val="14"/>
                <w:b w:val="1"/>
                <w:bCs w:val="1"/>
                <w:color w:val="auto"/>
              </w:rPr>
              <w:t>Salary and</w:t>
            </w:r>
          </w:p>
        </w:tc>
        <w:tc>
          <w:tcPr>
            <w:tcW w:w="1220" w:type="dxa"/>
            <w:vAlign w:val="bottom"/>
          </w:tcPr>
          <w:p>
            <w:pPr>
              <w:jc w:val="center"/>
              <w:spacing w:after="0" w:line="163" w:lineRule="exact"/>
              <w:rPr>
                <w:sz w:val="20"/>
                <w:szCs w:val="20"/>
                <w:color w:val="auto"/>
              </w:rPr>
            </w:pPr>
            <w:r>
              <w:rPr>
                <w:rFonts w:ascii="Calibri" w:cs="Calibri" w:eastAsia="Calibri" w:hAnsi="Calibri"/>
                <w:sz w:val="14"/>
                <w:szCs w:val="14"/>
                <w:b w:val="1"/>
                <w:bCs w:val="1"/>
                <w:color w:val="auto"/>
              </w:rPr>
              <w:t>Vestng</w:t>
            </w:r>
          </w:p>
        </w:tc>
        <w:tc>
          <w:tcPr>
            <w:tcW w:w="1200" w:type="dxa"/>
            <w:vAlign w:val="bottom"/>
          </w:tcPr>
          <w:p>
            <w:pPr>
              <w:jc w:val="center"/>
              <w:spacing w:after="0" w:line="163" w:lineRule="exact"/>
              <w:rPr>
                <w:sz w:val="20"/>
                <w:szCs w:val="20"/>
                <w:color w:val="auto"/>
              </w:rPr>
            </w:pPr>
            <w:r>
              <w:rPr>
                <w:rFonts w:ascii="Calibri" w:cs="Calibri" w:eastAsia="Calibri" w:hAnsi="Calibri"/>
                <w:sz w:val="14"/>
                <w:szCs w:val="14"/>
                <w:b w:val="1"/>
                <w:bCs w:val="1"/>
                <w:color w:val="auto"/>
              </w:rPr>
              <w:t>Vestng</w:t>
            </w:r>
          </w:p>
        </w:tc>
        <w:tc>
          <w:tcPr>
            <w:tcW w:w="1200" w:type="dxa"/>
            <w:vAlign w:val="bottom"/>
          </w:tcPr>
          <w:p>
            <w:pPr>
              <w:jc w:val="center"/>
              <w:spacing w:after="0" w:line="163" w:lineRule="exact"/>
              <w:rPr>
                <w:sz w:val="20"/>
                <w:szCs w:val="20"/>
                <w:color w:val="auto"/>
              </w:rPr>
            </w:pPr>
            <w:r>
              <w:rPr>
                <w:rFonts w:ascii="Calibri" w:cs="Calibri" w:eastAsia="Calibri" w:hAnsi="Calibri"/>
                <w:sz w:val="14"/>
                <w:szCs w:val="14"/>
                <w:b w:val="1"/>
                <w:bCs w:val="1"/>
                <w:color w:val="auto"/>
                <w:w w:val="99"/>
              </w:rPr>
              <w:t>Coverage</w:t>
            </w:r>
          </w:p>
        </w:tc>
        <w:tc>
          <w:tcPr>
            <w:tcW w:w="1280" w:type="dxa"/>
            <w:vAlign w:val="bottom"/>
          </w:tcPr>
          <w:p>
            <w:pPr>
              <w:jc w:val="center"/>
              <w:spacing w:after="0" w:line="163" w:lineRule="exact"/>
              <w:rPr>
                <w:sz w:val="20"/>
                <w:szCs w:val="20"/>
                <w:color w:val="auto"/>
              </w:rPr>
            </w:pPr>
            <w:r>
              <w:rPr>
                <w:rFonts w:ascii="Calibri" w:cs="Calibri" w:eastAsia="Calibri" w:hAnsi="Calibri"/>
                <w:sz w:val="14"/>
                <w:szCs w:val="14"/>
                <w:b w:val="1"/>
                <w:bCs w:val="1"/>
                <w:color w:val="auto"/>
              </w:rPr>
              <w:t>Deferred</w:t>
            </w:r>
          </w:p>
        </w:tc>
        <w:tc>
          <w:tcPr>
            <w:tcW w:w="1040" w:type="dxa"/>
            <w:vAlign w:val="bottom"/>
          </w:tcPr>
          <w:p>
            <w:pPr>
              <w:spacing w:after="0"/>
              <w:rPr>
                <w:sz w:val="14"/>
                <w:szCs w:val="14"/>
                <w:color w:val="auto"/>
              </w:rPr>
            </w:pPr>
          </w:p>
        </w:tc>
      </w:tr>
      <w:tr>
        <w:trPr>
          <w:trHeight w:val="184"/>
        </w:trPr>
        <w:tc>
          <w:tcPr>
            <w:tcW w:w="1420" w:type="dxa"/>
            <w:vAlign w:val="bottom"/>
          </w:tcPr>
          <w:p>
            <w:pPr>
              <w:ind w:left="80"/>
              <w:spacing w:after="0"/>
              <w:rPr>
                <w:sz w:val="20"/>
                <w:szCs w:val="20"/>
                <w:color w:val="auto"/>
              </w:rPr>
            </w:pPr>
            <w:r>
              <w:rPr>
                <w:rFonts w:ascii="Calibri" w:cs="Calibri" w:eastAsia="Calibri" w:hAnsi="Calibri"/>
                <w:sz w:val="14"/>
                <w:szCs w:val="14"/>
                <w:b w:val="1"/>
                <w:bCs w:val="1"/>
                <w:color w:val="auto"/>
              </w:rPr>
              <w:t>Named Executve</w:t>
            </w:r>
          </w:p>
        </w:tc>
        <w:tc>
          <w:tcPr>
            <w:tcW w:w="1220" w:type="dxa"/>
            <w:vAlign w:val="bottom"/>
          </w:tcPr>
          <w:p>
            <w:pPr>
              <w:jc w:val="center"/>
              <w:spacing w:after="0"/>
              <w:rPr>
                <w:sz w:val="20"/>
                <w:szCs w:val="20"/>
                <w:color w:val="auto"/>
              </w:rPr>
            </w:pPr>
            <w:r>
              <w:rPr>
                <w:rFonts w:ascii="Calibri" w:cs="Calibri" w:eastAsia="Calibri" w:hAnsi="Calibri"/>
                <w:sz w:val="14"/>
                <w:szCs w:val="14"/>
                <w:b w:val="1"/>
                <w:bCs w:val="1"/>
                <w:color w:val="auto"/>
              </w:rPr>
              <w:t>Bonus</w:t>
            </w:r>
          </w:p>
        </w:tc>
        <w:tc>
          <w:tcPr>
            <w:tcW w:w="1220" w:type="dxa"/>
            <w:vAlign w:val="bottom"/>
          </w:tcPr>
          <w:p>
            <w:pPr>
              <w:jc w:val="center"/>
              <w:spacing w:after="0"/>
              <w:rPr>
                <w:sz w:val="20"/>
                <w:szCs w:val="20"/>
                <w:color w:val="auto"/>
              </w:rPr>
            </w:pPr>
            <w:r>
              <w:rPr>
                <w:rFonts w:ascii="Calibri" w:cs="Calibri" w:eastAsia="Calibri" w:hAnsi="Calibri"/>
                <w:sz w:val="14"/>
                <w:szCs w:val="14"/>
                <w:b w:val="1"/>
                <w:bCs w:val="1"/>
                <w:color w:val="auto"/>
              </w:rPr>
              <w:t>Acceleraton</w:t>
            </w:r>
          </w:p>
        </w:tc>
        <w:tc>
          <w:tcPr>
            <w:tcW w:w="1200" w:type="dxa"/>
            <w:vAlign w:val="bottom"/>
          </w:tcPr>
          <w:p>
            <w:pPr>
              <w:jc w:val="center"/>
              <w:spacing w:after="0"/>
              <w:rPr>
                <w:sz w:val="20"/>
                <w:szCs w:val="20"/>
                <w:color w:val="auto"/>
              </w:rPr>
            </w:pPr>
            <w:r>
              <w:rPr>
                <w:rFonts w:ascii="Calibri" w:cs="Calibri" w:eastAsia="Calibri" w:hAnsi="Calibri"/>
                <w:sz w:val="14"/>
                <w:szCs w:val="14"/>
                <w:b w:val="1"/>
                <w:bCs w:val="1"/>
                <w:color w:val="auto"/>
              </w:rPr>
              <w:t>Acceleraton</w:t>
            </w:r>
          </w:p>
        </w:tc>
        <w:tc>
          <w:tcPr>
            <w:tcW w:w="1200" w:type="dxa"/>
            <w:vAlign w:val="bottom"/>
          </w:tcPr>
          <w:p>
            <w:pPr>
              <w:jc w:val="center"/>
              <w:spacing w:after="0"/>
              <w:rPr>
                <w:sz w:val="20"/>
                <w:szCs w:val="20"/>
                <w:color w:val="auto"/>
              </w:rPr>
            </w:pPr>
            <w:r>
              <w:rPr>
                <w:rFonts w:ascii="Calibri" w:cs="Calibri" w:eastAsia="Calibri" w:hAnsi="Calibri"/>
                <w:sz w:val="14"/>
                <w:szCs w:val="14"/>
                <w:b w:val="1"/>
                <w:bCs w:val="1"/>
                <w:color w:val="auto"/>
              </w:rPr>
              <w:t>Contnuaton</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Compensaton</w:t>
            </w:r>
          </w:p>
        </w:tc>
        <w:tc>
          <w:tcPr>
            <w:tcW w:w="1040" w:type="dxa"/>
            <w:vAlign w:val="bottom"/>
          </w:tcPr>
          <w:p>
            <w:pPr>
              <w:spacing w:after="0"/>
              <w:rPr>
                <w:sz w:val="16"/>
                <w:szCs w:val="16"/>
                <w:color w:val="auto"/>
              </w:rPr>
            </w:pPr>
          </w:p>
        </w:tc>
      </w:tr>
      <w:tr>
        <w:trPr>
          <w:trHeight w:val="201"/>
        </w:trPr>
        <w:tc>
          <w:tcPr>
            <w:tcW w:w="1420" w:type="dxa"/>
            <w:vAlign w:val="bottom"/>
          </w:tcPr>
          <w:p>
            <w:pPr>
              <w:ind w:left="80"/>
              <w:spacing w:after="0"/>
              <w:rPr>
                <w:sz w:val="20"/>
                <w:szCs w:val="20"/>
                <w:color w:val="auto"/>
              </w:rPr>
            </w:pPr>
            <w:r>
              <w:rPr>
                <w:rFonts w:ascii="Calibri" w:cs="Calibri" w:eastAsia="Calibri" w:hAnsi="Calibri"/>
                <w:sz w:val="14"/>
                <w:szCs w:val="14"/>
                <w:b w:val="1"/>
                <w:bCs w:val="1"/>
                <w:color w:val="auto"/>
              </w:rPr>
              <w:t>Ofcer</w:t>
            </w:r>
          </w:p>
        </w:tc>
        <w:tc>
          <w:tcPr>
            <w:tcW w:w="1220" w:type="dxa"/>
            <w:vAlign w:val="bottom"/>
          </w:tcPr>
          <w:p>
            <w:pPr>
              <w:jc w:val="center"/>
              <w:spacing w:after="0"/>
              <w:rPr>
                <w:sz w:val="20"/>
                <w:szCs w:val="20"/>
                <w:color w:val="auto"/>
              </w:rPr>
            </w:pPr>
            <w:r>
              <w:rPr>
                <w:rFonts w:ascii="Calibri" w:cs="Calibri" w:eastAsia="Calibri" w:hAnsi="Calibri"/>
                <w:sz w:val="14"/>
                <w:szCs w:val="14"/>
                <w:b w:val="1"/>
                <w:bCs w:val="1"/>
                <w:color w:val="auto"/>
              </w:rPr>
              <w:t>Contnuaton</w:t>
            </w:r>
          </w:p>
        </w:tc>
        <w:tc>
          <w:tcPr>
            <w:tcW w:w="1220" w:type="dxa"/>
            <w:vAlign w:val="bottom"/>
          </w:tcPr>
          <w:p>
            <w:pPr>
              <w:jc w:val="center"/>
              <w:spacing w:after="0" w:line="193" w:lineRule="exact"/>
              <w:rPr>
                <w:sz w:val="20"/>
                <w:szCs w:val="20"/>
                <w:color w:val="auto"/>
              </w:rPr>
            </w:pPr>
            <w:r>
              <w:rPr>
                <w:rFonts w:ascii="Calibri" w:cs="Calibri" w:eastAsia="Calibri" w:hAnsi="Calibri"/>
                <w:sz w:val="14"/>
                <w:szCs w:val="14"/>
                <w:b w:val="1"/>
                <w:bCs w:val="1"/>
                <w:color w:val="auto"/>
              </w:rPr>
              <w:t xml:space="preserve">($) </w:t>
            </w:r>
            <w:r>
              <w:rPr>
                <w:rFonts w:ascii="Calibri" w:cs="Calibri" w:eastAsia="Calibri" w:hAnsi="Calibri"/>
                <w:sz w:val="16"/>
                <w:szCs w:val="16"/>
                <w:b w:val="1"/>
                <w:bCs w:val="1"/>
                <w:color w:val="auto"/>
              </w:rPr>
              <w:t>(1)</w:t>
            </w:r>
          </w:p>
        </w:tc>
        <w:tc>
          <w:tcPr>
            <w:tcW w:w="1200" w:type="dxa"/>
            <w:vAlign w:val="bottom"/>
          </w:tcPr>
          <w:p>
            <w:pPr>
              <w:jc w:val="center"/>
              <w:spacing w:after="0" w:line="193" w:lineRule="exact"/>
              <w:rPr>
                <w:sz w:val="20"/>
                <w:szCs w:val="20"/>
                <w:color w:val="auto"/>
              </w:rPr>
            </w:pPr>
            <w:r>
              <w:rPr>
                <w:rFonts w:ascii="Calibri" w:cs="Calibri" w:eastAsia="Calibri" w:hAnsi="Calibri"/>
                <w:sz w:val="14"/>
                <w:szCs w:val="14"/>
                <w:b w:val="1"/>
                <w:bCs w:val="1"/>
                <w:color w:val="auto"/>
              </w:rPr>
              <w:t xml:space="preserve">($) </w:t>
            </w:r>
            <w:r>
              <w:rPr>
                <w:rFonts w:ascii="Calibri" w:cs="Calibri" w:eastAsia="Calibri" w:hAnsi="Calibri"/>
                <w:sz w:val="16"/>
                <w:szCs w:val="16"/>
                <w:b w:val="1"/>
                <w:bCs w:val="1"/>
                <w:color w:val="auto"/>
              </w:rPr>
              <w:t>(2)(3)</w:t>
            </w:r>
          </w:p>
        </w:tc>
        <w:tc>
          <w:tcPr>
            <w:tcW w:w="1200" w:type="dxa"/>
            <w:vAlign w:val="bottom"/>
          </w:tcPr>
          <w:p>
            <w:pPr>
              <w:jc w:val="center"/>
              <w:spacing w:after="0" w:line="193" w:lineRule="exact"/>
              <w:rPr>
                <w:sz w:val="20"/>
                <w:szCs w:val="20"/>
                <w:color w:val="auto"/>
              </w:rPr>
            </w:pPr>
            <w:r>
              <w:rPr>
                <w:rFonts w:ascii="Calibri" w:cs="Calibri" w:eastAsia="Calibri" w:hAnsi="Calibri"/>
                <w:sz w:val="14"/>
                <w:szCs w:val="14"/>
                <w:b w:val="1"/>
                <w:bCs w:val="1"/>
                <w:color w:val="auto"/>
              </w:rPr>
              <w:t xml:space="preserve">($) </w:t>
            </w:r>
            <w:r>
              <w:rPr>
                <w:rFonts w:ascii="Calibri" w:cs="Calibri" w:eastAsia="Calibri" w:hAnsi="Calibri"/>
                <w:sz w:val="16"/>
                <w:szCs w:val="16"/>
                <w:b w:val="1"/>
                <w:bCs w:val="1"/>
                <w:color w:val="auto"/>
              </w:rPr>
              <w:t>(4)</w:t>
            </w:r>
          </w:p>
        </w:tc>
        <w:tc>
          <w:tcPr>
            <w:tcW w:w="1280" w:type="dxa"/>
            <w:vAlign w:val="bottom"/>
          </w:tcPr>
          <w:p>
            <w:pPr>
              <w:jc w:val="center"/>
              <w:spacing w:after="0" w:line="193" w:lineRule="exact"/>
              <w:rPr>
                <w:sz w:val="20"/>
                <w:szCs w:val="20"/>
                <w:color w:val="auto"/>
              </w:rPr>
            </w:pPr>
            <w:r>
              <w:rPr>
                <w:rFonts w:ascii="Calibri" w:cs="Calibri" w:eastAsia="Calibri" w:hAnsi="Calibri"/>
                <w:sz w:val="14"/>
                <w:szCs w:val="14"/>
                <w:b w:val="1"/>
                <w:bCs w:val="1"/>
                <w:color w:val="auto"/>
              </w:rPr>
              <w:t xml:space="preserve">Plan ($) </w:t>
            </w:r>
            <w:r>
              <w:rPr>
                <w:rFonts w:ascii="Calibri" w:cs="Calibri" w:eastAsia="Calibri" w:hAnsi="Calibri"/>
                <w:sz w:val="16"/>
                <w:szCs w:val="16"/>
                <w:b w:val="1"/>
                <w:bCs w:val="1"/>
                <w:color w:val="auto"/>
              </w:rPr>
              <w:t>(5)</w:t>
            </w:r>
          </w:p>
        </w:tc>
        <w:tc>
          <w:tcPr>
            <w:tcW w:w="1040" w:type="dxa"/>
            <w:vAlign w:val="bottom"/>
          </w:tcPr>
          <w:p>
            <w:pPr>
              <w:jc w:val="right"/>
              <w:ind w:right="236"/>
              <w:spacing w:after="0"/>
              <w:rPr>
                <w:sz w:val="20"/>
                <w:szCs w:val="20"/>
                <w:color w:val="auto"/>
              </w:rPr>
            </w:pPr>
            <w:r>
              <w:rPr>
                <w:rFonts w:ascii="Calibri" w:cs="Calibri" w:eastAsia="Calibri" w:hAnsi="Calibri"/>
                <w:sz w:val="14"/>
                <w:szCs w:val="14"/>
                <w:b w:val="1"/>
                <w:bCs w:val="1"/>
                <w:color w:val="auto"/>
              </w:rPr>
              <w:t>Total ($)</w:t>
            </w:r>
          </w:p>
        </w:tc>
      </w:tr>
      <w:tr>
        <w:trPr>
          <w:trHeight w:val="27"/>
        </w:trPr>
        <w:tc>
          <w:tcPr>
            <w:tcW w:w="1420" w:type="dxa"/>
            <w:vAlign w:val="bottom"/>
            <w:tcBorders>
              <w:bottom w:val="single" w:sz="8" w:color="AF0000"/>
            </w:tcBorders>
          </w:tcPr>
          <w:p>
            <w:pPr>
              <w:spacing w:after="0"/>
              <w:rPr>
                <w:sz w:val="2"/>
                <w:szCs w:val="2"/>
                <w:color w:val="auto"/>
              </w:rPr>
            </w:pPr>
          </w:p>
        </w:tc>
        <w:tc>
          <w:tcPr>
            <w:tcW w:w="1220" w:type="dxa"/>
            <w:vAlign w:val="bottom"/>
            <w:tcBorders>
              <w:bottom w:val="single" w:sz="8" w:color="AF0000"/>
            </w:tcBorders>
          </w:tcPr>
          <w:p>
            <w:pPr>
              <w:spacing w:after="0"/>
              <w:rPr>
                <w:sz w:val="2"/>
                <w:szCs w:val="2"/>
                <w:color w:val="auto"/>
              </w:rPr>
            </w:pPr>
          </w:p>
        </w:tc>
        <w:tc>
          <w:tcPr>
            <w:tcW w:w="1220" w:type="dxa"/>
            <w:vAlign w:val="bottom"/>
            <w:tcBorders>
              <w:bottom w:val="single" w:sz="8" w:color="AF0000"/>
            </w:tcBorders>
          </w:tcPr>
          <w:p>
            <w:pPr>
              <w:spacing w:after="0"/>
              <w:rPr>
                <w:sz w:val="2"/>
                <w:szCs w:val="2"/>
                <w:color w:val="auto"/>
              </w:rPr>
            </w:pPr>
          </w:p>
        </w:tc>
        <w:tc>
          <w:tcPr>
            <w:tcW w:w="1200" w:type="dxa"/>
            <w:vAlign w:val="bottom"/>
            <w:tcBorders>
              <w:bottom w:val="single" w:sz="8" w:color="AF0000"/>
            </w:tcBorders>
          </w:tcPr>
          <w:p>
            <w:pPr>
              <w:spacing w:after="0"/>
              <w:rPr>
                <w:sz w:val="2"/>
                <w:szCs w:val="2"/>
                <w:color w:val="auto"/>
              </w:rPr>
            </w:pPr>
          </w:p>
        </w:tc>
        <w:tc>
          <w:tcPr>
            <w:tcW w:w="1200" w:type="dxa"/>
            <w:vAlign w:val="bottom"/>
            <w:tcBorders>
              <w:bottom w:val="single" w:sz="8" w:color="AF0000"/>
            </w:tcBorders>
          </w:tcPr>
          <w:p>
            <w:pPr>
              <w:spacing w:after="0"/>
              <w:rPr>
                <w:sz w:val="2"/>
                <w:szCs w:val="2"/>
                <w:color w:val="auto"/>
              </w:rPr>
            </w:pPr>
          </w:p>
        </w:tc>
        <w:tc>
          <w:tcPr>
            <w:tcW w:w="1280" w:type="dxa"/>
            <w:vAlign w:val="bottom"/>
            <w:tcBorders>
              <w:bottom w:val="single" w:sz="8" w:color="AF0000"/>
            </w:tcBorders>
          </w:tcPr>
          <w:p>
            <w:pPr>
              <w:spacing w:after="0"/>
              <w:rPr>
                <w:sz w:val="2"/>
                <w:szCs w:val="2"/>
                <w:color w:val="auto"/>
              </w:rPr>
            </w:pPr>
          </w:p>
        </w:tc>
        <w:tc>
          <w:tcPr>
            <w:tcW w:w="1040" w:type="dxa"/>
            <w:vAlign w:val="bottom"/>
            <w:tcBorders>
              <w:bottom w:val="single" w:sz="8" w:color="AF0000"/>
            </w:tcBorders>
          </w:tcPr>
          <w:p>
            <w:pPr>
              <w:spacing w:after="0"/>
              <w:rPr>
                <w:sz w:val="2"/>
                <w:szCs w:val="2"/>
                <w:color w:val="auto"/>
              </w:rPr>
            </w:pPr>
          </w:p>
        </w:tc>
      </w:tr>
      <w:tr>
        <w:trPr>
          <w:trHeight w:val="148"/>
        </w:trPr>
        <w:tc>
          <w:tcPr>
            <w:tcW w:w="1420" w:type="dxa"/>
            <w:vAlign w:val="bottom"/>
            <w:tcBorders>
              <w:bottom w:val="single" w:sz="8" w:color="A6A6A6"/>
            </w:tcBorders>
          </w:tcPr>
          <w:p>
            <w:pPr>
              <w:ind w:left="80"/>
              <w:spacing w:after="0" w:line="149" w:lineRule="exact"/>
              <w:rPr>
                <w:sz w:val="20"/>
                <w:szCs w:val="20"/>
                <w:color w:val="auto"/>
              </w:rPr>
            </w:pPr>
            <w:r>
              <w:rPr>
                <w:rFonts w:ascii="Calibri" w:cs="Calibri" w:eastAsia="Calibri" w:hAnsi="Calibri"/>
                <w:sz w:val="13"/>
                <w:szCs w:val="13"/>
                <w:color w:val="auto"/>
              </w:rPr>
              <w:t>Fred P. Lampropoulos</w:t>
            </w:r>
          </w:p>
        </w:tc>
        <w:tc>
          <w:tcPr>
            <w:tcW w:w="1220" w:type="dxa"/>
            <w:vAlign w:val="bottom"/>
            <w:tcBorders>
              <w:bottom w:val="single" w:sz="8" w:color="A6A6A6"/>
            </w:tcBorders>
          </w:tcPr>
          <w:p>
            <w:pPr>
              <w:jc w:val="center"/>
              <w:spacing w:after="0" w:line="149" w:lineRule="exact"/>
              <w:rPr>
                <w:sz w:val="20"/>
                <w:szCs w:val="20"/>
                <w:color w:val="auto"/>
              </w:rPr>
            </w:pPr>
            <w:r>
              <w:rPr>
                <w:rFonts w:ascii="Calibri" w:cs="Calibri" w:eastAsia="Calibri" w:hAnsi="Calibri"/>
                <w:sz w:val="13"/>
                <w:szCs w:val="13"/>
                <w:color w:val="auto"/>
                <w:w w:val="94"/>
              </w:rPr>
              <w:t>9,589,858</w:t>
            </w:r>
          </w:p>
        </w:tc>
        <w:tc>
          <w:tcPr>
            <w:tcW w:w="1220" w:type="dxa"/>
            <w:vAlign w:val="bottom"/>
            <w:tcBorders>
              <w:bottom w:val="single" w:sz="8" w:color="A6A6A6"/>
            </w:tcBorders>
          </w:tcPr>
          <w:p>
            <w:pPr>
              <w:jc w:val="right"/>
              <w:ind w:right="293"/>
              <w:spacing w:after="0" w:line="149" w:lineRule="exact"/>
              <w:rPr>
                <w:sz w:val="20"/>
                <w:szCs w:val="20"/>
                <w:color w:val="auto"/>
              </w:rPr>
            </w:pPr>
            <w:r>
              <w:rPr>
                <w:rFonts w:ascii="Calibri" w:cs="Calibri" w:eastAsia="Calibri" w:hAnsi="Calibri"/>
                <w:sz w:val="13"/>
                <w:szCs w:val="13"/>
                <w:color w:val="auto"/>
              </w:rPr>
              <w:t>2,866,023</w:t>
            </w:r>
          </w:p>
        </w:tc>
        <w:tc>
          <w:tcPr>
            <w:tcW w:w="1200" w:type="dxa"/>
            <w:vAlign w:val="bottom"/>
            <w:tcBorders>
              <w:bottom w:val="single" w:sz="8" w:color="A6A6A6"/>
            </w:tcBorders>
          </w:tcPr>
          <w:p>
            <w:pPr>
              <w:jc w:val="center"/>
              <w:spacing w:after="0" w:line="149" w:lineRule="exact"/>
              <w:rPr>
                <w:sz w:val="20"/>
                <w:szCs w:val="20"/>
                <w:color w:val="auto"/>
              </w:rPr>
            </w:pPr>
            <w:r>
              <w:rPr>
                <w:rFonts w:ascii="Calibri" w:cs="Calibri" w:eastAsia="Calibri" w:hAnsi="Calibri"/>
                <w:sz w:val="13"/>
                <w:szCs w:val="13"/>
                <w:color w:val="auto"/>
                <w:w w:val="94"/>
              </w:rPr>
              <w:t>5,802,620</w:t>
            </w:r>
          </w:p>
        </w:tc>
        <w:tc>
          <w:tcPr>
            <w:tcW w:w="1200" w:type="dxa"/>
            <w:vAlign w:val="bottom"/>
            <w:tcBorders>
              <w:bottom w:val="single" w:sz="8" w:color="A6A6A6"/>
            </w:tcBorders>
          </w:tcPr>
          <w:p>
            <w:pPr>
              <w:jc w:val="center"/>
              <w:spacing w:after="0" w:line="149" w:lineRule="exact"/>
              <w:rPr>
                <w:sz w:val="20"/>
                <w:szCs w:val="20"/>
                <w:color w:val="auto"/>
              </w:rPr>
            </w:pPr>
            <w:r>
              <w:rPr>
                <w:rFonts w:ascii="Calibri" w:cs="Calibri" w:eastAsia="Calibri" w:hAnsi="Calibri"/>
                <w:sz w:val="13"/>
                <w:szCs w:val="13"/>
                <w:color w:val="auto"/>
                <w:w w:val="93"/>
              </w:rPr>
              <w:t>71,799</w:t>
            </w:r>
          </w:p>
        </w:tc>
        <w:tc>
          <w:tcPr>
            <w:tcW w:w="1280" w:type="dxa"/>
            <w:vAlign w:val="bottom"/>
            <w:tcBorders>
              <w:bottom w:val="single" w:sz="8" w:color="A6A6A6"/>
            </w:tcBorders>
          </w:tcPr>
          <w:p>
            <w:pPr>
              <w:jc w:val="center"/>
              <w:spacing w:after="0" w:line="149" w:lineRule="exact"/>
              <w:rPr>
                <w:sz w:val="20"/>
                <w:szCs w:val="20"/>
                <w:color w:val="auto"/>
              </w:rPr>
            </w:pPr>
            <w:r>
              <w:rPr>
                <w:rFonts w:ascii="Calibri" w:cs="Calibri" w:eastAsia="Calibri" w:hAnsi="Calibri"/>
                <w:sz w:val="13"/>
                <w:szCs w:val="13"/>
                <w:color w:val="auto"/>
              </w:rPr>
              <w:t>—</w:t>
            </w:r>
          </w:p>
        </w:tc>
        <w:tc>
          <w:tcPr>
            <w:tcW w:w="1040" w:type="dxa"/>
            <w:vAlign w:val="bottom"/>
            <w:tcBorders>
              <w:bottom w:val="single" w:sz="8" w:color="A6A6A6"/>
            </w:tcBorders>
          </w:tcPr>
          <w:p>
            <w:pPr>
              <w:jc w:val="right"/>
              <w:ind w:right="176"/>
              <w:spacing w:after="0" w:line="149" w:lineRule="exact"/>
              <w:rPr>
                <w:sz w:val="20"/>
                <w:szCs w:val="20"/>
                <w:color w:val="auto"/>
              </w:rPr>
            </w:pPr>
            <w:r>
              <w:rPr>
                <w:rFonts w:ascii="Calibri" w:cs="Calibri" w:eastAsia="Calibri" w:hAnsi="Calibri"/>
                <w:sz w:val="13"/>
                <w:szCs w:val="13"/>
                <w:color w:val="auto"/>
              </w:rPr>
              <w:t>18,330,300</w:t>
            </w:r>
          </w:p>
        </w:tc>
      </w:tr>
      <w:tr>
        <w:trPr>
          <w:trHeight w:val="142"/>
        </w:trPr>
        <w:tc>
          <w:tcPr>
            <w:tcW w:w="1420" w:type="dxa"/>
            <w:vAlign w:val="bottom"/>
            <w:tcBorders>
              <w:bottom w:val="single" w:sz="8" w:color="A6A6A6"/>
            </w:tcBorders>
          </w:tcPr>
          <w:p>
            <w:pPr>
              <w:ind w:left="80"/>
              <w:spacing w:after="0" w:line="142" w:lineRule="exact"/>
              <w:rPr>
                <w:sz w:val="20"/>
                <w:szCs w:val="20"/>
                <w:color w:val="auto"/>
              </w:rPr>
            </w:pPr>
            <w:r>
              <w:rPr>
                <w:rFonts w:ascii="Calibri" w:cs="Calibri" w:eastAsia="Calibri" w:hAnsi="Calibri"/>
                <w:sz w:val="13"/>
                <w:szCs w:val="13"/>
                <w:color w:val="auto"/>
              </w:rPr>
              <w:t>Raul Parra</w:t>
            </w:r>
          </w:p>
        </w:tc>
        <w:tc>
          <w:tcPr>
            <w:tcW w:w="1220" w:type="dxa"/>
            <w:vAlign w:val="bottom"/>
            <w:tcBorders>
              <w:bottom w:val="single" w:sz="8" w:color="A6A6A6"/>
            </w:tcBorders>
          </w:tcPr>
          <w:p>
            <w:pPr>
              <w:jc w:val="center"/>
              <w:spacing w:after="0" w:line="142" w:lineRule="exact"/>
              <w:rPr>
                <w:sz w:val="20"/>
                <w:szCs w:val="20"/>
                <w:color w:val="auto"/>
              </w:rPr>
            </w:pPr>
            <w:r>
              <w:rPr>
                <w:rFonts w:ascii="Calibri" w:cs="Calibri" w:eastAsia="Calibri" w:hAnsi="Calibri"/>
                <w:sz w:val="13"/>
                <w:szCs w:val="13"/>
                <w:color w:val="auto"/>
                <w:w w:val="94"/>
              </w:rPr>
              <w:t>1,926,998</w:t>
            </w:r>
          </w:p>
        </w:tc>
        <w:tc>
          <w:tcPr>
            <w:tcW w:w="1220" w:type="dxa"/>
            <w:vAlign w:val="bottom"/>
            <w:tcBorders>
              <w:bottom w:val="single" w:sz="8" w:color="A6A6A6"/>
            </w:tcBorders>
          </w:tcPr>
          <w:p>
            <w:pPr>
              <w:jc w:val="right"/>
              <w:ind w:right="293"/>
              <w:spacing w:after="0" w:line="142" w:lineRule="exact"/>
              <w:rPr>
                <w:sz w:val="20"/>
                <w:szCs w:val="20"/>
                <w:color w:val="auto"/>
              </w:rPr>
            </w:pPr>
            <w:r>
              <w:rPr>
                <w:rFonts w:ascii="Calibri" w:cs="Calibri" w:eastAsia="Calibri" w:hAnsi="Calibri"/>
                <w:sz w:val="13"/>
                <w:szCs w:val="13"/>
                <w:color w:val="auto"/>
              </w:rPr>
              <w:t>569,132</w:t>
            </w:r>
          </w:p>
        </w:tc>
        <w:tc>
          <w:tcPr>
            <w:tcW w:w="1200" w:type="dxa"/>
            <w:vAlign w:val="bottom"/>
            <w:tcBorders>
              <w:bottom w:val="single" w:sz="8" w:color="A6A6A6"/>
            </w:tcBorders>
          </w:tcPr>
          <w:p>
            <w:pPr>
              <w:jc w:val="center"/>
              <w:spacing w:after="0" w:line="142" w:lineRule="exact"/>
              <w:rPr>
                <w:sz w:val="20"/>
                <w:szCs w:val="20"/>
                <w:color w:val="auto"/>
              </w:rPr>
            </w:pPr>
            <w:r>
              <w:rPr>
                <w:rFonts w:ascii="Calibri" w:cs="Calibri" w:eastAsia="Calibri" w:hAnsi="Calibri"/>
                <w:sz w:val="13"/>
                <w:szCs w:val="13"/>
                <w:color w:val="auto"/>
                <w:w w:val="94"/>
              </w:rPr>
              <w:t>1,546,546</w:t>
            </w:r>
          </w:p>
        </w:tc>
        <w:tc>
          <w:tcPr>
            <w:tcW w:w="1200" w:type="dxa"/>
            <w:vAlign w:val="bottom"/>
            <w:tcBorders>
              <w:bottom w:val="single" w:sz="8" w:color="A6A6A6"/>
            </w:tcBorders>
          </w:tcPr>
          <w:p>
            <w:pPr>
              <w:jc w:val="center"/>
              <w:spacing w:after="0" w:line="142" w:lineRule="exact"/>
              <w:rPr>
                <w:sz w:val="20"/>
                <w:szCs w:val="20"/>
                <w:color w:val="auto"/>
              </w:rPr>
            </w:pPr>
            <w:r>
              <w:rPr>
                <w:rFonts w:ascii="Calibri" w:cs="Calibri" w:eastAsia="Calibri" w:hAnsi="Calibri"/>
                <w:sz w:val="13"/>
                <w:szCs w:val="13"/>
                <w:color w:val="auto"/>
                <w:w w:val="93"/>
              </w:rPr>
              <w:t>45,938</w:t>
            </w:r>
          </w:p>
        </w:tc>
        <w:tc>
          <w:tcPr>
            <w:tcW w:w="1280" w:type="dxa"/>
            <w:vAlign w:val="bottom"/>
            <w:tcBorders>
              <w:bottom w:val="single" w:sz="8" w:color="A6A6A6"/>
            </w:tcBorders>
          </w:tcPr>
          <w:p>
            <w:pPr>
              <w:jc w:val="center"/>
              <w:spacing w:after="0" w:line="142" w:lineRule="exact"/>
              <w:rPr>
                <w:sz w:val="20"/>
                <w:szCs w:val="20"/>
                <w:color w:val="auto"/>
              </w:rPr>
            </w:pPr>
            <w:r>
              <w:rPr>
                <w:rFonts w:ascii="Calibri" w:cs="Calibri" w:eastAsia="Calibri" w:hAnsi="Calibri"/>
                <w:sz w:val="13"/>
                <w:szCs w:val="13"/>
                <w:color w:val="auto"/>
                <w:w w:val="93"/>
              </w:rPr>
              <w:t>33,711</w:t>
            </w:r>
          </w:p>
        </w:tc>
        <w:tc>
          <w:tcPr>
            <w:tcW w:w="1040" w:type="dxa"/>
            <w:vAlign w:val="bottom"/>
            <w:tcBorders>
              <w:bottom w:val="single" w:sz="8" w:color="A6A6A6"/>
            </w:tcBorders>
          </w:tcPr>
          <w:p>
            <w:pPr>
              <w:jc w:val="right"/>
              <w:ind w:right="176"/>
              <w:spacing w:after="0" w:line="142" w:lineRule="exact"/>
              <w:rPr>
                <w:sz w:val="20"/>
                <w:szCs w:val="20"/>
                <w:color w:val="auto"/>
              </w:rPr>
            </w:pPr>
            <w:r>
              <w:rPr>
                <w:rFonts w:ascii="Calibri" w:cs="Calibri" w:eastAsia="Calibri" w:hAnsi="Calibri"/>
                <w:sz w:val="13"/>
                <w:szCs w:val="13"/>
                <w:color w:val="auto"/>
              </w:rPr>
              <w:t>4,122,325</w:t>
            </w:r>
          </w:p>
        </w:tc>
      </w:tr>
      <w:tr>
        <w:trPr>
          <w:trHeight w:val="142"/>
        </w:trPr>
        <w:tc>
          <w:tcPr>
            <w:tcW w:w="1420" w:type="dxa"/>
            <w:vAlign w:val="bottom"/>
            <w:tcBorders>
              <w:bottom w:val="single" w:sz="8" w:color="A6A6A6"/>
            </w:tcBorders>
          </w:tcPr>
          <w:p>
            <w:pPr>
              <w:ind w:left="80"/>
              <w:spacing w:after="0" w:line="142" w:lineRule="exact"/>
              <w:rPr>
                <w:sz w:val="20"/>
                <w:szCs w:val="20"/>
                <w:color w:val="auto"/>
              </w:rPr>
            </w:pPr>
            <w:r>
              <w:rPr>
                <w:rFonts w:ascii="Calibri" w:cs="Calibri" w:eastAsia="Calibri" w:hAnsi="Calibri"/>
                <w:sz w:val="13"/>
                <w:szCs w:val="13"/>
                <w:color w:val="auto"/>
              </w:rPr>
              <w:t>Neil W. Peterson</w:t>
            </w:r>
          </w:p>
        </w:tc>
        <w:tc>
          <w:tcPr>
            <w:tcW w:w="1220" w:type="dxa"/>
            <w:vAlign w:val="bottom"/>
            <w:tcBorders>
              <w:bottom w:val="single" w:sz="8" w:color="A6A6A6"/>
            </w:tcBorders>
          </w:tcPr>
          <w:p>
            <w:pPr>
              <w:jc w:val="center"/>
              <w:spacing w:after="0" w:line="142" w:lineRule="exact"/>
              <w:rPr>
                <w:sz w:val="20"/>
                <w:szCs w:val="20"/>
                <w:color w:val="auto"/>
              </w:rPr>
            </w:pPr>
            <w:r>
              <w:rPr>
                <w:rFonts w:ascii="Calibri" w:cs="Calibri" w:eastAsia="Calibri" w:hAnsi="Calibri"/>
                <w:sz w:val="13"/>
                <w:szCs w:val="13"/>
                <w:color w:val="auto"/>
                <w:w w:val="94"/>
              </w:rPr>
              <w:t>1,641,163</w:t>
            </w:r>
          </w:p>
        </w:tc>
        <w:tc>
          <w:tcPr>
            <w:tcW w:w="1220" w:type="dxa"/>
            <w:vAlign w:val="bottom"/>
            <w:tcBorders>
              <w:bottom w:val="single" w:sz="8" w:color="A6A6A6"/>
            </w:tcBorders>
          </w:tcPr>
          <w:p>
            <w:pPr>
              <w:jc w:val="right"/>
              <w:ind w:right="293"/>
              <w:spacing w:after="0" w:line="142" w:lineRule="exact"/>
              <w:rPr>
                <w:sz w:val="20"/>
                <w:szCs w:val="20"/>
                <w:color w:val="auto"/>
              </w:rPr>
            </w:pPr>
            <w:r>
              <w:rPr>
                <w:rFonts w:ascii="Calibri" w:cs="Calibri" w:eastAsia="Calibri" w:hAnsi="Calibri"/>
                <w:sz w:val="13"/>
                <w:szCs w:val="13"/>
                <w:color w:val="auto"/>
              </w:rPr>
              <w:t>254,654</w:t>
            </w:r>
          </w:p>
        </w:tc>
        <w:tc>
          <w:tcPr>
            <w:tcW w:w="1200" w:type="dxa"/>
            <w:vAlign w:val="bottom"/>
            <w:tcBorders>
              <w:bottom w:val="single" w:sz="8" w:color="A6A6A6"/>
            </w:tcBorders>
          </w:tcPr>
          <w:p>
            <w:pPr>
              <w:jc w:val="center"/>
              <w:spacing w:after="0" w:line="142" w:lineRule="exact"/>
              <w:rPr>
                <w:sz w:val="20"/>
                <w:szCs w:val="20"/>
                <w:color w:val="auto"/>
              </w:rPr>
            </w:pPr>
            <w:r>
              <w:rPr>
                <w:rFonts w:ascii="Calibri" w:cs="Calibri" w:eastAsia="Calibri" w:hAnsi="Calibri"/>
                <w:sz w:val="13"/>
                <w:szCs w:val="13"/>
                <w:color w:val="auto"/>
                <w:w w:val="98"/>
              </w:rPr>
              <w:t>996,139</w:t>
            </w:r>
          </w:p>
        </w:tc>
        <w:tc>
          <w:tcPr>
            <w:tcW w:w="1200" w:type="dxa"/>
            <w:vAlign w:val="bottom"/>
            <w:tcBorders>
              <w:bottom w:val="single" w:sz="8" w:color="A6A6A6"/>
            </w:tcBorders>
          </w:tcPr>
          <w:p>
            <w:pPr>
              <w:jc w:val="center"/>
              <w:spacing w:after="0" w:line="142" w:lineRule="exact"/>
              <w:rPr>
                <w:sz w:val="20"/>
                <w:szCs w:val="20"/>
                <w:color w:val="auto"/>
              </w:rPr>
            </w:pPr>
            <w:r>
              <w:rPr>
                <w:rFonts w:ascii="Calibri" w:cs="Calibri" w:eastAsia="Calibri" w:hAnsi="Calibri"/>
                <w:sz w:val="13"/>
                <w:szCs w:val="13"/>
                <w:color w:val="auto"/>
                <w:w w:val="93"/>
              </w:rPr>
              <w:t>32,569</w:t>
            </w:r>
          </w:p>
        </w:tc>
        <w:tc>
          <w:tcPr>
            <w:tcW w:w="1280" w:type="dxa"/>
            <w:vAlign w:val="bottom"/>
            <w:tcBorders>
              <w:bottom w:val="single" w:sz="8" w:color="A6A6A6"/>
            </w:tcBorders>
          </w:tcPr>
          <w:p>
            <w:pPr>
              <w:jc w:val="center"/>
              <w:spacing w:after="0" w:line="142" w:lineRule="exact"/>
              <w:rPr>
                <w:sz w:val="20"/>
                <w:szCs w:val="20"/>
                <w:color w:val="auto"/>
              </w:rPr>
            </w:pPr>
            <w:r>
              <w:rPr>
                <w:rFonts w:ascii="Calibri" w:cs="Calibri" w:eastAsia="Calibri" w:hAnsi="Calibri"/>
                <w:sz w:val="13"/>
                <w:szCs w:val="13"/>
                <w:color w:val="auto"/>
                <w:w w:val="98"/>
              </w:rPr>
              <w:t>536,401</w:t>
            </w:r>
          </w:p>
        </w:tc>
        <w:tc>
          <w:tcPr>
            <w:tcW w:w="1040" w:type="dxa"/>
            <w:vAlign w:val="bottom"/>
            <w:tcBorders>
              <w:bottom w:val="single" w:sz="8" w:color="A6A6A6"/>
            </w:tcBorders>
          </w:tcPr>
          <w:p>
            <w:pPr>
              <w:jc w:val="right"/>
              <w:ind w:right="176"/>
              <w:spacing w:after="0" w:line="142" w:lineRule="exact"/>
              <w:rPr>
                <w:sz w:val="20"/>
                <w:szCs w:val="20"/>
                <w:color w:val="auto"/>
              </w:rPr>
            </w:pPr>
            <w:r>
              <w:rPr>
                <w:rFonts w:ascii="Calibri" w:cs="Calibri" w:eastAsia="Calibri" w:hAnsi="Calibri"/>
                <w:sz w:val="13"/>
                <w:szCs w:val="13"/>
                <w:color w:val="auto"/>
              </w:rPr>
              <w:t>3,460,926</w:t>
            </w:r>
          </w:p>
        </w:tc>
      </w:tr>
      <w:tr>
        <w:trPr>
          <w:trHeight w:val="142"/>
        </w:trPr>
        <w:tc>
          <w:tcPr>
            <w:tcW w:w="1420" w:type="dxa"/>
            <w:vAlign w:val="bottom"/>
            <w:tcBorders>
              <w:bottom w:val="single" w:sz="8" w:color="A6A6A6"/>
            </w:tcBorders>
          </w:tcPr>
          <w:p>
            <w:pPr>
              <w:ind w:left="80"/>
              <w:spacing w:after="0" w:line="142" w:lineRule="exact"/>
              <w:rPr>
                <w:sz w:val="20"/>
                <w:szCs w:val="20"/>
                <w:color w:val="auto"/>
              </w:rPr>
            </w:pPr>
            <w:r>
              <w:rPr>
                <w:rFonts w:ascii="Calibri" w:cs="Calibri" w:eastAsia="Calibri" w:hAnsi="Calibri"/>
                <w:sz w:val="13"/>
                <w:szCs w:val="13"/>
                <w:color w:val="auto"/>
              </w:rPr>
              <w:t>Joseph C. Wright</w:t>
            </w:r>
          </w:p>
        </w:tc>
        <w:tc>
          <w:tcPr>
            <w:tcW w:w="1220" w:type="dxa"/>
            <w:vAlign w:val="bottom"/>
            <w:tcBorders>
              <w:bottom w:val="single" w:sz="8" w:color="A6A6A6"/>
            </w:tcBorders>
          </w:tcPr>
          <w:p>
            <w:pPr>
              <w:jc w:val="center"/>
              <w:spacing w:after="0" w:line="142" w:lineRule="exact"/>
              <w:rPr>
                <w:sz w:val="20"/>
                <w:szCs w:val="20"/>
                <w:color w:val="auto"/>
              </w:rPr>
            </w:pPr>
            <w:r>
              <w:rPr>
                <w:rFonts w:ascii="Calibri" w:cs="Calibri" w:eastAsia="Calibri" w:hAnsi="Calibri"/>
                <w:sz w:val="13"/>
                <w:szCs w:val="13"/>
                <w:color w:val="auto"/>
                <w:w w:val="94"/>
              </w:rPr>
              <w:t>1,970,912</w:t>
            </w:r>
          </w:p>
        </w:tc>
        <w:tc>
          <w:tcPr>
            <w:tcW w:w="1220" w:type="dxa"/>
            <w:vAlign w:val="bottom"/>
            <w:tcBorders>
              <w:bottom w:val="single" w:sz="8" w:color="A6A6A6"/>
            </w:tcBorders>
          </w:tcPr>
          <w:p>
            <w:pPr>
              <w:jc w:val="right"/>
              <w:ind w:right="293"/>
              <w:spacing w:after="0" w:line="142" w:lineRule="exact"/>
              <w:rPr>
                <w:sz w:val="20"/>
                <w:szCs w:val="20"/>
                <w:color w:val="auto"/>
              </w:rPr>
            </w:pPr>
            <w:r>
              <w:rPr>
                <w:rFonts w:ascii="Calibri" w:cs="Calibri" w:eastAsia="Calibri" w:hAnsi="Calibri"/>
                <w:sz w:val="13"/>
                <w:szCs w:val="13"/>
                <w:color w:val="auto"/>
              </w:rPr>
              <w:t>516,045</w:t>
            </w:r>
          </w:p>
        </w:tc>
        <w:tc>
          <w:tcPr>
            <w:tcW w:w="1200" w:type="dxa"/>
            <w:vAlign w:val="bottom"/>
            <w:tcBorders>
              <w:bottom w:val="single" w:sz="8" w:color="A6A6A6"/>
            </w:tcBorders>
          </w:tcPr>
          <w:p>
            <w:pPr>
              <w:jc w:val="center"/>
              <w:spacing w:after="0" w:line="142" w:lineRule="exact"/>
              <w:rPr>
                <w:sz w:val="20"/>
                <w:szCs w:val="20"/>
                <w:color w:val="auto"/>
              </w:rPr>
            </w:pPr>
            <w:r>
              <w:rPr>
                <w:rFonts w:ascii="Calibri" w:cs="Calibri" w:eastAsia="Calibri" w:hAnsi="Calibri"/>
                <w:sz w:val="13"/>
                <w:szCs w:val="13"/>
                <w:color w:val="auto"/>
                <w:w w:val="94"/>
              </w:rPr>
              <w:t>1,266,177</w:t>
            </w:r>
          </w:p>
        </w:tc>
        <w:tc>
          <w:tcPr>
            <w:tcW w:w="1200" w:type="dxa"/>
            <w:vAlign w:val="bottom"/>
            <w:tcBorders>
              <w:bottom w:val="single" w:sz="8" w:color="A6A6A6"/>
            </w:tcBorders>
          </w:tcPr>
          <w:p>
            <w:pPr>
              <w:jc w:val="center"/>
              <w:spacing w:after="0" w:line="142" w:lineRule="exact"/>
              <w:rPr>
                <w:sz w:val="20"/>
                <w:szCs w:val="20"/>
                <w:color w:val="auto"/>
              </w:rPr>
            </w:pPr>
            <w:r>
              <w:rPr>
                <w:rFonts w:ascii="Calibri" w:cs="Calibri" w:eastAsia="Calibri" w:hAnsi="Calibri"/>
                <w:sz w:val="13"/>
                <w:szCs w:val="13"/>
                <w:color w:val="auto"/>
                <w:w w:val="93"/>
              </w:rPr>
              <w:t>45,938</w:t>
            </w:r>
          </w:p>
        </w:tc>
        <w:tc>
          <w:tcPr>
            <w:tcW w:w="1280" w:type="dxa"/>
            <w:vAlign w:val="bottom"/>
            <w:tcBorders>
              <w:bottom w:val="single" w:sz="8" w:color="A6A6A6"/>
            </w:tcBorders>
          </w:tcPr>
          <w:p>
            <w:pPr>
              <w:jc w:val="center"/>
              <w:spacing w:after="0" w:line="142" w:lineRule="exact"/>
              <w:rPr>
                <w:sz w:val="20"/>
                <w:szCs w:val="20"/>
                <w:color w:val="auto"/>
              </w:rPr>
            </w:pPr>
            <w:r>
              <w:rPr>
                <w:rFonts w:ascii="Calibri" w:cs="Calibri" w:eastAsia="Calibri" w:hAnsi="Calibri"/>
                <w:sz w:val="13"/>
                <w:szCs w:val="13"/>
                <w:color w:val="auto"/>
                <w:w w:val="94"/>
              </w:rPr>
              <w:t>2,728,898</w:t>
            </w:r>
          </w:p>
        </w:tc>
        <w:tc>
          <w:tcPr>
            <w:tcW w:w="1040" w:type="dxa"/>
            <w:vAlign w:val="bottom"/>
            <w:tcBorders>
              <w:bottom w:val="single" w:sz="8" w:color="A6A6A6"/>
            </w:tcBorders>
          </w:tcPr>
          <w:p>
            <w:pPr>
              <w:jc w:val="right"/>
              <w:ind w:right="176"/>
              <w:spacing w:after="0" w:line="142" w:lineRule="exact"/>
              <w:rPr>
                <w:sz w:val="20"/>
                <w:szCs w:val="20"/>
                <w:color w:val="auto"/>
              </w:rPr>
            </w:pPr>
            <w:r>
              <w:rPr>
                <w:rFonts w:ascii="Calibri" w:cs="Calibri" w:eastAsia="Calibri" w:hAnsi="Calibri"/>
                <w:sz w:val="13"/>
                <w:szCs w:val="13"/>
                <w:color w:val="auto"/>
              </w:rPr>
              <w:t>6,527,970</w:t>
            </w:r>
          </w:p>
        </w:tc>
      </w:tr>
      <w:tr>
        <w:trPr>
          <w:trHeight w:val="149"/>
        </w:trPr>
        <w:tc>
          <w:tcPr>
            <w:tcW w:w="1420" w:type="dxa"/>
            <w:vAlign w:val="bottom"/>
            <w:tcBorders>
              <w:bottom w:val="single" w:sz="8" w:color="AF0000"/>
            </w:tcBorders>
          </w:tcPr>
          <w:p>
            <w:pPr>
              <w:ind w:left="80"/>
              <w:spacing w:after="0" w:line="142" w:lineRule="exact"/>
              <w:rPr>
                <w:sz w:val="20"/>
                <w:szCs w:val="20"/>
                <w:color w:val="auto"/>
              </w:rPr>
            </w:pPr>
            <w:r>
              <w:rPr>
                <w:rFonts w:ascii="Calibri" w:cs="Calibri" w:eastAsia="Calibri" w:hAnsi="Calibri"/>
                <w:sz w:val="13"/>
                <w:szCs w:val="13"/>
                <w:color w:val="auto"/>
              </w:rPr>
              <w:t>Brian G. Lloyd</w:t>
            </w:r>
          </w:p>
        </w:tc>
        <w:tc>
          <w:tcPr>
            <w:tcW w:w="1220" w:type="dxa"/>
            <w:vAlign w:val="bottom"/>
            <w:tcBorders>
              <w:bottom w:val="single" w:sz="8" w:color="AF0000"/>
            </w:tcBorders>
          </w:tcPr>
          <w:p>
            <w:pPr>
              <w:jc w:val="center"/>
              <w:spacing w:after="0" w:line="142" w:lineRule="exact"/>
              <w:rPr>
                <w:sz w:val="20"/>
                <w:szCs w:val="20"/>
                <w:color w:val="auto"/>
              </w:rPr>
            </w:pPr>
            <w:r>
              <w:rPr>
                <w:rFonts w:ascii="Calibri" w:cs="Calibri" w:eastAsia="Calibri" w:hAnsi="Calibri"/>
                <w:sz w:val="13"/>
                <w:szCs w:val="13"/>
                <w:color w:val="auto"/>
                <w:w w:val="94"/>
              </w:rPr>
              <w:t>1,840,719</w:t>
            </w:r>
          </w:p>
        </w:tc>
        <w:tc>
          <w:tcPr>
            <w:tcW w:w="1220" w:type="dxa"/>
            <w:vAlign w:val="bottom"/>
            <w:tcBorders>
              <w:bottom w:val="single" w:sz="8" w:color="AF0000"/>
            </w:tcBorders>
          </w:tcPr>
          <w:p>
            <w:pPr>
              <w:jc w:val="right"/>
              <w:ind w:right="293"/>
              <w:spacing w:after="0" w:line="142" w:lineRule="exact"/>
              <w:rPr>
                <w:sz w:val="20"/>
                <w:szCs w:val="20"/>
                <w:color w:val="auto"/>
              </w:rPr>
            </w:pPr>
            <w:r>
              <w:rPr>
                <w:rFonts w:ascii="Calibri" w:cs="Calibri" w:eastAsia="Calibri" w:hAnsi="Calibri"/>
                <w:sz w:val="13"/>
                <w:szCs w:val="13"/>
                <w:color w:val="auto"/>
              </w:rPr>
              <w:t>516,045</w:t>
            </w:r>
          </w:p>
        </w:tc>
        <w:tc>
          <w:tcPr>
            <w:tcW w:w="1200" w:type="dxa"/>
            <w:vAlign w:val="bottom"/>
            <w:tcBorders>
              <w:bottom w:val="single" w:sz="8" w:color="AF0000"/>
            </w:tcBorders>
          </w:tcPr>
          <w:p>
            <w:pPr>
              <w:jc w:val="center"/>
              <w:spacing w:after="0" w:line="142" w:lineRule="exact"/>
              <w:rPr>
                <w:sz w:val="20"/>
                <w:szCs w:val="20"/>
                <w:color w:val="auto"/>
              </w:rPr>
            </w:pPr>
            <w:r>
              <w:rPr>
                <w:rFonts w:ascii="Calibri" w:cs="Calibri" w:eastAsia="Calibri" w:hAnsi="Calibri"/>
                <w:sz w:val="13"/>
                <w:szCs w:val="13"/>
                <w:color w:val="auto"/>
                <w:w w:val="94"/>
              </w:rPr>
              <w:t>1,266,177</w:t>
            </w:r>
          </w:p>
        </w:tc>
        <w:tc>
          <w:tcPr>
            <w:tcW w:w="1200" w:type="dxa"/>
            <w:vAlign w:val="bottom"/>
            <w:tcBorders>
              <w:bottom w:val="single" w:sz="8" w:color="AF0000"/>
            </w:tcBorders>
          </w:tcPr>
          <w:p>
            <w:pPr>
              <w:jc w:val="center"/>
              <w:spacing w:after="0" w:line="142" w:lineRule="exact"/>
              <w:rPr>
                <w:sz w:val="20"/>
                <w:szCs w:val="20"/>
                <w:color w:val="auto"/>
              </w:rPr>
            </w:pPr>
            <w:r>
              <w:rPr>
                <w:rFonts w:ascii="Calibri" w:cs="Calibri" w:eastAsia="Calibri" w:hAnsi="Calibri"/>
                <w:sz w:val="13"/>
                <w:szCs w:val="13"/>
                <w:color w:val="auto"/>
                <w:w w:val="93"/>
              </w:rPr>
              <w:t>45,938</w:t>
            </w:r>
          </w:p>
        </w:tc>
        <w:tc>
          <w:tcPr>
            <w:tcW w:w="1280" w:type="dxa"/>
            <w:vAlign w:val="bottom"/>
            <w:tcBorders>
              <w:bottom w:val="single" w:sz="8" w:color="AF0000"/>
            </w:tcBorders>
          </w:tcPr>
          <w:p>
            <w:pPr>
              <w:jc w:val="center"/>
              <w:spacing w:after="0" w:line="142" w:lineRule="exact"/>
              <w:rPr>
                <w:sz w:val="20"/>
                <w:szCs w:val="20"/>
                <w:color w:val="auto"/>
              </w:rPr>
            </w:pPr>
            <w:r>
              <w:rPr>
                <w:rFonts w:ascii="Calibri" w:cs="Calibri" w:eastAsia="Calibri" w:hAnsi="Calibri"/>
                <w:sz w:val="13"/>
                <w:szCs w:val="13"/>
                <w:color w:val="auto"/>
              </w:rPr>
              <w:t>—</w:t>
            </w:r>
          </w:p>
        </w:tc>
        <w:tc>
          <w:tcPr>
            <w:tcW w:w="1040" w:type="dxa"/>
            <w:vAlign w:val="bottom"/>
            <w:tcBorders>
              <w:bottom w:val="single" w:sz="8" w:color="AF0000"/>
            </w:tcBorders>
          </w:tcPr>
          <w:p>
            <w:pPr>
              <w:jc w:val="right"/>
              <w:ind w:right="176"/>
              <w:spacing w:after="0" w:line="142" w:lineRule="exact"/>
              <w:rPr>
                <w:sz w:val="20"/>
                <w:szCs w:val="20"/>
                <w:color w:val="auto"/>
              </w:rPr>
            </w:pPr>
            <w:r>
              <w:rPr>
                <w:rFonts w:ascii="Calibri" w:cs="Calibri" w:eastAsia="Calibri" w:hAnsi="Calibri"/>
                <w:sz w:val="13"/>
                <w:szCs w:val="13"/>
                <w:color w:val="auto"/>
              </w:rPr>
              <w:t>3,668,879</w:t>
            </w:r>
          </w:p>
        </w:tc>
      </w:tr>
    </w:tbl>
    <w:p>
      <w:pPr>
        <w:spacing w:after="0" w:line="90" w:lineRule="exact"/>
        <w:rPr>
          <w:sz w:val="20"/>
          <w:szCs w:val="20"/>
          <w:color w:val="auto"/>
        </w:rPr>
      </w:pPr>
    </w:p>
    <w:p>
      <w:pPr>
        <w:ind w:left="540" w:right="339" w:hanging="331"/>
        <w:spacing w:after="0" w:line="234" w:lineRule="auto"/>
        <w:tabs>
          <w:tab w:leader="none" w:pos="540" w:val="left"/>
        </w:tabs>
        <w:numPr>
          <w:ilvl w:val="0"/>
          <w:numId w:val="95"/>
        </w:numPr>
        <w:rPr>
          <w:rFonts w:ascii="Calibri" w:cs="Calibri" w:eastAsia="Calibri" w:hAnsi="Calibri"/>
          <w:sz w:val="16"/>
          <w:szCs w:val="16"/>
          <w:color w:val="AF0000"/>
        </w:rPr>
      </w:pPr>
      <w:r>
        <w:rPr>
          <w:rFonts w:ascii="Calibri" w:cs="Calibri" w:eastAsia="Calibri" w:hAnsi="Calibri"/>
          <w:sz w:val="16"/>
          <w:szCs w:val="16"/>
          <w:color w:val="auto"/>
        </w:rPr>
        <w:t>Stock Opton Vestng Acceleraton represents the intrinsic value of the otherwise unvested stock optons held by NEOs on December 31, 2023 calculated by multplying the number of shares underlying such optons by the closing price of Company shares on December 31, 2023 ($75.96 per share), and by then subtractng the applicable exercise price.</w:t>
      </w:r>
    </w:p>
    <w:p>
      <w:pPr>
        <w:spacing w:after="0" w:line="9" w:lineRule="exact"/>
        <w:rPr>
          <w:rFonts w:ascii="Calibri" w:cs="Calibri" w:eastAsia="Calibri" w:hAnsi="Calibri"/>
          <w:sz w:val="16"/>
          <w:szCs w:val="16"/>
          <w:color w:val="AF0000"/>
        </w:rPr>
      </w:pPr>
    </w:p>
    <w:p>
      <w:pPr>
        <w:ind w:left="540" w:right="319" w:hanging="331"/>
        <w:spacing w:after="0" w:line="234" w:lineRule="auto"/>
        <w:tabs>
          <w:tab w:leader="none" w:pos="540" w:val="left"/>
        </w:tabs>
        <w:numPr>
          <w:ilvl w:val="0"/>
          <w:numId w:val="95"/>
        </w:numPr>
        <w:rPr>
          <w:rFonts w:ascii="Calibri" w:cs="Calibri" w:eastAsia="Calibri" w:hAnsi="Calibri"/>
          <w:sz w:val="16"/>
          <w:szCs w:val="16"/>
          <w:color w:val="AF0000"/>
        </w:rPr>
      </w:pPr>
      <w:r>
        <w:rPr>
          <w:rFonts w:ascii="Calibri" w:cs="Calibri" w:eastAsia="Calibri" w:hAnsi="Calibri"/>
          <w:sz w:val="16"/>
          <w:szCs w:val="16"/>
          <w:color w:val="auto"/>
        </w:rPr>
        <w:t>Stock Award Vestng Acceleraton represents the intrinsic value of the unvested PSUs on December 31, 2023 calculated by multplying the Target PSU Shares underlying such awards by the closing price of the Company shares on December 31, 2023 ($75.96 per share).</w:t>
      </w:r>
    </w:p>
    <w:p>
      <w:pPr>
        <w:spacing w:after="0" w:line="9" w:lineRule="exact"/>
        <w:rPr>
          <w:rFonts w:ascii="Calibri" w:cs="Calibri" w:eastAsia="Calibri" w:hAnsi="Calibri"/>
          <w:sz w:val="16"/>
          <w:szCs w:val="16"/>
          <w:color w:val="AF0000"/>
        </w:rPr>
      </w:pPr>
    </w:p>
    <w:p>
      <w:pPr>
        <w:ind w:left="540" w:right="639" w:hanging="331"/>
        <w:spacing w:after="0" w:line="235" w:lineRule="auto"/>
        <w:tabs>
          <w:tab w:leader="none" w:pos="540" w:val="left"/>
        </w:tabs>
        <w:numPr>
          <w:ilvl w:val="0"/>
          <w:numId w:val="95"/>
        </w:numPr>
        <w:rPr>
          <w:rFonts w:ascii="Calibri" w:cs="Calibri" w:eastAsia="Calibri" w:hAnsi="Calibri"/>
          <w:sz w:val="16"/>
          <w:szCs w:val="16"/>
          <w:color w:val="AF0000"/>
        </w:rPr>
      </w:pPr>
      <w:r>
        <w:rPr>
          <w:rFonts w:ascii="Calibri" w:cs="Calibri" w:eastAsia="Calibri" w:hAnsi="Calibri"/>
          <w:sz w:val="16"/>
          <w:szCs w:val="16"/>
          <w:color w:val="auto"/>
        </w:rPr>
        <w:t>Includes the Target Cash Incentves of $1,333,333, $1,000,000, and $666,667 for Mr. Lampropoulos under unvested PSU awards granted in 2023, 2022 and 2021 respectvely.</w:t>
      </w:r>
    </w:p>
    <w:p>
      <w:pPr>
        <w:spacing w:after="0" w:line="9" w:lineRule="exact"/>
        <w:rPr>
          <w:rFonts w:ascii="Calibri" w:cs="Calibri" w:eastAsia="Calibri" w:hAnsi="Calibri"/>
          <w:sz w:val="16"/>
          <w:szCs w:val="16"/>
          <w:color w:val="AF0000"/>
        </w:rPr>
      </w:pPr>
    </w:p>
    <w:p>
      <w:pPr>
        <w:ind w:left="540" w:right="399" w:hanging="331"/>
        <w:spacing w:after="0" w:line="237" w:lineRule="auto"/>
        <w:tabs>
          <w:tab w:leader="none" w:pos="540" w:val="left"/>
        </w:tabs>
        <w:numPr>
          <w:ilvl w:val="0"/>
          <w:numId w:val="95"/>
        </w:numPr>
        <w:rPr>
          <w:rFonts w:ascii="Calibri" w:cs="Calibri" w:eastAsia="Calibri" w:hAnsi="Calibri"/>
          <w:sz w:val="16"/>
          <w:szCs w:val="16"/>
          <w:color w:val="AF0000"/>
        </w:rPr>
      </w:pPr>
      <w:r>
        <w:rPr>
          <w:rFonts w:ascii="Calibri" w:cs="Calibri" w:eastAsia="Calibri" w:hAnsi="Calibri"/>
          <w:sz w:val="16"/>
          <w:szCs w:val="16"/>
          <w:color w:val="auto"/>
        </w:rPr>
        <w:t>Health Plan Coverage Contnuaton amounts represent the estmated future cost of providing contnuing Company-paid coverage under the Company’s group health, disability and life insurance plans for the applicable severance period. The estmated amounts are based upon December 31, 2023 actual premium rates, plus a 10% assumed rate of annual premium cost increases in health care benefts.</w:t>
      </w:r>
    </w:p>
    <w:p>
      <w:pPr>
        <w:spacing w:after="0" w:line="2" w:lineRule="exact"/>
        <w:rPr>
          <w:rFonts w:ascii="Calibri" w:cs="Calibri" w:eastAsia="Calibri" w:hAnsi="Calibri"/>
          <w:sz w:val="16"/>
          <w:szCs w:val="16"/>
          <w:color w:val="AF0000"/>
        </w:rPr>
      </w:pPr>
    </w:p>
    <w:p>
      <w:pPr>
        <w:ind w:left="540" w:right="359" w:hanging="331"/>
        <w:spacing w:after="0" w:line="232" w:lineRule="auto"/>
        <w:tabs>
          <w:tab w:leader="none" w:pos="540" w:val="left"/>
        </w:tabs>
        <w:numPr>
          <w:ilvl w:val="0"/>
          <w:numId w:val="95"/>
        </w:numPr>
        <w:rPr>
          <w:rFonts w:ascii="Calibri" w:cs="Calibri" w:eastAsia="Calibri" w:hAnsi="Calibri"/>
          <w:sz w:val="16"/>
          <w:szCs w:val="16"/>
          <w:color w:val="AF0000"/>
        </w:rPr>
      </w:pPr>
      <w:r>
        <w:rPr>
          <w:rFonts w:ascii="Calibri" w:cs="Calibri" w:eastAsia="Calibri" w:hAnsi="Calibri"/>
          <w:sz w:val="16"/>
          <w:szCs w:val="16"/>
          <w:color w:val="auto"/>
        </w:rPr>
        <w:t>Deferred Compensaton Plan amounts represent the account balance in each NEO’s Deferred Compensaton Plan account as of December 31, 2023.</w:t>
      </w:r>
    </w:p>
    <w:p>
      <w:pPr>
        <w:spacing w:after="0" w:line="221" w:lineRule="exact"/>
        <w:rPr>
          <w:sz w:val="20"/>
          <w:szCs w:val="20"/>
          <w:color w:val="auto"/>
        </w:rPr>
      </w:pPr>
    </w:p>
    <w:p>
      <w:pPr>
        <w:ind w:left="200" w:right="379"/>
        <w:spacing w:after="0" w:line="235" w:lineRule="auto"/>
        <w:rPr>
          <w:sz w:val="20"/>
          <w:szCs w:val="20"/>
          <w:color w:val="auto"/>
        </w:rPr>
      </w:pPr>
      <w:r>
        <w:rPr>
          <w:rFonts w:ascii="Calibri" w:cs="Calibri" w:eastAsia="Calibri" w:hAnsi="Calibri"/>
          <w:sz w:val="18"/>
          <w:szCs w:val="18"/>
          <w:b w:val="1"/>
          <w:bCs w:val="1"/>
          <w:i w:val="1"/>
          <w:iCs w:val="1"/>
          <w:color w:val="auto"/>
        </w:rPr>
        <w:t>Involuntary Terminaton without Cause or Terminaton For Good Reason (Other Than in Connecton with a Change in Control).</w:t>
      </w:r>
    </w:p>
    <w:p>
      <w:pPr>
        <w:spacing w:after="0" w:line="177" w:lineRule="exact"/>
        <w:rPr>
          <w:sz w:val="20"/>
          <w:szCs w:val="20"/>
          <w:color w:val="auto"/>
        </w:rPr>
      </w:pPr>
    </w:p>
    <w:p>
      <w:pPr>
        <w:ind w:left="200" w:right="519"/>
        <w:spacing w:after="0" w:line="231" w:lineRule="auto"/>
        <w:rPr>
          <w:sz w:val="20"/>
          <w:szCs w:val="20"/>
          <w:color w:val="auto"/>
        </w:rPr>
      </w:pPr>
      <w:r>
        <w:rPr>
          <w:rFonts w:ascii="Calibri" w:cs="Calibri" w:eastAsia="Calibri" w:hAnsi="Calibri"/>
          <w:sz w:val="18"/>
          <w:szCs w:val="18"/>
          <w:color w:val="auto"/>
        </w:rPr>
        <w:t>The following table shows the amounts that would be payable to each NEO if the NEO’s employment had terminated voluntarily for Good Reason or involuntarily without Cause, other than in connecton with a Change in Control, on December 31, 2023 and we had exercised our discreton to pay severance equal to one year’s salary and the annual bonus earned in 2023.</w:t>
      </w:r>
    </w:p>
    <w:p>
      <w:pPr>
        <w:spacing w:after="0" w:line="180" w:lineRule="exact"/>
        <w:rPr>
          <w:sz w:val="20"/>
          <w:szCs w:val="20"/>
          <w:color w:val="auto"/>
        </w:rPr>
      </w:pPr>
    </w:p>
    <w:p>
      <w:pPr>
        <w:ind w:left="200" w:right="339"/>
        <w:spacing w:after="0" w:line="235" w:lineRule="auto"/>
        <w:rPr>
          <w:sz w:val="20"/>
          <w:szCs w:val="20"/>
          <w:color w:val="auto"/>
        </w:rPr>
      </w:pPr>
      <w:r>
        <w:rPr>
          <w:rFonts w:ascii="Calibri" w:cs="Calibri" w:eastAsia="Calibri" w:hAnsi="Calibri"/>
          <w:sz w:val="18"/>
          <w:szCs w:val="18"/>
          <w:color w:val="auto"/>
        </w:rPr>
        <w:t>The following amounts are in additon to accrued vacaton and distributons from our 401(k) Plan that are payable to all salaried employees upon terminaton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135255</wp:posOffset>
            </wp:positionV>
            <wp:extent cx="490347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03470" cy="17145"/>
                    </a:xfrm>
                    <a:prstGeom prst="rect">
                      <a:avLst/>
                    </a:prstGeom>
                    <a:noFill/>
                  </pic:spPr>
                </pic:pic>
              </a:graphicData>
            </a:graphic>
          </wp:anchor>
        </w:drawing>
      </w:r>
    </w:p>
    <w:p>
      <w:pPr>
        <w:spacing w:after="0" w:line="23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rPr>
              <w:t>Stock Opton</w:t>
            </w:r>
          </w:p>
        </w:tc>
        <w:tc>
          <w:tcPr>
            <w:tcW w:w="980" w:type="dxa"/>
            <w:vAlign w:val="bottom"/>
          </w:tcPr>
          <w:p>
            <w:pPr>
              <w:jc w:val="center"/>
              <w:spacing w:after="0"/>
              <w:rPr>
                <w:sz w:val="20"/>
                <w:szCs w:val="20"/>
                <w:color w:val="auto"/>
              </w:rPr>
            </w:pPr>
            <w:r>
              <w:rPr>
                <w:rFonts w:ascii="Calibri" w:cs="Calibri" w:eastAsia="Calibri" w:hAnsi="Calibri"/>
                <w:sz w:val="14"/>
                <w:szCs w:val="14"/>
                <w:b w:val="1"/>
                <w:bCs w:val="1"/>
                <w:color w:val="auto"/>
              </w:rPr>
              <w:t>Stock Award</w:t>
            </w: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Health Plan</w:t>
            </w: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Deferred</w:t>
            </w:r>
          </w:p>
        </w:tc>
        <w:tc>
          <w:tcPr>
            <w:tcW w:w="800" w:type="dxa"/>
            <w:vAlign w:val="bottom"/>
          </w:tcPr>
          <w:p>
            <w:pPr>
              <w:spacing w:after="0"/>
              <w:rPr>
                <w:sz w:val="14"/>
                <w:szCs w:val="14"/>
                <w:color w:val="auto"/>
              </w:rPr>
            </w:pPr>
          </w:p>
        </w:tc>
      </w:tr>
      <w:tr>
        <w:trPr>
          <w:trHeight w:val="175"/>
        </w:trPr>
        <w:tc>
          <w:tcPr>
            <w:tcW w:w="1760" w:type="dxa"/>
            <w:vAlign w:val="bottom"/>
          </w:tcPr>
          <w:p>
            <w:pPr>
              <w:spacing w:after="0"/>
              <w:rPr>
                <w:sz w:val="15"/>
                <w:szCs w:val="15"/>
                <w:color w:val="auto"/>
              </w:rPr>
            </w:pPr>
          </w:p>
        </w:tc>
        <w:tc>
          <w:tcPr>
            <w:tcW w:w="1140" w:type="dxa"/>
            <w:vAlign w:val="bottom"/>
          </w:tcPr>
          <w:p>
            <w:pPr>
              <w:jc w:val="center"/>
              <w:ind w:left="110"/>
              <w:spacing w:after="0"/>
              <w:rPr>
                <w:sz w:val="20"/>
                <w:szCs w:val="20"/>
                <w:color w:val="auto"/>
              </w:rPr>
            </w:pPr>
            <w:r>
              <w:rPr>
                <w:rFonts w:ascii="Calibri" w:cs="Calibri" w:eastAsia="Calibri" w:hAnsi="Calibri"/>
                <w:sz w:val="14"/>
                <w:szCs w:val="14"/>
                <w:b w:val="1"/>
                <w:bCs w:val="1"/>
                <w:color w:val="auto"/>
              </w:rPr>
              <w:t>Discretonary</w:t>
            </w: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rPr>
              <w:t>Vestng</w:t>
            </w:r>
          </w:p>
        </w:tc>
        <w:tc>
          <w:tcPr>
            <w:tcW w:w="980" w:type="dxa"/>
            <w:vAlign w:val="bottom"/>
          </w:tcPr>
          <w:p>
            <w:pPr>
              <w:jc w:val="center"/>
              <w:spacing w:after="0"/>
              <w:rPr>
                <w:sz w:val="20"/>
                <w:szCs w:val="20"/>
                <w:color w:val="auto"/>
              </w:rPr>
            </w:pPr>
            <w:r>
              <w:rPr>
                <w:rFonts w:ascii="Calibri" w:cs="Calibri" w:eastAsia="Calibri" w:hAnsi="Calibri"/>
                <w:sz w:val="14"/>
                <w:szCs w:val="14"/>
                <w:b w:val="1"/>
                <w:bCs w:val="1"/>
                <w:color w:val="auto"/>
              </w:rPr>
              <w:t>Vestng</w:t>
            </w: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Coverage</w:t>
            </w: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Compensaton</w:t>
            </w:r>
          </w:p>
        </w:tc>
        <w:tc>
          <w:tcPr>
            <w:tcW w:w="800" w:type="dxa"/>
            <w:vAlign w:val="bottom"/>
          </w:tcPr>
          <w:p>
            <w:pPr>
              <w:spacing w:after="0"/>
              <w:rPr>
                <w:sz w:val="15"/>
                <w:szCs w:val="15"/>
                <w:color w:val="auto"/>
              </w:rPr>
            </w:pPr>
          </w:p>
        </w:tc>
      </w:tr>
      <w:tr>
        <w:trPr>
          <w:trHeight w:val="168"/>
        </w:trPr>
        <w:tc>
          <w:tcPr>
            <w:tcW w:w="1760" w:type="dxa"/>
            <w:vAlign w:val="bottom"/>
          </w:tcPr>
          <w:p>
            <w:pPr>
              <w:spacing w:after="0"/>
              <w:rPr>
                <w:sz w:val="14"/>
                <w:szCs w:val="14"/>
                <w:color w:val="auto"/>
              </w:rPr>
            </w:pPr>
          </w:p>
        </w:tc>
        <w:tc>
          <w:tcPr>
            <w:tcW w:w="1140" w:type="dxa"/>
            <w:vAlign w:val="bottom"/>
          </w:tcPr>
          <w:p>
            <w:pPr>
              <w:jc w:val="center"/>
              <w:ind w:left="130"/>
              <w:spacing w:after="0" w:line="168" w:lineRule="exact"/>
              <w:rPr>
                <w:sz w:val="20"/>
                <w:szCs w:val="20"/>
                <w:color w:val="auto"/>
              </w:rPr>
            </w:pPr>
            <w:r>
              <w:rPr>
                <w:rFonts w:ascii="Calibri" w:cs="Calibri" w:eastAsia="Calibri" w:hAnsi="Calibri"/>
                <w:sz w:val="14"/>
                <w:szCs w:val="14"/>
                <w:b w:val="1"/>
                <w:bCs w:val="1"/>
                <w:color w:val="auto"/>
              </w:rPr>
              <w:t>Severance</w:t>
            </w:r>
          </w:p>
        </w:tc>
        <w:tc>
          <w:tcPr>
            <w:tcW w:w="94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Acceleraton</w:t>
            </w:r>
          </w:p>
        </w:tc>
        <w:tc>
          <w:tcPr>
            <w:tcW w:w="98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Acceleraton</w:t>
            </w:r>
          </w:p>
        </w:tc>
        <w:tc>
          <w:tcPr>
            <w:tcW w:w="104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Contnuaton</w:t>
            </w:r>
          </w:p>
        </w:tc>
        <w:tc>
          <w:tcPr>
            <w:tcW w:w="106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Plan</w:t>
            </w:r>
          </w:p>
        </w:tc>
        <w:tc>
          <w:tcPr>
            <w:tcW w:w="800" w:type="dxa"/>
            <w:vAlign w:val="bottom"/>
          </w:tcPr>
          <w:p>
            <w:pPr>
              <w:ind w:left="280"/>
              <w:spacing w:after="0" w:line="168" w:lineRule="exact"/>
              <w:rPr>
                <w:sz w:val="20"/>
                <w:szCs w:val="20"/>
                <w:color w:val="auto"/>
              </w:rPr>
            </w:pPr>
            <w:r>
              <w:rPr>
                <w:rFonts w:ascii="Calibri" w:cs="Calibri" w:eastAsia="Calibri" w:hAnsi="Calibri"/>
                <w:sz w:val="14"/>
                <w:szCs w:val="14"/>
                <w:b w:val="1"/>
                <w:bCs w:val="1"/>
                <w:color w:val="auto"/>
              </w:rPr>
              <w:t>Total</w:t>
            </w:r>
          </w:p>
        </w:tc>
      </w:tr>
      <w:tr>
        <w:trPr>
          <w:trHeight w:val="237"/>
        </w:trPr>
        <w:tc>
          <w:tcPr>
            <w:tcW w:w="1760" w:type="dxa"/>
            <w:vAlign w:val="bottom"/>
            <w:tcBorders>
              <w:bottom w:val="single" w:sz="8" w:color="AF0000"/>
            </w:tcBorders>
          </w:tcPr>
          <w:p>
            <w:pPr>
              <w:ind w:left="40"/>
              <w:spacing w:after="0"/>
              <w:rPr>
                <w:sz w:val="20"/>
                <w:szCs w:val="20"/>
                <w:color w:val="auto"/>
              </w:rPr>
            </w:pPr>
            <w:r>
              <w:rPr>
                <w:rFonts w:ascii="Calibri" w:cs="Calibri" w:eastAsia="Calibri" w:hAnsi="Calibri"/>
                <w:sz w:val="14"/>
                <w:szCs w:val="14"/>
                <w:b w:val="1"/>
                <w:bCs w:val="1"/>
                <w:color w:val="auto"/>
              </w:rPr>
              <w:t>Named Executve Ofcer</w:t>
            </w:r>
          </w:p>
        </w:tc>
        <w:tc>
          <w:tcPr>
            <w:tcW w:w="1140" w:type="dxa"/>
            <w:vAlign w:val="bottom"/>
            <w:tcBorders>
              <w:bottom w:val="single" w:sz="8" w:color="AF0000"/>
            </w:tcBorders>
          </w:tcPr>
          <w:p>
            <w:pPr>
              <w:jc w:val="center"/>
              <w:ind w:left="130"/>
              <w:spacing w:after="0" w:line="231" w:lineRule="exact"/>
              <w:rPr>
                <w:sz w:val="20"/>
                <w:szCs w:val="20"/>
                <w:color w:val="auto"/>
              </w:rPr>
            </w:pPr>
            <w:r>
              <w:rPr>
                <w:rFonts w:ascii="Calibri" w:cs="Calibri" w:eastAsia="Calibri" w:hAnsi="Calibri"/>
                <w:sz w:val="25"/>
                <w:szCs w:val="25"/>
                <w:b w:val="1"/>
                <w:bCs w:val="1"/>
                <w:color w:val="auto"/>
                <w:vertAlign w:val="subscript"/>
              </w:rPr>
              <w:t>($)</w:t>
            </w:r>
            <w:r>
              <w:rPr>
                <w:rFonts w:ascii="Calibri" w:cs="Calibri" w:eastAsia="Calibri" w:hAnsi="Calibri"/>
                <w:sz w:val="11"/>
                <w:szCs w:val="11"/>
                <w:b w:val="1"/>
                <w:bCs w:val="1"/>
                <w:color w:val="auto"/>
              </w:rPr>
              <w:t xml:space="preserve"> (1)</w:t>
            </w:r>
          </w:p>
        </w:tc>
        <w:tc>
          <w:tcPr>
            <w:tcW w:w="940" w:type="dxa"/>
            <w:vAlign w:val="bottom"/>
            <w:tcBorders>
              <w:bottom w:val="single" w:sz="8" w:color="AF0000"/>
            </w:tcBorders>
          </w:tcPr>
          <w:p>
            <w:pPr>
              <w:jc w:val="center"/>
              <w:spacing w:after="0" w:line="231" w:lineRule="exact"/>
              <w:rPr>
                <w:sz w:val="20"/>
                <w:szCs w:val="20"/>
                <w:color w:val="auto"/>
              </w:rPr>
            </w:pPr>
            <w:r>
              <w:rPr>
                <w:rFonts w:ascii="Calibri" w:cs="Calibri" w:eastAsia="Calibri" w:hAnsi="Calibri"/>
                <w:sz w:val="25"/>
                <w:szCs w:val="25"/>
                <w:b w:val="1"/>
                <w:bCs w:val="1"/>
                <w:color w:val="auto"/>
                <w:w w:val="94"/>
                <w:vertAlign w:val="subscript"/>
              </w:rPr>
              <w:t>($)</w:t>
            </w:r>
            <w:r>
              <w:rPr>
                <w:rFonts w:ascii="Calibri" w:cs="Calibri" w:eastAsia="Calibri" w:hAnsi="Calibri"/>
                <w:sz w:val="11"/>
                <w:szCs w:val="11"/>
                <w:b w:val="1"/>
                <w:bCs w:val="1"/>
                <w:color w:val="auto"/>
                <w:w w:val="94"/>
              </w:rPr>
              <w:t xml:space="preserve"> (2)</w:t>
            </w:r>
          </w:p>
        </w:tc>
        <w:tc>
          <w:tcPr>
            <w:tcW w:w="980" w:type="dxa"/>
            <w:vAlign w:val="bottom"/>
            <w:tcBorders>
              <w:bottom w:val="single" w:sz="8" w:color="AF0000"/>
            </w:tcBorders>
          </w:tcPr>
          <w:p>
            <w:pPr>
              <w:jc w:val="center"/>
              <w:spacing w:after="0" w:line="231" w:lineRule="exact"/>
              <w:rPr>
                <w:sz w:val="20"/>
                <w:szCs w:val="20"/>
                <w:color w:val="auto"/>
              </w:rPr>
            </w:pPr>
            <w:r>
              <w:rPr>
                <w:rFonts w:ascii="Calibri" w:cs="Calibri" w:eastAsia="Calibri" w:hAnsi="Calibri"/>
                <w:sz w:val="25"/>
                <w:szCs w:val="25"/>
                <w:b w:val="1"/>
                <w:bCs w:val="1"/>
                <w:color w:val="auto"/>
                <w:w w:val="99"/>
                <w:vertAlign w:val="subscript"/>
              </w:rPr>
              <w:t>($)</w:t>
            </w:r>
            <w:r>
              <w:rPr>
                <w:rFonts w:ascii="Calibri" w:cs="Calibri" w:eastAsia="Calibri" w:hAnsi="Calibri"/>
                <w:sz w:val="11"/>
                <w:szCs w:val="11"/>
                <w:b w:val="1"/>
                <w:bCs w:val="1"/>
                <w:color w:val="auto"/>
                <w:w w:val="99"/>
              </w:rPr>
              <w:t xml:space="preserve"> (3)(4)</w:t>
            </w:r>
          </w:p>
        </w:tc>
        <w:tc>
          <w:tcPr>
            <w:tcW w:w="1040" w:type="dxa"/>
            <w:vAlign w:val="bottom"/>
            <w:tcBorders>
              <w:bottom w:val="single" w:sz="8" w:color="AF0000"/>
            </w:tcBorders>
          </w:tcPr>
          <w:p>
            <w:pPr>
              <w:jc w:val="center"/>
              <w:spacing w:after="0" w:line="231" w:lineRule="exact"/>
              <w:rPr>
                <w:sz w:val="20"/>
                <w:szCs w:val="20"/>
                <w:color w:val="auto"/>
              </w:rPr>
            </w:pPr>
            <w:r>
              <w:rPr>
                <w:rFonts w:ascii="Calibri" w:cs="Calibri" w:eastAsia="Calibri" w:hAnsi="Calibri"/>
                <w:sz w:val="25"/>
                <w:szCs w:val="25"/>
                <w:b w:val="1"/>
                <w:bCs w:val="1"/>
                <w:color w:val="auto"/>
                <w:w w:val="94"/>
                <w:vertAlign w:val="subscript"/>
              </w:rPr>
              <w:t>($)</w:t>
            </w:r>
            <w:r>
              <w:rPr>
                <w:rFonts w:ascii="Calibri" w:cs="Calibri" w:eastAsia="Calibri" w:hAnsi="Calibri"/>
                <w:sz w:val="11"/>
                <w:szCs w:val="11"/>
                <w:b w:val="1"/>
                <w:bCs w:val="1"/>
                <w:color w:val="auto"/>
                <w:w w:val="94"/>
              </w:rPr>
              <w:t xml:space="preserve"> (5)</w:t>
            </w:r>
          </w:p>
        </w:tc>
        <w:tc>
          <w:tcPr>
            <w:tcW w:w="1060" w:type="dxa"/>
            <w:vAlign w:val="bottom"/>
            <w:tcBorders>
              <w:bottom w:val="single" w:sz="8" w:color="AF0000"/>
            </w:tcBorders>
          </w:tcPr>
          <w:p>
            <w:pPr>
              <w:jc w:val="center"/>
              <w:spacing w:after="0" w:line="231" w:lineRule="exact"/>
              <w:rPr>
                <w:sz w:val="20"/>
                <w:szCs w:val="20"/>
                <w:color w:val="auto"/>
              </w:rPr>
            </w:pPr>
            <w:r>
              <w:rPr>
                <w:rFonts w:ascii="Calibri" w:cs="Calibri" w:eastAsia="Calibri" w:hAnsi="Calibri"/>
                <w:sz w:val="25"/>
                <w:szCs w:val="25"/>
                <w:b w:val="1"/>
                <w:bCs w:val="1"/>
                <w:color w:val="auto"/>
                <w:w w:val="94"/>
                <w:vertAlign w:val="subscript"/>
              </w:rPr>
              <w:t>($)</w:t>
            </w:r>
            <w:r>
              <w:rPr>
                <w:rFonts w:ascii="Calibri" w:cs="Calibri" w:eastAsia="Calibri" w:hAnsi="Calibri"/>
                <w:sz w:val="11"/>
                <w:szCs w:val="11"/>
                <w:b w:val="1"/>
                <w:bCs w:val="1"/>
                <w:color w:val="auto"/>
                <w:w w:val="94"/>
              </w:rPr>
              <w:t xml:space="preserve"> (6)</w:t>
            </w:r>
          </w:p>
        </w:tc>
        <w:tc>
          <w:tcPr>
            <w:tcW w:w="800" w:type="dxa"/>
            <w:vAlign w:val="bottom"/>
            <w:tcBorders>
              <w:bottom w:val="single" w:sz="8" w:color="AF0000"/>
            </w:tcBorders>
          </w:tcPr>
          <w:p>
            <w:pPr>
              <w:jc w:val="center"/>
              <w:spacing w:after="0"/>
              <w:rPr>
                <w:sz w:val="20"/>
                <w:szCs w:val="20"/>
                <w:color w:val="auto"/>
              </w:rPr>
            </w:pPr>
            <w:r>
              <w:rPr>
                <w:rFonts w:ascii="Calibri" w:cs="Calibri" w:eastAsia="Calibri" w:hAnsi="Calibri"/>
                <w:sz w:val="14"/>
                <w:szCs w:val="14"/>
                <w:b w:val="1"/>
                <w:bCs w:val="1"/>
                <w:color w:val="auto"/>
              </w:rPr>
              <w:t>($)</w:t>
            </w:r>
          </w:p>
        </w:tc>
      </w:tr>
      <w:tr>
        <w:trPr>
          <w:trHeight w:val="199"/>
        </w:trPr>
        <w:tc>
          <w:tcPr>
            <w:tcW w:w="1760" w:type="dxa"/>
            <w:vAlign w:val="bottom"/>
          </w:tcPr>
          <w:p>
            <w:pPr>
              <w:ind w:left="40"/>
              <w:spacing w:after="0"/>
              <w:rPr>
                <w:sz w:val="20"/>
                <w:szCs w:val="20"/>
                <w:color w:val="auto"/>
              </w:rPr>
            </w:pPr>
            <w:r>
              <w:rPr>
                <w:rFonts w:ascii="Calibri" w:cs="Calibri" w:eastAsia="Calibri" w:hAnsi="Calibri"/>
                <w:sz w:val="14"/>
                <w:szCs w:val="14"/>
                <w:color w:val="auto"/>
              </w:rPr>
              <w:t>Fred P. Lampropoulos</w:t>
            </w:r>
          </w:p>
        </w:tc>
        <w:tc>
          <w:tcPr>
            <w:tcW w:w="1140" w:type="dxa"/>
            <w:vAlign w:val="bottom"/>
          </w:tcPr>
          <w:p>
            <w:pPr>
              <w:jc w:val="center"/>
              <w:ind w:left="150"/>
              <w:spacing w:after="0"/>
              <w:rPr>
                <w:sz w:val="20"/>
                <w:szCs w:val="20"/>
                <w:color w:val="auto"/>
              </w:rPr>
            </w:pPr>
            <w:r>
              <w:rPr>
                <w:rFonts w:ascii="Calibri" w:cs="Calibri" w:eastAsia="Calibri" w:hAnsi="Calibri"/>
                <w:sz w:val="14"/>
                <w:szCs w:val="14"/>
                <w:color w:val="auto"/>
              </w:rPr>
              <w:t>5,119,481</w:t>
            </w:r>
          </w:p>
        </w:tc>
        <w:tc>
          <w:tcPr>
            <w:tcW w:w="940" w:type="dxa"/>
            <w:vAlign w:val="bottom"/>
          </w:tcPr>
          <w:p>
            <w:pPr>
              <w:jc w:val="center"/>
              <w:spacing w:after="0"/>
              <w:rPr>
                <w:sz w:val="20"/>
                <w:szCs w:val="20"/>
                <w:color w:val="auto"/>
              </w:rPr>
            </w:pPr>
            <w:r>
              <w:rPr>
                <w:rFonts w:ascii="Calibri" w:cs="Calibri" w:eastAsia="Calibri" w:hAnsi="Calibri"/>
                <w:sz w:val="14"/>
                <w:szCs w:val="14"/>
                <w:color w:val="auto"/>
              </w:rPr>
              <w:t>2,573,878</w:t>
            </w:r>
          </w:p>
        </w:tc>
        <w:tc>
          <w:tcPr>
            <w:tcW w:w="980" w:type="dxa"/>
            <w:vAlign w:val="bottom"/>
          </w:tcPr>
          <w:p>
            <w:pPr>
              <w:jc w:val="center"/>
              <w:spacing w:after="0"/>
              <w:rPr>
                <w:sz w:val="20"/>
                <w:szCs w:val="20"/>
                <w:color w:val="auto"/>
              </w:rPr>
            </w:pPr>
            <w:r>
              <w:rPr>
                <w:rFonts w:ascii="Calibri" w:cs="Calibri" w:eastAsia="Calibri" w:hAnsi="Calibri"/>
                <w:sz w:val="14"/>
                <w:szCs w:val="14"/>
                <w:color w:val="auto"/>
              </w:rPr>
              <w:t>8,296,818</w:t>
            </w:r>
          </w:p>
        </w:tc>
        <w:tc>
          <w:tcPr>
            <w:tcW w:w="1040" w:type="dxa"/>
            <w:vAlign w:val="bottom"/>
          </w:tcPr>
          <w:p>
            <w:pPr>
              <w:jc w:val="center"/>
              <w:spacing w:after="0"/>
              <w:rPr>
                <w:sz w:val="20"/>
                <w:szCs w:val="20"/>
                <w:color w:val="auto"/>
              </w:rPr>
            </w:pPr>
            <w:r>
              <w:rPr>
                <w:rFonts w:ascii="Calibri" w:cs="Calibri" w:eastAsia="Calibri" w:hAnsi="Calibri"/>
                <w:sz w:val="14"/>
                <w:szCs w:val="14"/>
                <w:color w:val="auto"/>
              </w:rPr>
              <w:t>45,938</w:t>
            </w:r>
          </w:p>
        </w:tc>
        <w:tc>
          <w:tcPr>
            <w:tcW w:w="106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800" w:type="dxa"/>
            <w:vAlign w:val="bottom"/>
          </w:tcPr>
          <w:p>
            <w:pPr>
              <w:jc w:val="center"/>
              <w:spacing w:after="0"/>
              <w:rPr>
                <w:sz w:val="20"/>
                <w:szCs w:val="20"/>
                <w:color w:val="auto"/>
              </w:rPr>
            </w:pPr>
            <w:r>
              <w:rPr>
                <w:rFonts w:ascii="Calibri" w:cs="Calibri" w:eastAsia="Calibri" w:hAnsi="Calibri"/>
                <w:sz w:val="14"/>
                <w:szCs w:val="14"/>
                <w:color w:val="auto"/>
              </w:rPr>
              <w:t>16,036,115</w:t>
            </w:r>
          </w:p>
        </w:tc>
      </w:tr>
      <w:tr>
        <w:trPr>
          <w:trHeight w:val="84"/>
        </w:trPr>
        <w:tc>
          <w:tcPr>
            <w:tcW w:w="1760" w:type="dxa"/>
            <w:vAlign w:val="bottom"/>
            <w:tcBorders>
              <w:bottom w:val="single" w:sz="8" w:color="A6A6A6"/>
            </w:tcBorders>
          </w:tcPr>
          <w:p>
            <w:pPr>
              <w:spacing w:after="0"/>
              <w:rPr>
                <w:sz w:val="7"/>
                <w:szCs w:val="7"/>
                <w:color w:val="auto"/>
              </w:rPr>
            </w:pPr>
          </w:p>
        </w:tc>
        <w:tc>
          <w:tcPr>
            <w:tcW w:w="1140" w:type="dxa"/>
            <w:vAlign w:val="bottom"/>
            <w:tcBorders>
              <w:bottom w:val="single" w:sz="8" w:color="A6A6A6"/>
            </w:tcBorders>
          </w:tcPr>
          <w:p>
            <w:pPr>
              <w:spacing w:after="0"/>
              <w:rPr>
                <w:sz w:val="7"/>
                <w:szCs w:val="7"/>
                <w:color w:val="auto"/>
              </w:rPr>
            </w:pPr>
          </w:p>
        </w:tc>
        <w:tc>
          <w:tcPr>
            <w:tcW w:w="940" w:type="dxa"/>
            <w:vAlign w:val="bottom"/>
            <w:tcBorders>
              <w:bottom w:val="single" w:sz="8" w:color="A6A6A6"/>
            </w:tcBorders>
          </w:tcPr>
          <w:p>
            <w:pPr>
              <w:spacing w:after="0"/>
              <w:rPr>
                <w:sz w:val="7"/>
                <w:szCs w:val="7"/>
                <w:color w:val="auto"/>
              </w:rPr>
            </w:pPr>
          </w:p>
        </w:tc>
        <w:tc>
          <w:tcPr>
            <w:tcW w:w="980" w:type="dxa"/>
            <w:vAlign w:val="bottom"/>
            <w:tcBorders>
              <w:bottom w:val="single" w:sz="8" w:color="A6A6A6"/>
            </w:tcBorders>
          </w:tcPr>
          <w:p>
            <w:pPr>
              <w:spacing w:after="0"/>
              <w:rPr>
                <w:sz w:val="7"/>
                <w:szCs w:val="7"/>
                <w:color w:val="auto"/>
              </w:rPr>
            </w:pPr>
          </w:p>
        </w:tc>
        <w:tc>
          <w:tcPr>
            <w:tcW w:w="1040" w:type="dxa"/>
            <w:vAlign w:val="bottom"/>
            <w:tcBorders>
              <w:bottom w:val="single" w:sz="8" w:color="A6A6A6"/>
            </w:tcBorders>
          </w:tcPr>
          <w:p>
            <w:pPr>
              <w:spacing w:after="0"/>
              <w:rPr>
                <w:sz w:val="7"/>
                <w:szCs w:val="7"/>
                <w:color w:val="auto"/>
              </w:rPr>
            </w:pPr>
          </w:p>
        </w:tc>
        <w:tc>
          <w:tcPr>
            <w:tcW w:w="1060" w:type="dxa"/>
            <w:vAlign w:val="bottom"/>
            <w:tcBorders>
              <w:bottom w:val="single" w:sz="8" w:color="A6A6A6"/>
            </w:tcBorders>
          </w:tcPr>
          <w:p>
            <w:pPr>
              <w:spacing w:after="0"/>
              <w:rPr>
                <w:sz w:val="7"/>
                <w:szCs w:val="7"/>
                <w:color w:val="auto"/>
              </w:rPr>
            </w:pPr>
          </w:p>
        </w:tc>
        <w:tc>
          <w:tcPr>
            <w:tcW w:w="800" w:type="dxa"/>
            <w:vAlign w:val="bottom"/>
            <w:tcBorders>
              <w:bottom w:val="single" w:sz="8" w:color="A6A6A6"/>
            </w:tcBorders>
          </w:tcPr>
          <w:p>
            <w:pPr>
              <w:spacing w:after="0"/>
              <w:rPr>
                <w:sz w:val="7"/>
                <w:szCs w:val="7"/>
                <w:color w:val="auto"/>
              </w:rPr>
            </w:pPr>
          </w:p>
        </w:tc>
      </w:tr>
      <w:tr>
        <w:trPr>
          <w:trHeight w:val="212"/>
        </w:trPr>
        <w:tc>
          <w:tcPr>
            <w:tcW w:w="1760" w:type="dxa"/>
            <w:vAlign w:val="bottom"/>
          </w:tcPr>
          <w:p>
            <w:pPr>
              <w:ind w:left="40"/>
              <w:spacing w:after="0"/>
              <w:rPr>
                <w:sz w:val="20"/>
                <w:szCs w:val="20"/>
                <w:color w:val="auto"/>
              </w:rPr>
            </w:pPr>
            <w:r>
              <w:rPr>
                <w:rFonts w:ascii="Calibri" w:cs="Calibri" w:eastAsia="Calibri" w:hAnsi="Calibri"/>
                <w:sz w:val="14"/>
                <w:szCs w:val="14"/>
                <w:color w:val="auto"/>
              </w:rPr>
              <w:t>Raul Parra</w:t>
            </w:r>
          </w:p>
        </w:tc>
        <w:tc>
          <w:tcPr>
            <w:tcW w:w="1140" w:type="dxa"/>
            <w:vAlign w:val="bottom"/>
          </w:tcPr>
          <w:p>
            <w:pPr>
              <w:jc w:val="center"/>
              <w:ind w:left="150"/>
              <w:spacing w:after="0"/>
              <w:rPr>
                <w:sz w:val="20"/>
                <w:szCs w:val="20"/>
                <w:color w:val="auto"/>
              </w:rPr>
            </w:pPr>
            <w:r>
              <w:rPr>
                <w:rFonts w:ascii="Calibri" w:cs="Calibri" w:eastAsia="Calibri" w:hAnsi="Calibri"/>
                <w:sz w:val="14"/>
                <w:szCs w:val="14"/>
                <w:color w:val="auto"/>
              </w:rPr>
              <w:t>1,002,078</w:t>
            </w:r>
          </w:p>
        </w:tc>
        <w:tc>
          <w:tcPr>
            <w:tcW w:w="94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980" w:type="dxa"/>
            <w:vAlign w:val="bottom"/>
          </w:tcPr>
          <w:p>
            <w:pPr>
              <w:jc w:val="center"/>
              <w:spacing w:after="0"/>
              <w:rPr>
                <w:sz w:val="20"/>
                <w:szCs w:val="20"/>
                <w:color w:val="auto"/>
              </w:rPr>
            </w:pPr>
            <w:r>
              <w:rPr>
                <w:rFonts w:ascii="Calibri" w:cs="Calibri" w:eastAsia="Calibri" w:hAnsi="Calibri"/>
                <w:sz w:val="14"/>
                <w:szCs w:val="14"/>
                <w:color w:val="auto"/>
              </w:rPr>
              <w:t>1,811,595</w:t>
            </w:r>
          </w:p>
        </w:tc>
        <w:tc>
          <w:tcPr>
            <w:tcW w:w="104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1060" w:type="dxa"/>
            <w:vAlign w:val="bottom"/>
          </w:tcPr>
          <w:p>
            <w:pPr>
              <w:jc w:val="center"/>
              <w:spacing w:after="0"/>
              <w:rPr>
                <w:sz w:val="20"/>
                <w:szCs w:val="20"/>
                <w:color w:val="auto"/>
              </w:rPr>
            </w:pPr>
            <w:r>
              <w:rPr>
                <w:rFonts w:ascii="Calibri" w:cs="Calibri" w:eastAsia="Calibri" w:hAnsi="Calibri"/>
                <w:sz w:val="14"/>
                <w:szCs w:val="14"/>
                <w:color w:val="auto"/>
              </w:rPr>
              <w:t>33,711</w:t>
            </w:r>
          </w:p>
        </w:tc>
        <w:tc>
          <w:tcPr>
            <w:tcW w:w="800" w:type="dxa"/>
            <w:vAlign w:val="bottom"/>
          </w:tcPr>
          <w:p>
            <w:pPr>
              <w:jc w:val="center"/>
              <w:spacing w:after="0"/>
              <w:rPr>
                <w:sz w:val="20"/>
                <w:szCs w:val="20"/>
                <w:color w:val="auto"/>
              </w:rPr>
            </w:pPr>
            <w:r>
              <w:rPr>
                <w:rFonts w:ascii="Calibri" w:cs="Calibri" w:eastAsia="Calibri" w:hAnsi="Calibri"/>
                <w:sz w:val="14"/>
                <w:szCs w:val="14"/>
                <w:color w:val="auto"/>
              </w:rPr>
              <w:t>2,847,384</w:t>
            </w:r>
          </w:p>
        </w:tc>
      </w:tr>
      <w:tr>
        <w:trPr>
          <w:trHeight w:val="106"/>
        </w:trPr>
        <w:tc>
          <w:tcPr>
            <w:tcW w:w="1760" w:type="dxa"/>
            <w:vAlign w:val="bottom"/>
            <w:tcBorders>
              <w:bottom w:val="single" w:sz="8" w:color="A6A6A6"/>
            </w:tcBorders>
          </w:tcPr>
          <w:p>
            <w:pPr>
              <w:spacing w:after="0"/>
              <w:rPr>
                <w:sz w:val="9"/>
                <w:szCs w:val="9"/>
                <w:color w:val="auto"/>
              </w:rPr>
            </w:pPr>
          </w:p>
        </w:tc>
        <w:tc>
          <w:tcPr>
            <w:tcW w:w="1140" w:type="dxa"/>
            <w:vAlign w:val="bottom"/>
            <w:tcBorders>
              <w:bottom w:val="single" w:sz="8" w:color="A6A6A6"/>
            </w:tcBorders>
          </w:tcPr>
          <w:p>
            <w:pPr>
              <w:spacing w:after="0"/>
              <w:rPr>
                <w:sz w:val="9"/>
                <w:szCs w:val="9"/>
                <w:color w:val="auto"/>
              </w:rPr>
            </w:pPr>
          </w:p>
        </w:tc>
        <w:tc>
          <w:tcPr>
            <w:tcW w:w="940" w:type="dxa"/>
            <w:vAlign w:val="bottom"/>
            <w:tcBorders>
              <w:bottom w:val="single" w:sz="8" w:color="A6A6A6"/>
            </w:tcBorders>
          </w:tcPr>
          <w:p>
            <w:pPr>
              <w:spacing w:after="0"/>
              <w:rPr>
                <w:sz w:val="9"/>
                <w:szCs w:val="9"/>
                <w:color w:val="auto"/>
              </w:rPr>
            </w:pPr>
          </w:p>
        </w:tc>
        <w:tc>
          <w:tcPr>
            <w:tcW w:w="980" w:type="dxa"/>
            <w:vAlign w:val="bottom"/>
            <w:tcBorders>
              <w:bottom w:val="single" w:sz="8" w:color="A6A6A6"/>
            </w:tcBorders>
          </w:tcPr>
          <w:p>
            <w:pPr>
              <w:spacing w:after="0"/>
              <w:rPr>
                <w:sz w:val="9"/>
                <w:szCs w:val="9"/>
                <w:color w:val="auto"/>
              </w:rPr>
            </w:pPr>
          </w:p>
        </w:tc>
        <w:tc>
          <w:tcPr>
            <w:tcW w:w="1040" w:type="dxa"/>
            <w:vAlign w:val="bottom"/>
            <w:tcBorders>
              <w:bottom w:val="single" w:sz="8" w:color="A6A6A6"/>
            </w:tcBorders>
          </w:tcPr>
          <w:p>
            <w:pPr>
              <w:spacing w:after="0"/>
              <w:rPr>
                <w:sz w:val="9"/>
                <w:szCs w:val="9"/>
                <w:color w:val="auto"/>
              </w:rPr>
            </w:pPr>
          </w:p>
        </w:tc>
        <w:tc>
          <w:tcPr>
            <w:tcW w:w="1060" w:type="dxa"/>
            <w:vAlign w:val="bottom"/>
            <w:tcBorders>
              <w:bottom w:val="single" w:sz="8" w:color="A6A6A6"/>
            </w:tcBorders>
          </w:tcPr>
          <w:p>
            <w:pPr>
              <w:spacing w:after="0"/>
              <w:rPr>
                <w:sz w:val="9"/>
                <w:szCs w:val="9"/>
                <w:color w:val="auto"/>
              </w:rPr>
            </w:pPr>
          </w:p>
        </w:tc>
        <w:tc>
          <w:tcPr>
            <w:tcW w:w="800" w:type="dxa"/>
            <w:vAlign w:val="bottom"/>
            <w:tcBorders>
              <w:bottom w:val="single" w:sz="8" w:color="A6A6A6"/>
            </w:tcBorders>
          </w:tcPr>
          <w:p>
            <w:pPr>
              <w:spacing w:after="0"/>
              <w:rPr>
                <w:sz w:val="9"/>
                <w:szCs w:val="9"/>
                <w:color w:val="auto"/>
              </w:rPr>
            </w:pPr>
          </w:p>
        </w:tc>
      </w:tr>
      <w:tr>
        <w:trPr>
          <w:trHeight w:val="190"/>
        </w:trPr>
        <w:tc>
          <w:tcPr>
            <w:tcW w:w="1760" w:type="dxa"/>
            <w:vAlign w:val="bottom"/>
          </w:tcPr>
          <w:p>
            <w:pPr>
              <w:ind w:left="40"/>
              <w:spacing w:after="0"/>
              <w:rPr>
                <w:sz w:val="20"/>
                <w:szCs w:val="20"/>
                <w:color w:val="auto"/>
              </w:rPr>
            </w:pPr>
            <w:r>
              <w:rPr>
                <w:rFonts w:ascii="Calibri" w:cs="Calibri" w:eastAsia="Calibri" w:hAnsi="Calibri"/>
                <w:sz w:val="14"/>
                <w:szCs w:val="14"/>
                <w:color w:val="auto"/>
              </w:rPr>
              <w:t>Neil W. Peterson</w:t>
            </w:r>
          </w:p>
        </w:tc>
        <w:tc>
          <w:tcPr>
            <w:tcW w:w="1140" w:type="dxa"/>
            <w:vAlign w:val="bottom"/>
          </w:tcPr>
          <w:p>
            <w:pPr>
              <w:jc w:val="center"/>
              <w:ind w:left="150"/>
              <w:spacing w:after="0"/>
              <w:rPr>
                <w:sz w:val="20"/>
                <w:szCs w:val="20"/>
                <w:color w:val="auto"/>
              </w:rPr>
            </w:pPr>
            <w:r>
              <w:rPr>
                <w:rFonts w:ascii="Calibri" w:cs="Calibri" w:eastAsia="Calibri" w:hAnsi="Calibri"/>
                <w:sz w:val="14"/>
                <w:szCs w:val="14"/>
                <w:color w:val="auto"/>
              </w:rPr>
              <w:t>927,662</w:t>
            </w:r>
          </w:p>
        </w:tc>
        <w:tc>
          <w:tcPr>
            <w:tcW w:w="94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980" w:type="dxa"/>
            <w:vAlign w:val="bottom"/>
          </w:tcPr>
          <w:p>
            <w:pPr>
              <w:jc w:val="center"/>
              <w:spacing w:after="0"/>
              <w:rPr>
                <w:sz w:val="20"/>
                <w:szCs w:val="20"/>
                <w:color w:val="auto"/>
              </w:rPr>
            </w:pPr>
            <w:r>
              <w:rPr>
                <w:rFonts w:ascii="Calibri" w:cs="Calibri" w:eastAsia="Calibri" w:hAnsi="Calibri"/>
                <w:sz w:val="14"/>
                <w:szCs w:val="14"/>
                <w:color w:val="auto"/>
                <w:w w:val="99"/>
              </w:rPr>
              <w:t>897,695</w:t>
            </w:r>
          </w:p>
        </w:tc>
        <w:tc>
          <w:tcPr>
            <w:tcW w:w="104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1060" w:type="dxa"/>
            <w:vAlign w:val="bottom"/>
          </w:tcPr>
          <w:p>
            <w:pPr>
              <w:jc w:val="center"/>
              <w:spacing w:after="0"/>
              <w:rPr>
                <w:sz w:val="20"/>
                <w:szCs w:val="20"/>
                <w:color w:val="auto"/>
              </w:rPr>
            </w:pPr>
            <w:r>
              <w:rPr>
                <w:rFonts w:ascii="Calibri" w:cs="Calibri" w:eastAsia="Calibri" w:hAnsi="Calibri"/>
                <w:sz w:val="14"/>
                <w:szCs w:val="14"/>
                <w:color w:val="auto"/>
              </w:rPr>
              <w:t>536,401</w:t>
            </w:r>
          </w:p>
        </w:tc>
        <w:tc>
          <w:tcPr>
            <w:tcW w:w="800" w:type="dxa"/>
            <w:vAlign w:val="bottom"/>
          </w:tcPr>
          <w:p>
            <w:pPr>
              <w:jc w:val="center"/>
              <w:spacing w:after="0"/>
              <w:rPr>
                <w:sz w:val="20"/>
                <w:szCs w:val="20"/>
                <w:color w:val="auto"/>
              </w:rPr>
            </w:pPr>
            <w:r>
              <w:rPr>
                <w:rFonts w:ascii="Calibri" w:cs="Calibri" w:eastAsia="Calibri" w:hAnsi="Calibri"/>
                <w:sz w:val="14"/>
                <w:szCs w:val="14"/>
                <w:color w:val="auto"/>
              </w:rPr>
              <w:t>2,361,758</w:t>
            </w:r>
          </w:p>
        </w:tc>
      </w:tr>
      <w:tr>
        <w:trPr>
          <w:trHeight w:val="60"/>
        </w:trPr>
        <w:tc>
          <w:tcPr>
            <w:tcW w:w="1760" w:type="dxa"/>
            <w:vAlign w:val="bottom"/>
            <w:tcBorders>
              <w:bottom w:val="single" w:sz="8" w:color="A6A6A6"/>
            </w:tcBorders>
          </w:tcPr>
          <w:p>
            <w:pPr>
              <w:spacing w:after="0"/>
              <w:rPr>
                <w:sz w:val="5"/>
                <w:szCs w:val="5"/>
                <w:color w:val="auto"/>
              </w:rPr>
            </w:pPr>
          </w:p>
        </w:tc>
        <w:tc>
          <w:tcPr>
            <w:tcW w:w="114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98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r>
      <w:tr>
        <w:trPr>
          <w:trHeight w:val="190"/>
        </w:trPr>
        <w:tc>
          <w:tcPr>
            <w:tcW w:w="1760" w:type="dxa"/>
            <w:vAlign w:val="bottom"/>
          </w:tcPr>
          <w:p>
            <w:pPr>
              <w:ind w:left="40"/>
              <w:spacing w:after="0"/>
              <w:rPr>
                <w:sz w:val="20"/>
                <w:szCs w:val="20"/>
                <w:color w:val="auto"/>
              </w:rPr>
            </w:pPr>
            <w:r>
              <w:rPr>
                <w:rFonts w:ascii="Calibri" w:cs="Calibri" w:eastAsia="Calibri" w:hAnsi="Calibri"/>
                <w:sz w:val="14"/>
                <w:szCs w:val="14"/>
                <w:color w:val="auto"/>
              </w:rPr>
              <w:t>Joseph C. Wright</w:t>
            </w:r>
          </w:p>
        </w:tc>
        <w:tc>
          <w:tcPr>
            <w:tcW w:w="1140" w:type="dxa"/>
            <w:vAlign w:val="bottom"/>
          </w:tcPr>
          <w:p>
            <w:pPr>
              <w:jc w:val="center"/>
              <w:ind w:left="150"/>
              <w:spacing w:after="0"/>
              <w:rPr>
                <w:sz w:val="20"/>
                <w:szCs w:val="20"/>
                <w:color w:val="auto"/>
              </w:rPr>
            </w:pPr>
            <w:r>
              <w:rPr>
                <w:rFonts w:ascii="Calibri" w:cs="Calibri" w:eastAsia="Calibri" w:hAnsi="Calibri"/>
                <w:sz w:val="14"/>
                <w:szCs w:val="14"/>
                <w:color w:val="auto"/>
              </w:rPr>
              <w:t>1,030,736</w:t>
            </w:r>
          </w:p>
        </w:tc>
        <w:tc>
          <w:tcPr>
            <w:tcW w:w="94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980" w:type="dxa"/>
            <w:vAlign w:val="bottom"/>
          </w:tcPr>
          <w:p>
            <w:pPr>
              <w:jc w:val="center"/>
              <w:spacing w:after="0"/>
              <w:rPr>
                <w:sz w:val="20"/>
                <w:szCs w:val="20"/>
                <w:color w:val="auto"/>
              </w:rPr>
            </w:pPr>
            <w:r>
              <w:rPr>
                <w:rFonts w:ascii="Calibri" w:cs="Calibri" w:eastAsia="Calibri" w:hAnsi="Calibri"/>
                <w:sz w:val="14"/>
                <w:szCs w:val="14"/>
                <w:color w:val="auto"/>
              </w:rPr>
              <w:t>1,437,771</w:t>
            </w:r>
          </w:p>
        </w:tc>
        <w:tc>
          <w:tcPr>
            <w:tcW w:w="104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1060" w:type="dxa"/>
            <w:vAlign w:val="bottom"/>
          </w:tcPr>
          <w:p>
            <w:pPr>
              <w:jc w:val="center"/>
              <w:spacing w:after="0"/>
              <w:rPr>
                <w:sz w:val="20"/>
                <w:szCs w:val="20"/>
                <w:color w:val="auto"/>
              </w:rPr>
            </w:pPr>
            <w:r>
              <w:rPr>
                <w:rFonts w:ascii="Calibri" w:cs="Calibri" w:eastAsia="Calibri" w:hAnsi="Calibri"/>
                <w:sz w:val="14"/>
                <w:szCs w:val="14"/>
                <w:color w:val="auto"/>
              </w:rPr>
              <w:t>2,728,898</w:t>
            </w:r>
          </w:p>
        </w:tc>
        <w:tc>
          <w:tcPr>
            <w:tcW w:w="800" w:type="dxa"/>
            <w:vAlign w:val="bottom"/>
          </w:tcPr>
          <w:p>
            <w:pPr>
              <w:jc w:val="center"/>
              <w:spacing w:after="0"/>
              <w:rPr>
                <w:sz w:val="20"/>
                <w:szCs w:val="20"/>
                <w:color w:val="auto"/>
              </w:rPr>
            </w:pPr>
            <w:r>
              <w:rPr>
                <w:rFonts w:ascii="Calibri" w:cs="Calibri" w:eastAsia="Calibri" w:hAnsi="Calibri"/>
                <w:sz w:val="14"/>
                <w:szCs w:val="14"/>
                <w:color w:val="auto"/>
              </w:rPr>
              <w:t>5,197,405</w:t>
            </w:r>
          </w:p>
        </w:tc>
      </w:tr>
      <w:tr>
        <w:trPr>
          <w:trHeight w:val="60"/>
        </w:trPr>
        <w:tc>
          <w:tcPr>
            <w:tcW w:w="1760" w:type="dxa"/>
            <w:vAlign w:val="bottom"/>
            <w:tcBorders>
              <w:bottom w:val="single" w:sz="8" w:color="A6A6A6"/>
            </w:tcBorders>
          </w:tcPr>
          <w:p>
            <w:pPr>
              <w:spacing w:after="0"/>
              <w:rPr>
                <w:sz w:val="5"/>
                <w:szCs w:val="5"/>
                <w:color w:val="auto"/>
              </w:rPr>
            </w:pPr>
          </w:p>
        </w:tc>
        <w:tc>
          <w:tcPr>
            <w:tcW w:w="114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98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r>
      <w:tr>
        <w:trPr>
          <w:trHeight w:val="185"/>
        </w:trPr>
        <w:tc>
          <w:tcPr>
            <w:tcW w:w="1760" w:type="dxa"/>
            <w:vAlign w:val="bottom"/>
          </w:tcPr>
          <w:p>
            <w:pPr>
              <w:ind w:left="40"/>
              <w:spacing w:after="0"/>
              <w:rPr>
                <w:sz w:val="20"/>
                <w:szCs w:val="20"/>
                <w:color w:val="auto"/>
              </w:rPr>
            </w:pPr>
            <w:r>
              <w:rPr>
                <w:rFonts w:ascii="Calibri" w:cs="Calibri" w:eastAsia="Calibri" w:hAnsi="Calibri"/>
                <w:sz w:val="14"/>
                <w:szCs w:val="14"/>
                <w:color w:val="auto"/>
              </w:rPr>
              <w:t>Brian G. Lloyd</w:t>
            </w:r>
          </w:p>
        </w:tc>
        <w:tc>
          <w:tcPr>
            <w:tcW w:w="1140" w:type="dxa"/>
            <w:vAlign w:val="bottom"/>
          </w:tcPr>
          <w:p>
            <w:pPr>
              <w:jc w:val="center"/>
              <w:ind w:left="150"/>
              <w:spacing w:after="0"/>
              <w:rPr>
                <w:sz w:val="20"/>
                <w:szCs w:val="20"/>
                <w:color w:val="auto"/>
              </w:rPr>
            </w:pPr>
            <w:r>
              <w:rPr>
                <w:rFonts w:ascii="Calibri" w:cs="Calibri" w:eastAsia="Calibri" w:hAnsi="Calibri"/>
                <w:sz w:val="14"/>
                <w:szCs w:val="14"/>
                <w:color w:val="auto"/>
              </w:rPr>
              <w:t>927,662</w:t>
            </w:r>
          </w:p>
        </w:tc>
        <w:tc>
          <w:tcPr>
            <w:tcW w:w="94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980" w:type="dxa"/>
            <w:vAlign w:val="bottom"/>
          </w:tcPr>
          <w:p>
            <w:pPr>
              <w:jc w:val="center"/>
              <w:spacing w:after="0"/>
              <w:rPr>
                <w:sz w:val="20"/>
                <w:szCs w:val="20"/>
                <w:color w:val="auto"/>
              </w:rPr>
            </w:pPr>
            <w:r>
              <w:rPr>
                <w:rFonts w:ascii="Calibri" w:cs="Calibri" w:eastAsia="Calibri" w:hAnsi="Calibri"/>
                <w:sz w:val="14"/>
                <w:szCs w:val="14"/>
                <w:color w:val="auto"/>
              </w:rPr>
              <w:t>1,437,771</w:t>
            </w:r>
          </w:p>
        </w:tc>
        <w:tc>
          <w:tcPr>
            <w:tcW w:w="104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106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800" w:type="dxa"/>
            <w:vAlign w:val="bottom"/>
          </w:tcPr>
          <w:p>
            <w:pPr>
              <w:jc w:val="center"/>
              <w:spacing w:after="0"/>
              <w:rPr>
                <w:sz w:val="20"/>
                <w:szCs w:val="20"/>
                <w:color w:val="auto"/>
              </w:rPr>
            </w:pPr>
            <w:r>
              <w:rPr>
                <w:rFonts w:ascii="Calibri" w:cs="Calibri" w:eastAsia="Calibri" w:hAnsi="Calibri"/>
                <w:sz w:val="14"/>
                <w:szCs w:val="14"/>
                <w:color w:val="auto"/>
              </w:rPr>
              <w:t>2,365,433</w:t>
            </w:r>
          </w:p>
        </w:tc>
      </w:tr>
      <w:tr>
        <w:trPr>
          <w:trHeight w:val="86"/>
        </w:trPr>
        <w:tc>
          <w:tcPr>
            <w:tcW w:w="1760" w:type="dxa"/>
            <w:vAlign w:val="bottom"/>
            <w:tcBorders>
              <w:bottom w:val="single" w:sz="8" w:color="AF0000"/>
            </w:tcBorders>
          </w:tcPr>
          <w:p>
            <w:pPr>
              <w:spacing w:after="0"/>
              <w:rPr>
                <w:sz w:val="7"/>
                <w:szCs w:val="7"/>
                <w:color w:val="auto"/>
              </w:rPr>
            </w:pPr>
          </w:p>
        </w:tc>
        <w:tc>
          <w:tcPr>
            <w:tcW w:w="1140" w:type="dxa"/>
            <w:vAlign w:val="bottom"/>
            <w:tcBorders>
              <w:bottom w:val="single" w:sz="8" w:color="AF0000"/>
            </w:tcBorders>
          </w:tcPr>
          <w:p>
            <w:pPr>
              <w:spacing w:after="0"/>
              <w:rPr>
                <w:sz w:val="7"/>
                <w:szCs w:val="7"/>
                <w:color w:val="auto"/>
              </w:rPr>
            </w:pPr>
          </w:p>
        </w:tc>
        <w:tc>
          <w:tcPr>
            <w:tcW w:w="940" w:type="dxa"/>
            <w:vAlign w:val="bottom"/>
            <w:tcBorders>
              <w:bottom w:val="single" w:sz="8" w:color="AF0000"/>
            </w:tcBorders>
          </w:tcPr>
          <w:p>
            <w:pPr>
              <w:spacing w:after="0"/>
              <w:rPr>
                <w:sz w:val="7"/>
                <w:szCs w:val="7"/>
                <w:color w:val="auto"/>
              </w:rPr>
            </w:pPr>
          </w:p>
        </w:tc>
        <w:tc>
          <w:tcPr>
            <w:tcW w:w="980" w:type="dxa"/>
            <w:vAlign w:val="bottom"/>
            <w:tcBorders>
              <w:bottom w:val="single" w:sz="8" w:color="AF0000"/>
            </w:tcBorders>
          </w:tcPr>
          <w:p>
            <w:pPr>
              <w:spacing w:after="0"/>
              <w:rPr>
                <w:sz w:val="7"/>
                <w:szCs w:val="7"/>
                <w:color w:val="auto"/>
              </w:rPr>
            </w:pPr>
          </w:p>
        </w:tc>
        <w:tc>
          <w:tcPr>
            <w:tcW w:w="1040" w:type="dxa"/>
            <w:vAlign w:val="bottom"/>
            <w:tcBorders>
              <w:bottom w:val="single" w:sz="8" w:color="AF0000"/>
            </w:tcBorders>
          </w:tcPr>
          <w:p>
            <w:pPr>
              <w:spacing w:after="0"/>
              <w:rPr>
                <w:sz w:val="7"/>
                <w:szCs w:val="7"/>
                <w:color w:val="auto"/>
              </w:rPr>
            </w:pPr>
          </w:p>
        </w:tc>
        <w:tc>
          <w:tcPr>
            <w:tcW w:w="1060" w:type="dxa"/>
            <w:vAlign w:val="bottom"/>
            <w:tcBorders>
              <w:bottom w:val="single" w:sz="8" w:color="AF0000"/>
            </w:tcBorders>
          </w:tcPr>
          <w:p>
            <w:pPr>
              <w:spacing w:after="0"/>
              <w:rPr>
                <w:sz w:val="7"/>
                <w:szCs w:val="7"/>
                <w:color w:val="auto"/>
              </w:rPr>
            </w:pPr>
          </w:p>
        </w:tc>
        <w:tc>
          <w:tcPr>
            <w:tcW w:w="800" w:type="dxa"/>
            <w:vAlign w:val="bottom"/>
            <w:tcBorders>
              <w:bottom w:val="single" w:sz="8" w:color="AF0000"/>
            </w:tcBorders>
          </w:tcPr>
          <w:p>
            <w:pPr>
              <w:spacing w:after="0"/>
              <w:rPr>
                <w:sz w:val="7"/>
                <w:szCs w:val="7"/>
                <w:color w:val="auto"/>
              </w:rPr>
            </w:pPr>
          </w:p>
        </w:tc>
      </w:tr>
    </w:tbl>
    <w:p>
      <w:pPr>
        <w:spacing w:after="0" w:line="76" w:lineRule="exact"/>
        <w:rPr>
          <w:sz w:val="20"/>
          <w:szCs w:val="20"/>
          <w:color w:val="auto"/>
        </w:rPr>
      </w:pPr>
    </w:p>
    <w:p>
      <w:pPr>
        <w:ind w:left="540" w:right="379" w:hanging="331"/>
        <w:spacing w:after="0" w:line="239" w:lineRule="auto"/>
        <w:tabs>
          <w:tab w:leader="none" w:pos="540" w:val="left"/>
        </w:tabs>
        <w:numPr>
          <w:ilvl w:val="0"/>
          <w:numId w:val="96"/>
        </w:numPr>
        <w:rPr>
          <w:rFonts w:ascii="Calibri" w:cs="Calibri" w:eastAsia="Calibri" w:hAnsi="Calibri"/>
          <w:sz w:val="16"/>
          <w:szCs w:val="16"/>
          <w:color w:val="AF0000"/>
        </w:rPr>
      </w:pPr>
      <w:r>
        <w:rPr>
          <w:rFonts w:ascii="Calibri" w:cs="Calibri" w:eastAsia="Calibri" w:hAnsi="Calibri"/>
          <w:sz w:val="16"/>
          <w:szCs w:val="16"/>
          <w:color w:val="auto"/>
        </w:rPr>
        <w:t>Assumes the Company exercised its discreton to pay severance equal to one year’s salary (two years in the case of Mr. Lampropoulos) and the 2023 earned bonus. The severance payment to Mr. Lampropoulos is not discretonary and is subject to the terms of the CEO Employment Agreement.</w:t>
      </w:r>
    </w:p>
    <w:p>
      <w:pPr>
        <w:spacing w:after="0" w:line="1" w:lineRule="exact"/>
        <w:rPr>
          <w:rFonts w:ascii="Calibri" w:cs="Calibri" w:eastAsia="Calibri" w:hAnsi="Calibri"/>
          <w:sz w:val="16"/>
          <w:szCs w:val="16"/>
          <w:color w:val="AF0000"/>
        </w:rPr>
      </w:pPr>
    </w:p>
    <w:p>
      <w:pPr>
        <w:ind w:left="540" w:right="539" w:hanging="331"/>
        <w:spacing w:after="0" w:line="236" w:lineRule="auto"/>
        <w:tabs>
          <w:tab w:leader="none" w:pos="540" w:val="left"/>
        </w:tabs>
        <w:numPr>
          <w:ilvl w:val="0"/>
          <w:numId w:val="96"/>
        </w:numPr>
        <w:rPr>
          <w:rFonts w:ascii="Calibri" w:cs="Calibri" w:eastAsia="Calibri" w:hAnsi="Calibri"/>
          <w:sz w:val="16"/>
          <w:szCs w:val="16"/>
          <w:color w:val="AF0000"/>
        </w:rPr>
      </w:pPr>
      <w:r>
        <w:rPr>
          <w:rFonts w:ascii="Calibri" w:cs="Calibri" w:eastAsia="Calibri" w:hAnsi="Calibri"/>
          <w:sz w:val="16"/>
          <w:szCs w:val="16"/>
          <w:color w:val="auto"/>
        </w:rPr>
        <w:t>Stock Opton Vestng Acceleraton represents the intrinsic value of the otherwise unvested stock optons, granted prior to December 31, 2022, held by Mr. Lampropoulos on December 31, 2023 calculated by multplying the number of shares underlying such optons by the closing price of Company shares on December 31, 2023 ($75.96 per share), and by then subtractng the applicable exercise price.</w:t>
      </w:r>
    </w:p>
    <w:p>
      <w:pPr>
        <w:spacing w:after="0" w:line="200" w:lineRule="exact"/>
        <w:rPr>
          <w:sz w:val="20"/>
          <w:szCs w:val="20"/>
          <w:color w:val="auto"/>
        </w:rPr>
      </w:pPr>
    </w:p>
    <w:p>
      <w:pPr>
        <w:spacing w:after="0" w:line="225"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71" w:name="page72"/>
    <w:bookmarkEnd w:id="71"/>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40" w:lineRule="exact"/>
        <w:rPr>
          <w:sz w:val="20"/>
          <w:szCs w:val="20"/>
          <w:color w:val="auto"/>
        </w:rPr>
      </w:pPr>
    </w:p>
    <w:p>
      <w:pPr>
        <w:ind w:left="540" w:right="259" w:hanging="331"/>
        <w:spacing w:after="0"/>
        <w:tabs>
          <w:tab w:leader="none" w:pos="540" w:val="left"/>
        </w:tabs>
        <w:numPr>
          <w:ilvl w:val="0"/>
          <w:numId w:val="97"/>
        </w:numPr>
        <w:rPr>
          <w:rFonts w:ascii="Calibri" w:cs="Calibri" w:eastAsia="Calibri" w:hAnsi="Calibri"/>
          <w:sz w:val="16"/>
          <w:szCs w:val="16"/>
          <w:color w:val="AF0000"/>
        </w:rPr>
      </w:pPr>
      <w:r>
        <w:rPr>
          <w:rFonts w:ascii="Calibri" w:cs="Calibri" w:eastAsia="Calibri" w:hAnsi="Calibri"/>
          <w:sz w:val="16"/>
          <w:szCs w:val="16"/>
          <w:color w:val="auto"/>
        </w:rPr>
        <w:t>Stock Award Vestng Acceleraton represents the pro rata porton of the intrinsic value of unvested PSUs on December 31, 2023, as amended. The pro rata porton is based on the number of full months of contnuous service compared to the number of months in the performance period. For Mr. Lampropoulos, the service-based vestng conditons of all unvested PSUs issued under the 2018 Incentve Plan that have been outstanding for one year or more prior to the date of terminaton are deemed to be fully satsfed. The intrinsic value of these additonal PSUs are included in the amount for Mr. Lampropoulos. The number of shares expected to be awarded is based on the estmated probable FCF and rTSR multpliers as of December 31, 2023 and is multplied by the closing price of the Company shares on December 31, 2023 ($75.96 per share) to calculate the intrinsic value.</w:t>
      </w:r>
    </w:p>
    <w:p>
      <w:pPr>
        <w:spacing w:after="0" w:line="176" w:lineRule="exact"/>
        <w:rPr>
          <w:rFonts w:ascii="Calibri" w:cs="Calibri" w:eastAsia="Calibri" w:hAnsi="Calibri"/>
          <w:sz w:val="16"/>
          <w:szCs w:val="16"/>
          <w:color w:val="AF0000"/>
        </w:rPr>
      </w:pPr>
    </w:p>
    <w:p>
      <w:pPr>
        <w:ind w:left="540" w:right="799" w:hanging="331"/>
        <w:spacing w:after="0" w:line="237" w:lineRule="auto"/>
        <w:tabs>
          <w:tab w:leader="none" w:pos="540" w:val="left"/>
        </w:tabs>
        <w:numPr>
          <w:ilvl w:val="0"/>
          <w:numId w:val="97"/>
        </w:numPr>
        <w:rPr>
          <w:rFonts w:ascii="Calibri" w:cs="Calibri" w:eastAsia="Calibri" w:hAnsi="Calibri"/>
          <w:sz w:val="16"/>
          <w:szCs w:val="16"/>
          <w:color w:val="AF0000"/>
        </w:rPr>
      </w:pPr>
      <w:r>
        <w:rPr>
          <w:rFonts w:ascii="Calibri" w:cs="Calibri" w:eastAsia="Calibri" w:hAnsi="Calibri"/>
          <w:sz w:val="16"/>
          <w:szCs w:val="16"/>
          <w:color w:val="auto"/>
        </w:rPr>
        <w:t>For Mr. Lampropoulos, the amount included in this column includes the porton of unvested PSU Cash Incentves of $4,222,223 under his employment agreement and unvested PSU award agreements, which is based on the estmated probable FCF and rTSR multpliers as of December 31, 2023.</w:t>
      </w:r>
    </w:p>
    <w:p>
      <w:pPr>
        <w:spacing w:after="0" w:line="1" w:lineRule="exact"/>
        <w:rPr>
          <w:rFonts w:ascii="Calibri" w:cs="Calibri" w:eastAsia="Calibri" w:hAnsi="Calibri"/>
          <w:sz w:val="16"/>
          <w:szCs w:val="16"/>
          <w:color w:val="AF0000"/>
        </w:rPr>
      </w:pPr>
    </w:p>
    <w:p>
      <w:pPr>
        <w:ind w:left="540" w:right="399" w:hanging="331"/>
        <w:spacing w:after="0" w:line="236" w:lineRule="auto"/>
        <w:tabs>
          <w:tab w:leader="none" w:pos="540" w:val="left"/>
        </w:tabs>
        <w:numPr>
          <w:ilvl w:val="0"/>
          <w:numId w:val="97"/>
        </w:numPr>
        <w:rPr>
          <w:rFonts w:ascii="Calibri" w:cs="Calibri" w:eastAsia="Calibri" w:hAnsi="Calibri"/>
          <w:sz w:val="16"/>
          <w:szCs w:val="16"/>
          <w:color w:val="AF0000"/>
        </w:rPr>
      </w:pPr>
      <w:r>
        <w:rPr>
          <w:rFonts w:ascii="Calibri" w:cs="Calibri" w:eastAsia="Calibri" w:hAnsi="Calibri"/>
          <w:sz w:val="16"/>
          <w:szCs w:val="16"/>
          <w:color w:val="auto"/>
        </w:rPr>
        <w:t>Health Plan Coverage Contnuaton amounts represent the estmated future cost of providing contnuing Company-paid coverage under the Company’s group health, disability and life insurance plans for the applicable severance period. The estmated amounts are based upon December 31, 2023 actual premium rates, plus a 10% assumed rate of annual premium cost increases in health care benefts.</w:t>
      </w:r>
    </w:p>
    <w:p>
      <w:pPr>
        <w:spacing w:after="0" w:line="1" w:lineRule="exact"/>
        <w:rPr>
          <w:rFonts w:ascii="Calibri" w:cs="Calibri" w:eastAsia="Calibri" w:hAnsi="Calibri"/>
          <w:sz w:val="16"/>
          <w:szCs w:val="16"/>
          <w:color w:val="AF0000"/>
        </w:rPr>
      </w:pPr>
    </w:p>
    <w:p>
      <w:pPr>
        <w:ind w:left="540" w:right="279" w:hanging="331"/>
        <w:spacing w:after="0" w:line="232" w:lineRule="auto"/>
        <w:tabs>
          <w:tab w:leader="none" w:pos="540" w:val="left"/>
        </w:tabs>
        <w:numPr>
          <w:ilvl w:val="0"/>
          <w:numId w:val="97"/>
        </w:numPr>
        <w:rPr>
          <w:rFonts w:ascii="Calibri" w:cs="Calibri" w:eastAsia="Calibri" w:hAnsi="Calibri"/>
          <w:sz w:val="16"/>
          <w:szCs w:val="16"/>
          <w:color w:val="AF0000"/>
        </w:rPr>
      </w:pPr>
      <w:r>
        <w:rPr>
          <w:rFonts w:ascii="Calibri" w:cs="Calibri" w:eastAsia="Calibri" w:hAnsi="Calibri"/>
          <w:sz w:val="16"/>
          <w:szCs w:val="16"/>
          <w:color w:val="auto"/>
        </w:rPr>
        <w:t>Deferred Compensaton Plan amounts represent the account balance in the NEO’s Deferred Compensaton Plan account as of December 31, 2023.</w:t>
      </w:r>
    </w:p>
    <w:p>
      <w:pPr>
        <w:spacing w:after="0" w:line="194" w:lineRule="exact"/>
        <w:rPr>
          <w:sz w:val="20"/>
          <w:szCs w:val="20"/>
          <w:color w:val="auto"/>
        </w:rPr>
      </w:pPr>
    </w:p>
    <w:p>
      <w:pPr>
        <w:ind w:left="200" w:right="639"/>
        <w:spacing w:after="0" w:line="235" w:lineRule="auto"/>
        <w:rPr>
          <w:sz w:val="20"/>
          <w:szCs w:val="20"/>
          <w:color w:val="auto"/>
        </w:rPr>
      </w:pPr>
      <w:r>
        <w:rPr>
          <w:rFonts w:ascii="Calibri" w:cs="Calibri" w:eastAsia="Calibri" w:hAnsi="Calibri"/>
          <w:sz w:val="18"/>
          <w:szCs w:val="18"/>
          <w:b w:val="1"/>
          <w:bCs w:val="1"/>
          <w:i w:val="1"/>
          <w:iCs w:val="1"/>
          <w:color w:val="auto"/>
        </w:rPr>
        <w:t>Terminaton on Account of Death, Disability, Involuntary Terminaton for Cause or Voluntary Resignaton without Good Reason.</w:t>
      </w:r>
    </w:p>
    <w:p>
      <w:pPr>
        <w:spacing w:after="0" w:line="177" w:lineRule="exact"/>
        <w:rPr>
          <w:sz w:val="20"/>
          <w:szCs w:val="20"/>
          <w:color w:val="auto"/>
        </w:rPr>
      </w:pPr>
    </w:p>
    <w:p>
      <w:pPr>
        <w:ind w:left="200" w:right="519"/>
        <w:spacing w:after="0" w:line="235" w:lineRule="auto"/>
        <w:rPr>
          <w:sz w:val="20"/>
          <w:szCs w:val="20"/>
          <w:color w:val="auto"/>
        </w:rPr>
      </w:pPr>
      <w:r>
        <w:rPr>
          <w:rFonts w:ascii="Calibri" w:cs="Calibri" w:eastAsia="Calibri" w:hAnsi="Calibri"/>
          <w:sz w:val="18"/>
          <w:szCs w:val="18"/>
          <w:color w:val="auto"/>
        </w:rPr>
        <w:t>If, on December 31, 2023, a NEO had died, his employment had been terminated on account of disability, his employment had been terminated for Cause, or he had voluntarily resigned without Good Reason, whether or not in connecton with a Change in Control, he would have been enttled to receive only:</w:t>
      </w:r>
    </w:p>
    <w:p>
      <w:pPr>
        <w:spacing w:after="0" w:line="173" w:lineRule="exact"/>
        <w:rPr>
          <w:sz w:val="20"/>
          <w:szCs w:val="20"/>
          <w:color w:val="auto"/>
        </w:rPr>
      </w:pPr>
    </w:p>
    <w:p>
      <w:pPr>
        <w:ind w:left="540" w:hanging="331"/>
        <w:spacing w:after="0"/>
        <w:tabs>
          <w:tab w:leader="none" w:pos="540" w:val="left"/>
        </w:tabs>
        <w:numPr>
          <w:ilvl w:val="0"/>
          <w:numId w:val="9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his accrued salary and bonus earned through December 31, 2023;</w:t>
      </w:r>
    </w:p>
    <w:p>
      <w:pPr>
        <w:spacing w:after="0" w:line="185"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9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accrued but unpaid vacaton pay through December 31, 2023;</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9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distributon of his vested account balance from our 401(k) Plan;</w:t>
      </w:r>
    </w:p>
    <w:p>
      <w:pPr>
        <w:spacing w:after="0" w:line="176" w:lineRule="exact"/>
        <w:rPr>
          <w:rFonts w:ascii="Times New Roman" w:cs="Times New Roman" w:eastAsia="Times New Roman" w:hAnsi="Times New Roman"/>
          <w:sz w:val="18"/>
          <w:szCs w:val="18"/>
          <w:color w:val="AF0000"/>
        </w:rPr>
      </w:pPr>
    </w:p>
    <w:p>
      <w:pPr>
        <w:ind w:left="540" w:right="339" w:hanging="331"/>
        <w:spacing w:after="0" w:line="235" w:lineRule="auto"/>
        <w:tabs>
          <w:tab w:leader="none" w:pos="540" w:val="left"/>
        </w:tabs>
        <w:numPr>
          <w:ilvl w:val="0"/>
          <w:numId w:val="9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the payment of insured benefts, if applicable, under our broad-based long-term disability insurance or group term life insurance plans;</w:t>
      </w:r>
    </w:p>
    <w:p>
      <w:pPr>
        <w:spacing w:after="0" w:line="185"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9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distributon of his Deferred Compensaton Plan account balance; and</w:t>
      </w:r>
    </w:p>
    <w:p>
      <w:pPr>
        <w:spacing w:after="0" w:line="176" w:lineRule="exact"/>
        <w:rPr>
          <w:rFonts w:ascii="Times New Roman" w:cs="Times New Roman" w:eastAsia="Times New Roman" w:hAnsi="Times New Roman"/>
          <w:sz w:val="18"/>
          <w:szCs w:val="18"/>
          <w:color w:val="AF0000"/>
        </w:rPr>
      </w:pPr>
    </w:p>
    <w:p>
      <w:pPr>
        <w:ind w:left="540" w:right="359" w:hanging="331"/>
        <w:spacing w:after="0" w:line="235" w:lineRule="auto"/>
        <w:tabs>
          <w:tab w:leader="none" w:pos="540" w:val="left"/>
        </w:tabs>
        <w:numPr>
          <w:ilvl w:val="0"/>
          <w:numId w:val="98"/>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except for terminaton of employment involuntarily for Cause or as a result of resignaton without Good Reason, a pro rata porton of the number of shares of Common Stock (and the PSU Cash Incentve in the case of Mr. Lampropoulos) that would have been received under PSU award agreements had the NEO remained in contnuous service with the Company through the end of the applicable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68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72" w:name="page73"/>
    <w:bookmarkEnd w:id="72"/>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EXECUTIVE COMPENSATION AND RELATED MATTERS</w:t>
      </w:r>
    </w:p>
    <w:p>
      <w:pPr>
        <w:spacing w:after="0" w:line="158"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Pay Versus Performance</w:t>
      </w:r>
    </w:p>
    <w:p>
      <w:pPr>
        <w:spacing w:after="0" w:line="203" w:lineRule="exact"/>
        <w:rPr>
          <w:sz w:val="20"/>
          <w:szCs w:val="20"/>
          <w:color w:val="auto"/>
        </w:rPr>
      </w:pPr>
    </w:p>
    <w:p>
      <w:pPr>
        <w:ind w:left="200" w:right="299"/>
        <w:spacing w:after="0" w:line="237" w:lineRule="auto"/>
        <w:rPr>
          <w:sz w:val="20"/>
          <w:szCs w:val="20"/>
          <w:color w:val="auto"/>
        </w:rPr>
      </w:pPr>
      <w:r>
        <w:rPr>
          <w:rFonts w:ascii="Calibri" w:cs="Calibri" w:eastAsia="Calibri" w:hAnsi="Calibri"/>
          <w:sz w:val="16"/>
          <w:szCs w:val="16"/>
          <w:color w:val="auto"/>
        </w:rPr>
        <w:t>The following table sets forth additonal compensaton informaton for our NEOs, calculated in accordance with SEC regulatons, for fscal years 2023, 2022, 2021 and 2020. The table below contains informaton about the relatonship between compensaton actually paid, as computed in accordance with SEC rules, to our CEO and non-PEO NEOs as a group, and our fnancial performance for the four years 2020 – 2023. The cumulatve Total Stockholder Return depicts a hypothetcal $100 investment in our common stock on December 31, 2019, and shows the value of that investment over tme for each calendar year. A hypothetcal $100 investment in NASDAQ Stocks (SIC 3840-3849 US Companies Surgical, Medical, and Dental Instruments and Supplies) using the same methodology is shown for comparison. The Compensaton Commitee did not consider the pay versus performance disclosure below in making its pay decisions for any of the fscal years shown.</w:t>
      </w:r>
    </w:p>
    <w:p>
      <w:pPr>
        <w:sectPr>
          <w:pgSz w:w="11900" w:h="16838" w:orient="portrait"/>
          <w:cols w:equalWidth="0" w:num="1">
            <w:col w:w="9019"/>
          </w:cols>
          <w:pgMar w:left="1440" w:top="5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480"/>
        <w:spacing w:after="0"/>
        <w:rPr>
          <w:sz w:val="20"/>
          <w:szCs w:val="20"/>
          <w:color w:val="auto"/>
        </w:rPr>
      </w:pPr>
      <w:r>
        <w:rPr>
          <w:rFonts w:ascii="Calibri" w:cs="Calibri" w:eastAsia="Calibri" w:hAnsi="Calibri"/>
          <w:sz w:val="13"/>
          <w:szCs w:val="13"/>
          <w:b w:val="1"/>
          <w:bCs w:val="1"/>
          <w:color w:val="auto"/>
        </w:rPr>
        <w:t>Year</w:t>
      </w:r>
    </w:p>
    <w:p>
      <w:pPr>
        <w:spacing w:after="0" w:line="16" w:lineRule="exact"/>
        <w:rPr>
          <w:sz w:val="20"/>
          <w:szCs w:val="20"/>
          <w:color w:val="auto"/>
        </w:rPr>
      </w:pPr>
    </w:p>
    <w:p>
      <w:pPr>
        <w:jc w:val="center"/>
        <w:ind w:left="480"/>
        <w:spacing w:after="0"/>
        <w:rPr>
          <w:sz w:val="20"/>
          <w:szCs w:val="20"/>
          <w:color w:val="auto"/>
        </w:rPr>
      </w:pPr>
      <w:r>
        <w:rPr>
          <w:rFonts w:ascii="Calibri" w:cs="Calibri" w:eastAsia="Calibri" w:hAnsi="Calibri"/>
          <w:sz w:val="14"/>
          <w:szCs w:val="14"/>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Average</w:t>
            </w:r>
          </w:p>
        </w:tc>
      </w:tr>
      <w:tr>
        <w:trPr>
          <w:trHeight w:val="170"/>
        </w:trPr>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Summary</w:t>
            </w:r>
          </w:p>
        </w:tc>
      </w:tr>
      <w:tr>
        <w:trPr>
          <w:trHeight w:val="176"/>
        </w:trPr>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Compensaton</w:t>
            </w:r>
          </w:p>
        </w:tc>
      </w:tr>
      <w:tr>
        <w:trPr>
          <w:trHeight w:val="168"/>
        </w:trPr>
        <w:tc>
          <w:tcPr>
            <w:tcW w:w="94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Summary</w:t>
            </w:r>
          </w:p>
        </w:tc>
        <w:tc>
          <w:tcPr>
            <w:tcW w:w="9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w w:val="99"/>
              </w:rPr>
              <w:t>Table Total for</w:t>
            </w:r>
          </w:p>
        </w:tc>
      </w:tr>
      <w:tr>
        <w:trPr>
          <w:trHeight w:val="170"/>
        </w:trPr>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rPr>
              <w:t>Compensaton</w:t>
            </w:r>
          </w:p>
        </w:tc>
        <w:tc>
          <w:tcPr>
            <w:tcW w:w="9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Non-PEO</w:t>
            </w:r>
          </w:p>
        </w:tc>
      </w:tr>
      <w:tr>
        <w:trPr>
          <w:trHeight w:val="176"/>
        </w:trPr>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rPr>
              <w:t>Total for the</w:t>
            </w:r>
          </w:p>
        </w:tc>
        <w:tc>
          <w:tcPr>
            <w:tcW w:w="9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Named</w:t>
            </w:r>
          </w:p>
        </w:tc>
      </w:tr>
      <w:tr>
        <w:trPr>
          <w:trHeight w:val="168"/>
        </w:trPr>
        <w:tc>
          <w:tcPr>
            <w:tcW w:w="94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Principal</w:t>
            </w:r>
          </w:p>
        </w:tc>
        <w:tc>
          <w:tcPr>
            <w:tcW w:w="98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Compensaton</w:t>
            </w:r>
          </w:p>
        </w:tc>
        <w:tc>
          <w:tcPr>
            <w:tcW w:w="92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Executve</w:t>
            </w:r>
          </w:p>
        </w:tc>
      </w:tr>
      <w:tr>
        <w:trPr>
          <w:trHeight w:val="170"/>
        </w:trPr>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rPr>
              <w:t>Executve</w:t>
            </w:r>
          </w:p>
        </w:tc>
        <w:tc>
          <w:tcPr>
            <w:tcW w:w="980" w:type="dxa"/>
            <w:vAlign w:val="bottom"/>
          </w:tcPr>
          <w:p>
            <w:pPr>
              <w:jc w:val="center"/>
              <w:spacing w:after="0"/>
              <w:rPr>
                <w:sz w:val="20"/>
                <w:szCs w:val="20"/>
                <w:color w:val="auto"/>
              </w:rPr>
            </w:pPr>
            <w:r>
              <w:rPr>
                <w:rFonts w:ascii="Calibri" w:cs="Calibri" w:eastAsia="Calibri" w:hAnsi="Calibri"/>
                <w:sz w:val="14"/>
                <w:szCs w:val="14"/>
                <w:b w:val="1"/>
                <w:bCs w:val="1"/>
                <w:color w:val="auto"/>
              </w:rPr>
              <w:t>Actually Paid</w:t>
            </w: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Ofcers</w:t>
            </w:r>
          </w:p>
        </w:tc>
      </w:tr>
      <w:tr>
        <w:trPr>
          <w:trHeight w:val="175"/>
        </w:trPr>
        <w:tc>
          <w:tcPr>
            <w:tcW w:w="940" w:type="dxa"/>
            <w:vAlign w:val="bottom"/>
          </w:tcPr>
          <w:p>
            <w:pPr>
              <w:jc w:val="center"/>
              <w:spacing w:after="0"/>
              <w:rPr>
                <w:sz w:val="20"/>
                <w:szCs w:val="20"/>
                <w:color w:val="auto"/>
              </w:rPr>
            </w:pPr>
            <w:r>
              <w:rPr>
                <w:rFonts w:ascii="Calibri" w:cs="Calibri" w:eastAsia="Calibri" w:hAnsi="Calibri"/>
                <w:sz w:val="14"/>
                <w:szCs w:val="14"/>
                <w:b w:val="1"/>
                <w:bCs w:val="1"/>
                <w:color w:val="auto"/>
              </w:rPr>
              <w:t>Ofcer (“PEO”)</w:t>
            </w:r>
          </w:p>
        </w:tc>
        <w:tc>
          <w:tcPr>
            <w:tcW w:w="980" w:type="dxa"/>
            <w:vAlign w:val="bottom"/>
          </w:tcPr>
          <w:p>
            <w:pPr>
              <w:jc w:val="center"/>
              <w:spacing w:after="0"/>
              <w:rPr>
                <w:sz w:val="20"/>
                <w:szCs w:val="20"/>
                <w:color w:val="auto"/>
              </w:rPr>
            </w:pPr>
            <w:r>
              <w:rPr>
                <w:rFonts w:ascii="Calibri" w:cs="Calibri" w:eastAsia="Calibri" w:hAnsi="Calibri"/>
                <w:sz w:val="14"/>
                <w:szCs w:val="14"/>
                <w:b w:val="1"/>
                <w:bCs w:val="1"/>
                <w:color w:val="auto"/>
              </w:rPr>
              <w:t>to the PEO</w:t>
            </w: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(“NEO”s)</w:t>
            </w:r>
          </w:p>
        </w:tc>
      </w:tr>
      <w:tr>
        <w:trPr>
          <w:trHeight w:val="223"/>
        </w:trPr>
        <w:tc>
          <w:tcPr>
            <w:tcW w:w="940" w:type="dxa"/>
            <w:vAlign w:val="bottom"/>
          </w:tcPr>
          <w:p>
            <w:pPr>
              <w:jc w:val="center"/>
              <w:spacing w:after="0" w:line="223" w:lineRule="exact"/>
              <w:rPr>
                <w:sz w:val="20"/>
                <w:szCs w:val="20"/>
                <w:color w:val="auto"/>
              </w:rPr>
            </w:pPr>
            <w:r>
              <w:rPr>
                <w:rFonts w:ascii="Calibri" w:cs="Calibri" w:eastAsia="Calibri" w:hAnsi="Calibri"/>
                <w:sz w:val="14"/>
                <w:szCs w:val="14"/>
                <w:color w:val="auto"/>
                <w:w w:val="88"/>
              </w:rPr>
              <w:t>(b)</w:t>
            </w:r>
            <w:r>
              <w:rPr>
                <w:rFonts w:ascii="Calibri" w:cs="Calibri" w:eastAsia="Calibri" w:hAnsi="Calibri"/>
                <w:sz w:val="21"/>
                <w:szCs w:val="21"/>
                <w:b w:val="1"/>
                <w:bCs w:val="1"/>
                <w:color w:val="C00000"/>
                <w:w w:val="88"/>
                <w:vertAlign w:val="superscript"/>
              </w:rPr>
              <w:t>(1)</w:t>
            </w:r>
          </w:p>
        </w:tc>
        <w:tc>
          <w:tcPr>
            <w:tcW w:w="980" w:type="dxa"/>
            <w:vAlign w:val="bottom"/>
          </w:tcPr>
          <w:p>
            <w:pPr>
              <w:jc w:val="center"/>
              <w:spacing w:after="0" w:line="223" w:lineRule="exact"/>
              <w:rPr>
                <w:sz w:val="20"/>
                <w:szCs w:val="20"/>
                <w:color w:val="auto"/>
              </w:rPr>
            </w:pPr>
            <w:r>
              <w:rPr>
                <w:rFonts w:ascii="Calibri" w:cs="Calibri" w:eastAsia="Calibri" w:hAnsi="Calibri"/>
                <w:sz w:val="24"/>
                <w:szCs w:val="24"/>
                <w:color w:val="000000"/>
                <w:vertAlign w:val="subscript"/>
              </w:rPr>
              <w:t>(c)</w:t>
            </w:r>
            <w:r>
              <w:rPr>
                <w:rFonts w:ascii="Calibri" w:cs="Calibri" w:eastAsia="Calibri" w:hAnsi="Calibri"/>
                <w:sz w:val="10"/>
                <w:szCs w:val="10"/>
                <w:b w:val="1"/>
                <w:bCs w:val="1"/>
                <w:color w:val="C00000"/>
              </w:rPr>
              <w:t>(1)(2)</w:t>
            </w:r>
          </w:p>
        </w:tc>
        <w:tc>
          <w:tcPr>
            <w:tcW w:w="920" w:type="dxa"/>
            <w:vAlign w:val="bottom"/>
          </w:tcPr>
          <w:p>
            <w:pPr>
              <w:jc w:val="center"/>
              <w:spacing w:after="0" w:line="223" w:lineRule="exact"/>
              <w:rPr>
                <w:sz w:val="20"/>
                <w:szCs w:val="20"/>
                <w:color w:val="auto"/>
              </w:rPr>
            </w:pPr>
            <w:r>
              <w:rPr>
                <w:rFonts w:ascii="Calibri" w:cs="Calibri" w:eastAsia="Calibri" w:hAnsi="Calibri"/>
                <w:sz w:val="14"/>
                <w:szCs w:val="14"/>
                <w:color w:val="auto"/>
                <w:w w:val="88"/>
              </w:rPr>
              <w:t>(d)</w:t>
            </w:r>
            <w:r>
              <w:rPr>
                <w:rFonts w:ascii="Calibri" w:cs="Calibri" w:eastAsia="Calibri" w:hAnsi="Calibri"/>
                <w:sz w:val="21"/>
                <w:szCs w:val="21"/>
                <w:b w:val="1"/>
                <w:bCs w:val="1"/>
                <w:color w:val="C00000"/>
                <w:w w:val="88"/>
                <w:vertAlign w:val="superscript"/>
              </w:rPr>
              <w:t>(3)</w:t>
            </w: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939"/>
        <w:spacing w:after="0"/>
        <w:rPr>
          <w:sz w:val="20"/>
          <w:szCs w:val="20"/>
          <w:color w:val="auto"/>
        </w:rPr>
      </w:pPr>
      <w:r>
        <w:rPr>
          <w:rFonts w:ascii="Calibri" w:cs="Calibri" w:eastAsia="Calibri" w:hAnsi="Calibri"/>
          <w:sz w:val="14"/>
          <w:szCs w:val="14"/>
          <w:b w:val="1"/>
          <w:bCs w:val="1"/>
          <w:color w:val="auto"/>
        </w:rPr>
        <w:t>Value of Inital Fixed $100</w:t>
      </w:r>
    </w:p>
    <w:p>
      <w:pPr>
        <w:jc w:val="center"/>
        <w:ind w:right="939"/>
        <w:spacing w:after="0" w:line="227" w:lineRule="auto"/>
        <w:rPr>
          <w:sz w:val="20"/>
          <w:szCs w:val="20"/>
          <w:color w:val="auto"/>
        </w:rPr>
      </w:pPr>
      <w:r>
        <w:rPr>
          <w:rFonts w:ascii="Calibri" w:cs="Calibri" w:eastAsia="Calibri" w:hAnsi="Calibri"/>
          <w:sz w:val="14"/>
          <w:szCs w:val="14"/>
          <w:b w:val="1"/>
          <w:bCs w:val="1"/>
          <w:color w:val="auto"/>
        </w:rPr>
        <w:t>Investment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21590</wp:posOffset>
            </wp:positionV>
            <wp:extent cx="125158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515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Calibri" w:cs="Calibri" w:eastAsia="Calibri" w:hAnsi="Calibri"/>
                <w:sz w:val="14"/>
                <w:szCs w:val="14"/>
                <w:b w:val="1"/>
                <w:bCs w:val="1"/>
                <w:color w:val="auto"/>
              </w:rPr>
              <w:t>Net</w:t>
            </w:r>
          </w:p>
        </w:tc>
        <w:tc>
          <w:tcPr>
            <w:tcW w:w="740" w:type="dxa"/>
            <w:vAlign w:val="bottom"/>
          </w:tcPr>
          <w:p>
            <w:pPr>
              <w:spacing w:after="0"/>
              <w:rPr>
                <w:sz w:val="14"/>
                <w:szCs w:val="14"/>
                <w:color w:val="auto"/>
              </w:rPr>
            </w:pPr>
          </w:p>
        </w:tc>
      </w:tr>
      <w:tr>
        <w:trPr>
          <w:trHeight w:val="162"/>
        </w:trPr>
        <w:tc>
          <w:tcPr>
            <w:tcW w:w="1000" w:type="dxa"/>
            <w:vAlign w:val="bottom"/>
          </w:tcPr>
          <w:p>
            <w:pPr>
              <w:jc w:val="center"/>
              <w:ind w:right="13"/>
              <w:spacing w:after="0" w:line="162" w:lineRule="exact"/>
              <w:rPr>
                <w:sz w:val="20"/>
                <w:szCs w:val="20"/>
                <w:color w:val="auto"/>
              </w:rPr>
            </w:pPr>
            <w:r>
              <w:rPr>
                <w:rFonts w:ascii="Calibri" w:cs="Calibri" w:eastAsia="Calibri" w:hAnsi="Calibri"/>
                <w:sz w:val="14"/>
                <w:szCs w:val="14"/>
                <w:b w:val="1"/>
                <w:bCs w:val="1"/>
                <w:color w:val="auto"/>
              </w:rPr>
              <w:t>Average</w:t>
            </w: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jc w:val="center"/>
              <w:spacing w:after="0" w:line="162" w:lineRule="exact"/>
              <w:rPr>
                <w:sz w:val="20"/>
                <w:szCs w:val="20"/>
                <w:color w:val="auto"/>
              </w:rPr>
            </w:pPr>
            <w:r>
              <w:rPr>
                <w:rFonts w:ascii="Calibri" w:cs="Calibri" w:eastAsia="Calibri" w:hAnsi="Calibri"/>
                <w:sz w:val="14"/>
                <w:szCs w:val="14"/>
                <w:b w:val="1"/>
                <w:bCs w:val="1"/>
                <w:color w:val="auto"/>
              </w:rPr>
              <w:t>Income</w:t>
            </w:r>
          </w:p>
        </w:tc>
        <w:tc>
          <w:tcPr>
            <w:tcW w:w="740" w:type="dxa"/>
            <w:vAlign w:val="bottom"/>
          </w:tcPr>
          <w:p>
            <w:pPr>
              <w:jc w:val="center"/>
              <w:ind w:left="28"/>
              <w:spacing w:after="0" w:line="162" w:lineRule="exact"/>
              <w:rPr>
                <w:sz w:val="20"/>
                <w:szCs w:val="20"/>
                <w:color w:val="auto"/>
              </w:rPr>
            </w:pPr>
            <w:r>
              <w:rPr>
                <w:rFonts w:ascii="Calibri" w:cs="Calibri" w:eastAsia="Calibri" w:hAnsi="Calibri"/>
                <w:sz w:val="14"/>
                <w:szCs w:val="14"/>
                <w:b w:val="1"/>
                <w:bCs w:val="1"/>
                <w:color w:val="auto"/>
              </w:rPr>
              <w:t>Non-GAAP</w:t>
            </w:r>
          </w:p>
        </w:tc>
      </w:tr>
      <w:tr>
        <w:trPr>
          <w:trHeight w:val="175"/>
        </w:trPr>
        <w:tc>
          <w:tcPr>
            <w:tcW w:w="1000" w:type="dxa"/>
            <w:vAlign w:val="bottom"/>
          </w:tcPr>
          <w:p>
            <w:pPr>
              <w:jc w:val="center"/>
              <w:ind w:right="33"/>
              <w:spacing w:after="0"/>
              <w:rPr>
                <w:sz w:val="20"/>
                <w:szCs w:val="20"/>
                <w:color w:val="auto"/>
              </w:rPr>
            </w:pPr>
            <w:r>
              <w:rPr>
                <w:rFonts w:ascii="Calibri" w:cs="Calibri" w:eastAsia="Calibri" w:hAnsi="Calibri"/>
                <w:sz w:val="14"/>
                <w:szCs w:val="14"/>
                <w:b w:val="1"/>
                <w:bCs w:val="1"/>
                <w:color w:val="auto"/>
              </w:rPr>
              <w:t>Compensaton</w:t>
            </w:r>
          </w:p>
        </w:tc>
        <w:tc>
          <w:tcPr>
            <w:tcW w:w="86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Total</w:t>
            </w:r>
          </w:p>
        </w:tc>
        <w:tc>
          <w:tcPr>
            <w:tcW w:w="1140" w:type="dxa"/>
            <w:vAlign w:val="bottom"/>
          </w:tcPr>
          <w:p>
            <w:pPr>
              <w:jc w:val="center"/>
              <w:spacing w:after="0"/>
              <w:rPr>
                <w:sz w:val="20"/>
                <w:szCs w:val="20"/>
                <w:color w:val="auto"/>
              </w:rPr>
            </w:pPr>
            <w:r>
              <w:rPr>
                <w:rFonts w:ascii="Calibri" w:cs="Calibri" w:eastAsia="Calibri" w:hAnsi="Calibri"/>
                <w:sz w:val="14"/>
                <w:szCs w:val="14"/>
                <w:b w:val="1"/>
                <w:bCs w:val="1"/>
                <w:color w:val="auto"/>
              </w:rPr>
              <w:t>Peer Group Total</w:t>
            </w:r>
          </w:p>
        </w:tc>
        <w:tc>
          <w:tcPr>
            <w:tcW w:w="860" w:type="dxa"/>
            <w:vAlign w:val="bottom"/>
          </w:tcPr>
          <w:p>
            <w:pPr>
              <w:jc w:val="center"/>
              <w:spacing w:after="0"/>
              <w:rPr>
                <w:sz w:val="20"/>
                <w:szCs w:val="20"/>
                <w:color w:val="auto"/>
              </w:rPr>
            </w:pPr>
            <w:r>
              <w:rPr>
                <w:rFonts w:ascii="Calibri" w:cs="Calibri" w:eastAsia="Calibri" w:hAnsi="Calibri"/>
                <w:sz w:val="14"/>
                <w:szCs w:val="14"/>
                <w:b w:val="1"/>
                <w:bCs w:val="1"/>
                <w:color w:val="auto"/>
              </w:rPr>
              <w:t>(loss)</w:t>
            </w:r>
          </w:p>
        </w:tc>
        <w:tc>
          <w:tcPr>
            <w:tcW w:w="740" w:type="dxa"/>
            <w:vAlign w:val="bottom"/>
          </w:tcPr>
          <w:p>
            <w:pPr>
              <w:jc w:val="center"/>
              <w:ind w:left="28"/>
              <w:spacing w:after="0"/>
              <w:rPr>
                <w:sz w:val="20"/>
                <w:szCs w:val="20"/>
                <w:color w:val="auto"/>
              </w:rPr>
            </w:pPr>
            <w:r>
              <w:rPr>
                <w:rFonts w:ascii="Calibri" w:cs="Calibri" w:eastAsia="Calibri" w:hAnsi="Calibri"/>
                <w:sz w:val="14"/>
                <w:szCs w:val="14"/>
                <w:b w:val="1"/>
                <w:bCs w:val="1"/>
                <w:color w:val="auto"/>
              </w:rPr>
              <w:t>Operatng</w:t>
            </w:r>
          </w:p>
        </w:tc>
      </w:tr>
      <w:tr>
        <w:trPr>
          <w:trHeight w:val="176"/>
        </w:trPr>
        <w:tc>
          <w:tcPr>
            <w:tcW w:w="1000" w:type="dxa"/>
            <w:vAlign w:val="bottom"/>
          </w:tcPr>
          <w:p>
            <w:pPr>
              <w:jc w:val="center"/>
              <w:ind w:right="13"/>
              <w:spacing w:after="0"/>
              <w:rPr>
                <w:sz w:val="20"/>
                <w:szCs w:val="20"/>
                <w:color w:val="auto"/>
              </w:rPr>
            </w:pPr>
            <w:r>
              <w:rPr>
                <w:rFonts w:ascii="Calibri" w:cs="Calibri" w:eastAsia="Calibri" w:hAnsi="Calibri"/>
                <w:sz w:val="14"/>
                <w:szCs w:val="14"/>
                <w:b w:val="1"/>
                <w:bCs w:val="1"/>
                <w:color w:val="auto"/>
              </w:rPr>
              <w:t>Actually Paid to</w:t>
            </w:r>
          </w:p>
        </w:tc>
        <w:tc>
          <w:tcPr>
            <w:tcW w:w="860" w:type="dxa"/>
            <w:vAlign w:val="bottom"/>
          </w:tcPr>
          <w:p>
            <w:pPr>
              <w:jc w:val="center"/>
              <w:spacing w:after="0"/>
              <w:rPr>
                <w:sz w:val="20"/>
                <w:szCs w:val="20"/>
                <w:color w:val="auto"/>
              </w:rPr>
            </w:pPr>
            <w:r>
              <w:rPr>
                <w:rFonts w:ascii="Calibri" w:cs="Calibri" w:eastAsia="Calibri" w:hAnsi="Calibri"/>
                <w:sz w:val="14"/>
                <w:szCs w:val="14"/>
                <w:b w:val="1"/>
                <w:bCs w:val="1"/>
                <w:color w:val="auto"/>
              </w:rPr>
              <w:t>Shareholder</w:t>
            </w:r>
          </w:p>
        </w:tc>
        <w:tc>
          <w:tcPr>
            <w:tcW w:w="1140" w:type="dxa"/>
            <w:vAlign w:val="bottom"/>
          </w:tcPr>
          <w:p>
            <w:pPr>
              <w:jc w:val="center"/>
              <w:spacing w:after="0"/>
              <w:rPr>
                <w:sz w:val="20"/>
                <w:szCs w:val="20"/>
                <w:color w:val="auto"/>
              </w:rPr>
            </w:pPr>
            <w:r>
              <w:rPr>
                <w:rFonts w:ascii="Calibri" w:cs="Calibri" w:eastAsia="Calibri" w:hAnsi="Calibri"/>
                <w:sz w:val="14"/>
                <w:szCs w:val="14"/>
                <w:b w:val="1"/>
                <w:bCs w:val="1"/>
                <w:color w:val="auto"/>
              </w:rPr>
              <w:t>Shareholder</w:t>
            </w:r>
          </w:p>
        </w:tc>
        <w:tc>
          <w:tcPr>
            <w:tcW w:w="860" w:type="dxa"/>
            <w:vAlign w:val="bottom"/>
          </w:tcPr>
          <w:p>
            <w:pPr>
              <w:jc w:val="center"/>
              <w:spacing w:after="0"/>
              <w:rPr>
                <w:sz w:val="20"/>
                <w:szCs w:val="20"/>
                <w:color w:val="auto"/>
              </w:rPr>
            </w:pPr>
            <w:r>
              <w:rPr>
                <w:rFonts w:ascii="Calibri" w:cs="Calibri" w:eastAsia="Calibri" w:hAnsi="Calibri"/>
                <w:sz w:val="14"/>
                <w:szCs w:val="14"/>
                <w:b w:val="1"/>
                <w:bCs w:val="1"/>
                <w:color w:val="auto"/>
              </w:rPr>
              <w:t>($ in</w:t>
            </w:r>
          </w:p>
        </w:tc>
        <w:tc>
          <w:tcPr>
            <w:tcW w:w="740" w:type="dxa"/>
            <w:vAlign w:val="bottom"/>
          </w:tcPr>
          <w:p>
            <w:pPr>
              <w:jc w:val="center"/>
              <w:ind w:left="8"/>
              <w:spacing w:after="0"/>
              <w:rPr>
                <w:sz w:val="20"/>
                <w:szCs w:val="20"/>
                <w:color w:val="auto"/>
              </w:rPr>
            </w:pPr>
            <w:r>
              <w:rPr>
                <w:rFonts w:ascii="Calibri" w:cs="Calibri" w:eastAsia="Calibri" w:hAnsi="Calibri"/>
                <w:sz w:val="14"/>
                <w:szCs w:val="14"/>
                <w:b w:val="1"/>
                <w:bCs w:val="1"/>
                <w:color w:val="auto"/>
              </w:rPr>
              <w:t>Margin</w:t>
            </w:r>
          </w:p>
        </w:tc>
      </w:tr>
      <w:tr>
        <w:trPr>
          <w:trHeight w:val="170"/>
        </w:trPr>
        <w:tc>
          <w:tcPr>
            <w:tcW w:w="1000" w:type="dxa"/>
            <w:vAlign w:val="bottom"/>
          </w:tcPr>
          <w:p>
            <w:pPr>
              <w:jc w:val="center"/>
              <w:ind w:right="13"/>
              <w:spacing w:after="0"/>
              <w:rPr>
                <w:sz w:val="20"/>
                <w:szCs w:val="20"/>
                <w:color w:val="auto"/>
              </w:rPr>
            </w:pPr>
            <w:r>
              <w:rPr>
                <w:rFonts w:ascii="Calibri" w:cs="Calibri" w:eastAsia="Calibri" w:hAnsi="Calibri"/>
                <w:sz w:val="14"/>
                <w:szCs w:val="14"/>
                <w:b w:val="1"/>
                <w:bCs w:val="1"/>
                <w:color w:val="auto"/>
              </w:rPr>
              <w:t>Non-PEO NEOs</w:t>
            </w:r>
          </w:p>
        </w:tc>
        <w:tc>
          <w:tcPr>
            <w:tcW w:w="860" w:type="dxa"/>
            <w:vAlign w:val="bottom"/>
          </w:tcPr>
          <w:p>
            <w:pPr>
              <w:jc w:val="center"/>
              <w:spacing w:after="0"/>
              <w:rPr>
                <w:sz w:val="20"/>
                <w:szCs w:val="20"/>
                <w:color w:val="auto"/>
              </w:rPr>
            </w:pPr>
            <w:r>
              <w:rPr>
                <w:rFonts w:ascii="Calibri" w:cs="Calibri" w:eastAsia="Calibri" w:hAnsi="Calibri"/>
                <w:sz w:val="14"/>
                <w:szCs w:val="14"/>
                <w:b w:val="1"/>
                <w:bCs w:val="1"/>
                <w:color w:val="auto"/>
              </w:rPr>
              <w:t>Return</w:t>
            </w:r>
          </w:p>
        </w:tc>
        <w:tc>
          <w:tcPr>
            <w:tcW w:w="1140" w:type="dxa"/>
            <w:vAlign w:val="bottom"/>
          </w:tcPr>
          <w:p>
            <w:pPr>
              <w:jc w:val="center"/>
              <w:spacing w:after="0"/>
              <w:rPr>
                <w:sz w:val="20"/>
                <w:szCs w:val="20"/>
                <w:color w:val="auto"/>
              </w:rPr>
            </w:pPr>
            <w:r>
              <w:rPr>
                <w:rFonts w:ascii="Calibri" w:cs="Calibri" w:eastAsia="Calibri" w:hAnsi="Calibri"/>
                <w:sz w:val="14"/>
                <w:szCs w:val="14"/>
                <w:b w:val="1"/>
                <w:bCs w:val="1"/>
                <w:color w:val="auto"/>
              </w:rPr>
              <w:t>Return</w:t>
            </w:r>
          </w:p>
        </w:tc>
        <w:tc>
          <w:tcPr>
            <w:tcW w:w="860" w:type="dxa"/>
            <w:vAlign w:val="bottom"/>
          </w:tcPr>
          <w:p>
            <w:pPr>
              <w:jc w:val="center"/>
              <w:spacing w:after="0"/>
              <w:rPr>
                <w:sz w:val="20"/>
                <w:szCs w:val="20"/>
                <w:color w:val="auto"/>
              </w:rPr>
            </w:pPr>
            <w:r>
              <w:rPr>
                <w:rFonts w:ascii="Calibri" w:cs="Calibri" w:eastAsia="Calibri" w:hAnsi="Calibri"/>
                <w:sz w:val="14"/>
                <w:szCs w:val="14"/>
                <w:b w:val="1"/>
                <w:bCs w:val="1"/>
                <w:color w:val="auto"/>
              </w:rPr>
              <w:t>thousands)</w:t>
            </w:r>
          </w:p>
        </w:tc>
        <w:tc>
          <w:tcPr>
            <w:tcW w:w="740" w:type="dxa"/>
            <w:vAlign w:val="bottom"/>
          </w:tcPr>
          <w:p>
            <w:pPr>
              <w:jc w:val="center"/>
              <w:ind w:left="28"/>
              <w:spacing w:after="0"/>
              <w:rPr>
                <w:sz w:val="20"/>
                <w:szCs w:val="20"/>
                <w:color w:val="auto"/>
              </w:rPr>
            </w:pPr>
            <w:r>
              <w:rPr>
                <w:rFonts w:ascii="Calibri" w:cs="Calibri" w:eastAsia="Calibri" w:hAnsi="Calibri"/>
                <w:sz w:val="14"/>
                <w:szCs w:val="14"/>
                <w:b w:val="1"/>
                <w:bCs w:val="1"/>
                <w:color w:val="auto"/>
              </w:rPr>
              <w:t>(%)</w:t>
            </w:r>
          </w:p>
        </w:tc>
      </w:tr>
      <w:tr>
        <w:trPr>
          <w:trHeight w:val="223"/>
        </w:trPr>
        <w:tc>
          <w:tcPr>
            <w:tcW w:w="1000" w:type="dxa"/>
            <w:vAlign w:val="bottom"/>
          </w:tcPr>
          <w:p>
            <w:pPr>
              <w:jc w:val="center"/>
              <w:ind w:right="13"/>
              <w:spacing w:after="0" w:line="223" w:lineRule="exact"/>
              <w:rPr>
                <w:sz w:val="20"/>
                <w:szCs w:val="20"/>
                <w:color w:val="auto"/>
              </w:rPr>
            </w:pPr>
            <w:r>
              <w:rPr>
                <w:rFonts w:ascii="Calibri" w:cs="Calibri" w:eastAsia="Calibri" w:hAnsi="Calibri"/>
                <w:sz w:val="24"/>
                <w:szCs w:val="24"/>
                <w:color w:val="000000"/>
                <w:w w:val="99"/>
                <w:vertAlign w:val="subscript"/>
              </w:rPr>
              <w:t>(e)</w:t>
            </w:r>
            <w:r>
              <w:rPr>
                <w:rFonts w:ascii="Calibri" w:cs="Calibri" w:eastAsia="Calibri" w:hAnsi="Calibri"/>
                <w:sz w:val="10"/>
                <w:szCs w:val="10"/>
                <w:b w:val="1"/>
                <w:bCs w:val="1"/>
                <w:color w:val="C00000"/>
                <w:w w:val="99"/>
              </w:rPr>
              <w:t>(2)(3)</w:t>
            </w:r>
          </w:p>
        </w:tc>
        <w:tc>
          <w:tcPr>
            <w:tcW w:w="860" w:type="dxa"/>
            <w:vAlign w:val="bottom"/>
          </w:tcPr>
          <w:p>
            <w:pPr>
              <w:jc w:val="center"/>
              <w:spacing w:after="0"/>
              <w:rPr>
                <w:sz w:val="20"/>
                <w:szCs w:val="20"/>
                <w:color w:val="auto"/>
              </w:rPr>
            </w:pPr>
            <w:r>
              <w:rPr>
                <w:rFonts w:ascii="Calibri" w:cs="Calibri" w:eastAsia="Calibri" w:hAnsi="Calibri"/>
                <w:sz w:val="14"/>
                <w:szCs w:val="14"/>
                <w:color w:val="auto"/>
                <w:w w:val="93"/>
              </w:rPr>
              <w:t>(f)</w:t>
            </w:r>
          </w:p>
        </w:tc>
        <w:tc>
          <w:tcPr>
            <w:tcW w:w="1140" w:type="dxa"/>
            <w:vAlign w:val="bottom"/>
          </w:tcPr>
          <w:p>
            <w:pPr>
              <w:jc w:val="center"/>
              <w:spacing w:after="0" w:line="223" w:lineRule="exact"/>
              <w:rPr>
                <w:sz w:val="20"/>
                <w:szCs w:val="20"/>
                <w:color w:val="auto"/>
              </w:rPr>
            </w:pPr>
            <w:r>
              <w:rPr>
                <w:rFonts w:ascii="Calibri" w:cs="Calibri" w:eastAsia="Calibri" w:hAnsi="Calibri"/>
                <w:sz w:val="14"/>
                <w:szCs w:val="14"/>
                <w:color w:val="auto"/>
                <w:w w:val="83"/>
              </w:rPr>
              <w:t>(g)</w:t>
            </w:r>
            <w:r>
              <w:rPr>
                <w:rFonts w:ascii="Calibri" w:cs="Calibri" w:eastAsia="Calibri" w:hAnsi="Calibri"/>
                <w:sz w:val="21"/>
                <w:szCs w:val="21"/>
                <w:b w:val="1"/>
                <w:bCs w:val="1"/>
                <w:color w:val="C00000"/>
                <w:w w:val="83"/>
                <w:vertAlign w:val="superscript"/>
              </w:rPr>
              <w:t>(4)</w:t>
            </w:r>
          </w:p>
        </w:tc>
        <w:tc>
          <w:tcPr>
            <w:tcW w:w="860" w:type="dxa"/>
            <w:vAlign w:val="bottom"/>
          </w:tcPr>
          <w:p>
            <w:pPr>
              <w:jc w:val="center"/>
              <w:spacing w:after="0"/>
              <w:rPr>
                <w:sz w:val="20"/>
                <w:szCs w:val="20"/>
                <w:color w:val="auto"/>
              </w:rPr>
            </w:pPr>
            <w:r>
              <w:rPr>
                <w:rFonts w:ascii="Calibri" w:cs="Calibri" w:eastAsia="Calibri" w:hAnsi="Calibri"/>
                <w:sz w:val="14"/>
                <w:szCs w:val="14"/>
                <w:color w:val="auto"/>
              </w:rPr>
              <w:t>(h)</w:t>
            </w:r>
          </w:p>
        </w:tc>
        <w:tc>
          <w:tcPr>
            <w:tcW w:w="740" w:type="dxa"/>
            <w:vAlign w:val="bottom"/>
          </w:tcPr>
          <w:p>
            <w:pPr>
              <w:jc w:val="center"/>
              <w:ind w:left="28"/>
              <w:spacing w:after="0" w:line="223" w:lineRule="exact"/>
              <w:rPr>
                <w:sz w:val="20"/>
                <w:szCs w:val="20"/>
                <w:color w:val="auto"/>
              </w:rPr>
            </w:pPr>
            <w:r>
              <w:rPr>
                <w:rFonts w:ascii="Calibri" w:cs="Calibri" w:eastAsia="Calibri" w:hAnsi="Calibri"/>
                <w:sz w:val="14"/>
                <w:szCs w:val="14"/>
                <w:color w:val="auto"/>
                <w:w w:val="87"/>
              </w:rPr>
              <w:t>(i)</w:t>
            </w:r>
            <w:r>
              <w:rPr>
                <w:rFonts w:ascii="Calibri" w:cs="Calibri" w:eastAsia="Calibri" w:hAnsi="Calibri"/>
                <w:sz w:val="21"/>
                <w:szCs w:val="21"/>
                <w:b w:val="1"/>
                <w:bCs w:val="1"/>
                <w:color w:val="C00000"/>
                <w:w w:val="87"/>
                <w:vertAlign w:val="superscript"/>
              </w:rPr>
              <w:t>(5)</w:t>
            </w:r>
          </w:p>
        </w:tc>
      </w:tr>
    </w:tbl>
    <w:p>
      <w:pPr>
        <w:spacing w:after="0" w:line="1" w:lineRule="exact"/>
        <w:rPr>
          <w:sz w:val="20"/>
          <w:szCs w:val="20"/>
          <w:color w:val="auto"/>
        </w:rPr>
      </w:pPr>
    </w:p>
    <w:p>
      <w:pPr>
        <w:sectPr>
          <w:pgSz w:w="11900" w:h="16838" w:orient="portrait"/>
          <w:cols w:equalWidth="0" w:num="3">
            <w:col w:w="740" w:space="320"/>
            <w:col w:w="2840" w:space="180"/>
            <w:col w:w="4939"/>
          </w:cols>
          <w:pgMar w:left="1440" w:top="504" w:right="1440" w:bottom="1440" w:gutter="0" w:footer="0" w:header="0"/>
          <w:type w:val="continuous"/>
        </w:sectPr>
      </w:pPr>
    </w:p>
    <w:tbl>
      <w:tblPr>
        <w:tblLayout w:type="fixed"/>
        <w:tblInd w:w="220" w:type="dxa"/>
        <w:tblCellMar>
          <w:top w:w="0" w:type="dxa"/>
          <w:left w:w="0" w:type="dxa"/>
          <w:bottom w:w="0" w:type="dxa"/>
          <w:right w:w="0" w:type="dxa"/>
        </w:tblCellMar>
      </w:tblPr>
      <w:tr>
        <w:trPr>
          <w:trHeight w:val="189"/>
        </w:trPr>
        <w:tc>
          <w:tcPr>
            <w:tcW w:w="740" w:type="dxa"/>
            <w:vAlign w:val="bottom"/>
            <w:tcBorders>
              <w:top w:val="single" w:sz="8" w:color="AF0000"/>
              <w:bottom w:val="single" w:sz="8" w:color="A6A6A6"/>
            </w:tcBorders>
          </w:tcPr>
          <w:p>
            <w:pPr>
              <w:jc w:val="right"/>
              <w:ind w:right="148"/>
              <w:spacing w:after="0"/>
              <w:rPr>
                <w:sz w:val="20"/>
                <w:szCs w:val="20"/>
                <w:color w:val="auto"/>
              </w:rPr>
            </w:pPr>
            <w:r>
              <w:rPr>
                <w:rFonts w:ascii="Calibri" w:cs="Calibri" w:eastAsia="Calibri" w:hAnsi="Calibri"/>
                <w:sz w:val="14"/>
                <w:szCs w:val="14"/>
                <w:color w:val="auto"/>
              </w:rPr>
              <w:t>2023</w:t>
            </w:r>
          </w:p>
        </w:tc>
        <w:tc>
          <w:tcPr>
            <w:tcW w:w="1000" w:type="dxa"/>
            <w:vAlign w:val="bottom"/>
            <w:tcBorders>
              <w:top w:val="single" w:sz="8" w:color="AF0000"/>
              <w:bottom w:val="single" w:sz="8" w:color="A6A6A6"/>
            </w:tcBorders>
          </w:tcPr>
          <w:p>
            <w:pPr>
              <w:jc w:val="right"/>
              <w:ind w:right="68"/>
              <w:spacing w:after="0"/>
              <w:rPr>
                <w:sz w:val="20"/>
                <w:szCs w:val="20"/>
                <w:color w:val="auto"/>
              </w:rPr>
            </w:pPr>
            <w:r>
              <w:rPr>
                <w:rFonts w:ascii="Calibri" w:cs="Calibri" w:eastAsia="Calibri" w:hAnsi="Calibri"/>
                <w:sz w:val="14"/>
                <w:szCs w:val="14"/>
                <w:color w:val="auto"/>
              </w:rPr>
              <w:t>10,052,664</w:t>
            </w:r>
          </w:p>
        </w:tc>
        <w:tc>
          <w:tcPr>
            <w:tcW w:w="1020" w:type="dxa"/>
            <w:vAlign w:val="bottom"/>
            <w:tcBorders>
              <w:top w:val="single" w:sz="8" w:color="AF0000"/>
              <w:bottom w:val="single" w:sz="8" w:color="A6A6A6"/>
            </w:tcBorders>
          </w:tcPr>
          <w:p>
            <w:pPr>
              <w:jc w:val="right"/>
              <w:ind w:right="148"/>
              <w:spacing w:after="0"/>
              <w:rPr>
                <w:sz w:val="20"/>
                <w:szCs w:val="20"/>
                <w:color w:val="auto"/>
              </w:rPr>
            </w:pPr>
            <w:r>
              <w:rPr>
                <w:rFonts w:ascii="Calibri" w:cs="Calibri" w:eastAsia="Calibri" w:hAnsi="Calibri"/>
                <w:sz w:val="14"/>
                <w:szCs w:val="14"/>
                <w:color w:val="auto"/>
              </w:rPr>
              <w:t>9,799,372</w:t>
            </w:r>
          </w:p>
        </w:tc>
        <w:tc>
          <w:tcPr>
            <w:tcW w:w="1080" w:type="dxa"/>
            <w:vAlign w:val="bottom"/>
            <w:tcBorders>
              <w:top w:val="single" w:sz="8" w:color="AF0000"/>
              <w:bottom w:val="single" w:sz="8" w:color="A6A6A6"/>
            </w:tcBorders>
          </w:tcPr>
          <w:p>
            <w:pPr>
              <w:jc w:val="right"/>
              <w:ind w:right="208"/>
              <w:spacing w:after="0"/>
              <w:rPr>
                <w:sz w:val="20"/>
                <w:szCs w:val="20"/>
                <w:color w:val="auto"/>
              </w:rPr>
            </w:pPr>
            <w:r>
              <w:rPr>
                <w:rFonts w:ascii="Calibri" w:cs="Calibri" w:eastAsia="Calibri" w:hAnsi="Calibri"/>
                <w:sz w:val="14"/>
                <w:szCs w:val="14"/>
                <w:color w:val="auto"/>
              </w:rPr>
              <w:t>2,740,977</w:t>
            </w:r>
          </w:p>
        </w:tc>
        <w:tc>
          <w:tcPr>
            <w:tcW w:w="1060" w:type="dxa"/>
            <w:vAlign w:val="bottom"/>
            <w:tcBorders>
              <w:top w:val="single" w:sz="8" w:color="AF0000"/>
              <w:bottom w:val="single" w:sz="8" w:color="A6A6A6"/>
            </w:tcBorders>
          </w:tcPr>
          <w:p>
            <w:pPr>
              <w:jc w:val="right"/>
              <w:ind w:right="148"/>
              <w:spacing w:after="0"/>
              <w:rPr>
                <w:sz w:val="20"/>
                <w:szCs w:val="20"/>
                <w:color w:val="auto"/>
              </w:rPr>
            </w:pPr>
            <w:r>
              <w:rPr>
                <w:rFonts w:ascii="Calibri" w:cs="Calibri" w:eastAsia="Calibri" w:hAnsi="Calibri"/>
                <w:sz w:val="14"/>
                <w:szCs w:val="14"/>
                <w:color w:val="auto"/>
              </w:rPr>
              <w:t>2,715,268</w:t>
            </w:r>
          </w:p>
        </w:tc>
        <w:tc>
          <w:tcPr>
            <w:tcW w:w="960" w:type="dxa"/>
            <w:vAlign w:val="bottom"/>
            <w:tcBorders>
              <w:top w:val="single" w:sz="8" w:color="AF0000"/>
              <w:bottom w:val="single" w:sz="8" w:color="A6A6A6"/>
            </w:tcBorders>
          </w:tcPr>
          <w:p>
            <w:pPr>
              <w:jc w:val="right"/>
              <w:ind w:right="248"/>
              <w:spacing w:after="0"/>
              <w:rPr>
                <w:sz w:val="20"/>
                <w:szCs w:val="20"/>
                <w:color w:val="auto"/>
              </w:rPr>
            </w:pPr>
            <w:r>
              <w:rPr>
                <w:rFonts w:ascii="Calibri" w:cs="Calibri" w:eastAsia="Calibri" w:hAnsi="Calibri"/>
                <w:sz w:val="14"/>
                <w:szCs w:val="14"/>
                <w:color w:val="auto"/>
              </w:rPr>
              <w:t>243.19</w:t>
            </w:r>
          </w:p>
        </w:tc>
        <w:tc>
          <w:tcPr>
            <w:tcW w:w="980" w:type="dxa"/>
            <w:vAlign w:val="bottom"/>
            <w:tcBorders>
              <w:top w:val="single" w:sz="8" w:color="AF0000"/>
              <w:bottom w:val="single" w:sz="8" w:color="A6A6A6"/>
            </w:tcBorders>
          </w:tcPr>
          <w:p>
            <w:pPr>
              <w:jc w:val="right"/>
              <w:ind w:right="168"/>
              <w:spacing w:after="0"/>
              <w:rPr>
                <w:sz w:val="20"/>
                <w:szCs w:val="20"/>
                <w:color w:val="auto"/>
              </w:rPr>
            </w:pPr>
            <w:r>
              <w:rPr>
                <w:rFonts w:ascii="Calibri" w:cs="Calibri" w:eastAsia="Calibri" w:hAnsi="Calibri"/>
                <w:sz w:val="14"/>
                <w:szCs w:val="14"/>
                <w:color w:val="auto"/>
              </w:rPr>
              <w:t>126.53</w:t>
            </w:r>
          </w:p>
        </w:tc>
        <w:tc>
          <w:tcPr>
            <w:tcW w:w="940" w:type="dxa"/>
            <w:vAlign w:val="bottom"/>
            <w:tcBorders>
              <w:top w:val="single" w:sz="8" w:color="AF0000"/>
              <w:bottom w:val="single" w:sz="8" w:color="A6A6A6"/>
            </w:tcBorders>
          </w:tcPr>
          <w:p>
            <w:pPr>
              <w:jc w:val="right"/>
              <w:ind w:right="188"/>
              <w:spacing w:after="0"/>
              <w:rPr>
                <w:sz w:val="20"/>
                <w:szCs w:val="20"/>
                <w:color w:val="auto"/>
              </w:rPr>
            </w:pPr>
            <w:r>
              <w:rPr>
                <w:rFonts w:ascii="Calibri" w:cs="Calibri" w:eastAsia="Calibri" w:hAnsi="Calibri"/>
                <w:sz w:val="14"/>
                <w:szCs w:val="14"/>
                <w:color w:val="auto"/>
              </w:rPr>
              <w:t>94,411</w:t>
            </w:r>
          </w:p>
        </w:tc>
        <w:tc>
          <w:tcPr>
            <w:tcW w:w="800" w:type="dxa"/>
            <w:vAlign w:val="bottom"/>
            <w:tcBorders>
              <w:top w:val="single" w:sz="8" w:color="AF0000"/>
              <w:bottom w:val="single" w:sz="8" w:color="A6A6A6"/>
            </w:tcBorders>
          </w:tcPr>
          <w:p>
            <w:pPr>
              <w:jc w:val="right"/>
              <w:ind w:right="128"/>
              <w:spacing w:after="0"/>
              <w:rPr>
                <w:sz w:val="20"/>
                <w:szCs w:val="20"/>
                <w:color w:val="auto"/>
              </w:rPr>
            </w:pPr>
            <w:r>
              <w:rPr>
                <w:rFonts w:ascii="Calibri" w:cs="Calibri" w:eastAsia="Calibri" w:hAnsi="Calibri"/>
                <w:sz w:val="14"/>
                <w:szCs w:val="14"/>
                <w:color w:val="auto"/>
              </w:rPr>
              <w:t>18.2%</w:t>
            </w:r>
          </w:p>
        </w:tc>
      </w:tr>
      <w:tr>
        <w:trPr>
          <w:trHeight w:val="183"/>
        </w:trPr>
        <w:tc>
          <w:tcPr>
            <w:tcW w:w="740" w:type="dxa"/>
            <w:vAlign w:val="bottom"/>
            <w:tcBorders>
              <w:bottom w:val="single" w:sz="8" w:color="A6A6A6"/>
            </w:tcBorders>
          </w:tcPr>
          <w:p>
            <w:pPr>
              <w:jc w:val="right"/>
              <w:ind w:right="148"/>
              <w:spacing w:after="0"/>
              <w:rPr>
                <w:sz w:val="20"/>
                <w:szCs w:val="20"/>
                <w:color w:val="auto"/>
              </w:rPr>
            </w:pPr>
            <w:r>
              <w:rPr>
                <w:rFonts w:ascii="Calibri" w:cs="Calibri" w:eastAsia="Calibri" w:hAnsi="Calibri"/>
                <w:sz w:val="14"/>
                <w:szCs w:val="14"/>
                <w:color w:val="auto"/>
              </w:rPr>
              <w:t>2022</w:t>
            </w:r>
          </w:p>
        </w:tc>
        <w:tc>
          <w:tcPr>
            <w:tcW w:w="1000" w:type="dxa"/>
            <w:vAlign w:val="bottom"/>
            <w:tcBorders>
              <w:bottom w:val="single" w:sz="8" w:color="A6A6A6"/>
            </w:tcBorders>
          </w:tcPr>
          <w:p>
            <w:pPr>
              <w:jc w:val="right"/>
              <w:ind w:right="68"/>
              <w:spacing w:after="0"/>
              <w:rPr>
                <w:sz w:val="20"/>
                <w:szCs w:val="20"/>
                <w:color w:val="auto"/>
              </w:rPr>
            </w:pPr>
            <w:r>
              <w:rPr>
                <w:rFonts w:ascii="Calibri" w:cs="Calibri" w:eastAsia="Calibri" w:hAnsi="Calibri"/>
                <w:sz w:val="14"/>
                <w:szCs w:val="14"/>
                <w:color w:val="auto"/>
              </w:rPr>
              <w:t>8,128,833</w:t>
            </w:r>
          </w:p>
        </w:tc>
        <w:tc>
          <w:tcPr>
            <w:tcW w:w="1020" w:type="dxa"/>
            <w:vAlign w:val="bottom"/>
            <w:tcBorders>
              <w:bottom w:val="single" w:sz="8" w:color="A6A6A6"/>
            </w:tcBorders>
          </w:tcPr>
          <w:p>
            <w:pPr>
              <w:jc w:val="right"/>
              <w:ind w:right="148"/>
              <w:spacing w:after="0"/>
              <w:rPr>
                <w:sz w:val="20"/>
                <w:szCs w:val="20"/>
                <w:color w:val="auto"/>
              </w:rPr>
            </w:pPr>
            <w:r>
              <w:rPr>
                <w:rFonts w:ascii="Calibri" w:cs="Calibri" w:eastAsia="Calibri" w:hAnsi="Calibri"/>
                <w:sz w:val="14"/>
                <w:szCs w:val="14"/>
                <w:color w:val="auto"/>
              </w:rPr>
              <w:t>12,087,645</w:t>
            </w:r>
          </w:p>
        </w:tc>
        <w:tc>
          <w:tcPr>
            <w:tcW w:w="1080" w:type="dxa"/>
            <w:vAlign w:val="bottom"/>
            <w:tcBorders>
              <w:bottom w:val="single" w:sz="8" w:color="A6A6A6"/>
            </w:tcBorders>
          </w:tcPr>
          <w:p>
            <w:pPr>
              <w:jc w:val="right"/>
              <w:ind w:right="208"/>
              <w:spacing w:after="0"/>
              <w:rPr>
                <w:sz w:val="20"/>
                <w:szCs w:val="20"/>
                <w:color w:val="auto"/>
              </w:rPr>
            </w:pPr>
            <w:r>
              <w:rPr>
                <w:rFonts w:ascii="Calibri" w:cs="Calibri" w:eastAsia="Calibri" w:hAnsi="Calibri"/>
                <w:sz w:val="14"/>
                <w:szCs w:val="14"/>
                <w:color w:val="auto"/>
              </w:rPr>
              <w:t>2,091,141</w:t>
            </w:r>
          </w:p>
        </w:tc>
        <w:tc>
          <w:tcPr>
            <w:tcW w:w="1060" w:type="dxa"/>
            <w:vAlign w:val="bottom"/>
            <w:tcBorders>
              <w:bottom w:val="single" w:sz="8" w:color="A6A6A6"/>
            </w:tcBorders>
          </w:tcPr>
          <w:p>
            <w:pPr>
              <w:jc w:val="right"/>
              <w:ind w:right="148"/>
              <w:spacing w:after="0"/>
              <w:rPr>
                <w:sz w:val="20"/>
                <w:szCs w:val="20"/>
                <w:color w:val="auto"/>
              </w:rPr>
            </w:pPr>
            <w:r>
              <w:rPr>
                <w:rFonts w:ascii="Calibri" w:cs="Calibri" w:eastAsia="Calibri" w:hAnsi="Calibri"/>
                <w:sz w:val="14"/>
                <w:szCs w:val="14"/>
                <w:color w:val="auto"/>
              </w:rPr>
              <w:t>2,009,224</w:t>
            </w:r>
          </w:p>
        </w:tc>
        <w:tc>
          <w:tcPr>
            <w:tcW w:w="960" w:type="dxa"/>
            <w:vAlign w:val="bottom"/>
            <w:tcBorders>
              <w:bottom w:val="single" w:sz="8" w:color="A6A6A6"/>
            </w:tcBorders>
          </w:tcPr>
          <w:p>
            <w:pPr>
              <w:jc w:val="right"/>
              <w:ind w:right="248"/>
              <w:spacing w:after="0"/>
              <w:rPr>
                <w:sz w:val="20"/>
                <w:szCs w:val="20"/>
                <w:color w:val="auto"/>
              </w:rPr>
            </w:pPr>
            <w:r>
              <w:rPr>
                <w:rFonts w:ascii="Calibri" w:cs="Calibri" w:eastAsia="Calibri" w:hAnsi="Calibri"/>
                <w:sz w:val="14"/>
                <w:szCs w:val="14"/>
                <w:color w:val="auto"/>
              </w:rPr>
              <w:t>226.12</w:t>
            </w:r>
          </w:p>
        </w:tc>
        <w:tc>
          <w:tcPr>
            <w:tcW w:w="980" w:type="dxa"/>
            <w:vAlign w:val="bottom"/>
            <w:tcBorders>
              <w:bottom w:val="single" w:sz="8" w:color="A6A6A6"/>
            </w:tcBorders>
          </w:tcPr>
          <w:p>
            <w:pPr>
              <w:jc w:val="right"/>
              <w:ind w:right="168"/>
              <w:spacing w:after="0"/>
              <w:rPr>
                <w:sz w:val="20"/>
                <w:szCs w:val="20"/>
                <w:color w:val="auto"/>
              </w:rPr>
            </w:pPr>
            <w:r>
              <w:rPr>
                <w:rFonts w:ascii="Calibri" w:cs="Calibri" w:eastAsia="Calibri" w:hAnsi="Calibri"/>
                <w:sz w:val="14"/>
                <w:szCs w:val="14"/>
                <w:color w:val="auto"/>
              </w:rPr>
              <w:t>121.20</w:t>
            </w:r>
          </w:p>
        </w:tc>
        <w:tc>
          <w:tcPr>
            <w:tcW w:w="940" w:type="dxa"/>
            <w:vAlign w:val="bottom"/>
            <w:tcBorders>
              <w:bottom w:val="single" w:sz="8" w:color="A6A6A6"/>
            </w:tcBorders>
          </w:tcPr>
          <w:p>
            <w:pPr>
              <w:jc w:val="right"/>
              <w:ind w:right="188"/>
              <w:spacing w:after="0"/>
              <w:rPr>
                <w:sz w:val="20"/>
                <w:szCs w:val="20"/>
                <w:color w:val="auto"/>
              </w:rPr>
            </w:pPr>
            <w:r>
              <w:rPr>
                <w:rFonts w:ascii="Calibri" w:cs="Calibri" w:eastAsia="Calibri" w:hAnsi="Calibri"/>
                <w:sz w:val="14"/>
                <w:szCs w:val="14"/>
                <w:color w:val="auto"/>
              </w:rPr>
              <w:t>74,516</w:t>
            </w:r>
          </w:p>
        </w:tc>
        <w:tc>
          <w:tcPr>
            <w:tcW w:w="800" w:type="dxa"/>
            <w:vAlign w:val="bottom"/>
            <w:tcBorders>
              <w:bottom w:val="single" w:sz="8" w:color="A6A6A6"/>
            </w:tcBorders>
          </w:tcPr>
          <w:p>
            <w:pPr>
              <w:jc w:val="right"/>
              <w:ind w:right="128"/>
              <w:spacing w:after="0"/>
              <w:rPr>
                <w:sz w:val="20"/>
                <w:szCs w:val="20"/>
                <w:color w:val="auto"/>
              </w:rPr>
            </w:pPr>
            <w:r>
              <w:rPr>
                <w:rFonts w:ascii="Calibri" w:cs="Calibri" w:eastAsia="Calibri" w:hAnsi="Calibri"/>
                <w:sz w:val="14"/>
                <w:szCs w:val="14"/>
                <w:color w:val="auto"/>
              </w:rPr>
              <w:t>17.0%</w:t>
            </w:r>
          </w:p>
        </w:tc>
      </w:tr>
      <w:tr>
        <w:trPr>
          <w:trHeight w:val="183"/>
        </w:trPr>
        <w:tc>
          <w:tcPr>
            <w:tcW w:w="740" w:type="dxa"/>
            <w:vAlign w:val="bottom"/>
            <w:tcBorders>
              <w:bottom w:val="single" w:sz="8" w:color="A6A6A6"/>
            </w:tcBorders>
          </w:tcPr>
          <w:p>
            <w:pPr>
              <w:jc w:val="right"/>
              <w:ind w:right="148"/>
              <w:spacing w:after="0"/>
              <w:rPr>
                <w:sz w:val="20"/>
                <w:szCs w:val="20"/>
                <w:color w:val="auto"/>
              </w:rPr>
            </w:pPr>
            <w:r>
              <w:rPr>
                <w:rFonts w:ascii="Calibri" w:cs="Calibri" w:eastAsia="Calibri" w:hAnsi="Calibri"/>
                <w:sz w:val="14"/>
                <w:szCs w:val="14"/>
                <w:color w:val="auto"/>
              </w:rPr>
              <w:t>2021</w:t>
            </w:r>
          </w:p>
        </w:tc>
        <w:tc>
          <w:tcPr>
            <w:tcW w:w="1000" w:type="dxa"/>
            <w:vAlign w:val="bottom"/>
            <w:tcBorders>
              <w:bottom w:val="single" w:sz="8" w:color="A6A6A6"/>
            </w:tcBorders>
          </w:tcPr>
          <w:p>
            <w:pPr>
              <w:jc w:val="right"/>
              <w:ind w:right="68"/>
              <w:spacing w:after="0"/>
              <w:rPr>
                <w:sz w:val="20"/>
                <w:szCs w:val="20"/>
                <w:color w:val="auto"/>
              </w:rPr>
            </w:pPr>
            <w:r>
              <w:rPr>
                <w:rFonts w:ascii="Calibri" w:cs="Calibri" w:eastAsia="Calibri" w:hAnsi="Calibri"/>
                <w:sz w:val="14"/>
                <w:szCs w:val="14"/>
                <w:color w:val="auto"/>
              </w:rPr>
              <w:t>7,537,100</w:t>
            </w:r>
          </w:p>
        </w:tc>
        <w:tc>
          <w:tcPr>
            <w:tcW w:w="1020" w:type="dxa"/>
            <w:vAlign w:val="bottom"/>
            <w:tcBorders>
              <w:bottom w:val="single" w:sz="8" w:color="A6A6A6"/>
            </w:tcBorders>
          </w:tcPr>
          <w:p>
            <w:pPr>
              <w:jc w:val="right"/>
              <w:ind w:right="148"/>
              <w:spacing w:after="0"/>
              <w:rPr>
                <w:sz w:val="20"/>
                <w:szCs w:val="20"/>
                <w:color w:val="auto"/>
              </w:rPr>
            </w:pPr>
            <w:r>
              <w:rPr>
                <w:rFonts w:ascii="Calibri" w:cs="Calibri" w:eastAsia="Calibri" w:hAnsi="Calibri"/>
                <w:sz w:val="14"/>
                <w:szCs w:val="14"/>
                <w:color w:val="auto"/>
              </w:rPr>
              <w:t>10,691,399</w:t>
            </w:r>
          </w:p>
        </w:tc>
        <w:tc>
          <w:tcPr>
            <w:tcW w:w="1080" w:type="dxa"/>
            <w:vAlign w:val="bottom"/>
            <w:tcBorders>
              <w:bottom w:val="single" w:sz="8" w:color="A6A6A6"/>
            </w:tcBorders>
          </w:tcPr>
          <w:p>
            <w:pPr>
              <w:jc w:val="right"/>
              <w:ind w:right="208"/>
              <w:spacing w:after="0"/>
              <w:rPr>
                <w:sz w:val="20"/>
                <w:szCs w:val="20"/>
                <w:color w:val="auto"/>
              </w:rPr>
            </w:pPr>
            <w:r>
              <w:rPr>
                <w:rFonts w:ascii="Calibri" w:cs="Calibri" w:eastAsia="Calibri" w:hAnsi="Calibri"/>
                <w:sz w:val="14"/>
                <w:szCs w:val="14"/>
                <w:color w:val="auto"/>
              </w:rPr>
              <w:t>1,678,125</w:t>
            </w:r>
          </w:p>
        </w:tc>
        <w:tc>
          <w:tcPr>
            <w:tcW w:w="1060" w:type="dxa"/>
            <w:vAlign w:val="bottom"/>
            <w:tcBorders>
              <w:bottom w:val="single" w:sz="8" w:color="A6A6A6"/>
            </w:tcBorders>
          </w:tcPr>
          <w:p>
            <w:pPr>
              <w:jc w:val="right"/>
              <w:ind w:right="148"/>
              <w:spacing w:after="0"/>
              <w:rPr>
                <w:sz w:val="20"/>
                <w:szCs w:val="20"/>
                <w:color w:val="auto"/>
              </w:rPr>
            </w:pPr>
            <w:r>
              <w:rPr>
                <w:rFonts w:ascii="Calibri" w:cs="Calibri" w:eastAsia="Calibri" w:hAnsi="Calibri"/>
                <w:sz w:val="14"/>
                <w:szCs w:val="14"/>
                <w:color w:val="auto"/>
              </w:rPr>
              <w:t>2,266,274</w:t>
            </w:r>
          </w:p>
        </w:tc>
        <w:tc>
          <w:tcPr>
            <w:tcW w:w="960" w:type="dxa"/>
            <w:vAlign w:val="bottom"/>
            <w:tcBorders>
              <w:bottom w:val="single" w:sz="8" w:color="A6A6A6"/>
            </w:tcBorders>
          </w:tcPr>
          <w:p>
            <w:pPr>
              <w:jc w:val="right"/>
              <w:ind w:right="248"/>
              <w:spacing w:after="0"/>
              <w:rPr>
                <w:sz w:val="20"/>
                <w:szCs w:val="20"/>
                <w:color w:val="auto"/>
              </w:rPr>
            </w:pPr>
            <w:r>
              <w:rPr>
                <w:rFonts w:ascii="Calibri" w:cs="Calibri" w:eastAsia="Calibri" w:hAnsi="Calibri"/>
                <w:sz w:val="14"/>
                <w:szCs w:val="14"/>
                <w:color w:val="auto"/>
              </w:rPr>
              <w:t>199.50</w:t>
            </w:r>
          </w:p>
        </w:tc>
        <w:tc>
          <w:tcPr>
            <w:tcW w:w="980" w:type="dxa"/>
            <w:vAlign w:val="bottom"/>
            <w:tcBorders>
              <w:bottom w:val="single" w:sz="8" w:color="A6A6A6"/>
            </w:tcBorders>
          </w:tcPr>
          <w:p>
            <w:pPr>
              <w:jc w:val="right"/>
              <w:ind w:right="168"/>
              <w:spacing w:after="0"/>
              <w:rPr>
                <w:sz w:val="20"/>
                <w:szCs w:val="20"/>
                <w:color w:val="auto"/>
              </w:rPr>
            </w:pPr>
            <w:r>
              <w:rPr>
                <w:rFonts w:ascii="Calibri" w:cs="Calibri" w:eastAsia="Calibri" w:hAnsi="Calibri"/>
                <w:sz w:val="14"/>
                <w:szCs w:val="14"/>
                <w:color w:val="auto"/>
              </w:rPr>
              <w:t>169.94</w:t>
            </w:r>
          </w:p>
        </w:tc>
        <w:tc>
          <w:tcPr>
            <w:tcW w:w="940" w:type="dxa"/>
            <w:vAlign w:val="bottom"/>
            <w:tcBorders>
              <w:bottom w:val="single" w:sz="8" w:color="A6A6A6"/>
            </w:tcBorders>
          </w:tcPr>
          <w:p>
            <w:pPr>
              <w:jc w:val="right"/>
              <w:ind w:right="188"/>
              <w:spacing w:after="0"/>
              <w:rPr>
                <w:sz w:val="20"/>
                <w:szCs w:val="20"/>
                <w:color w:val="auto"/>
              </w:rPr>
            </w:pPr>
            <w:r>
              <w:rPr>
                <w:rFonts w:ascii="Calibri" w:cs="Calibri" w:eastAsia="Calibri" w:hAnsi="Calibri"/>
                <w:sz w:val="14"/>
                <w:szCs w:val="14"/>
                <w:color w:val="auto"/>
              </w:rPr>
              <w:t>48,454</w:t>
            </w:r>
          </w:p>
        </w:tc>
        <w:tc>
          <w:tcPr>
            <w:tcW w:w="800" w:type="dxa"/>
            <w:vAlign w:val="bottom"/>
            <w:tcBorders>
              <w:bottom w:val="single" w:sz="8" w:color="A6A6A6"/>
            </w:tcBorders>
          </w:tcPr>
          <w:p>
            <w:pPr>
              <w:jc w:val="right"/>
              <w:ind w:right="128"/>
              <w:spacing w:after="0"/>
              <w:rPr>
                <w:sz w:val="20"/>
                <w:szCs w:val="20"/>
                <w:color w:val="auto"/>
              </w:rPr>
            </w:pPr>
            <w:r>
              <w:rPr>
                <w:rFonts w:ascii="Calibri" w:cs="Calibri" w:eastAsia="Calibri" w:hAnsi="Calibri"/>
                <w:sz w:val="14"/>
                <w:szCs w:val="14"/>
                <w:color w:val="auto"/>
              </w:rPr>
              <w:t>16.0%</w:t>
            </w:r>
          </w:p>
        </w:tc>
      </w:tr>
      <w:tr>
        <w:trPr>
          <w:trHeight w:val="196"/>
        </w:trPr>
        <w:tc>
          <w:tcPr>
            <w:tcW w:w="740" w:type="dxa"/>
            <w:vAlign w:val="bottom"/>
            <w:tcBorders>
              <w:bottom w:val="single" w:sz="8" w:color="AF0000"/>
            </w:tcBorders>
          </w:tcPr>
          <w:p>
            <w:pPr>
              <w:jc w:val="right"/>
              <w:ind w:right="148"/>
              <w:spacing w:after="0"/>
              <w:rPr>
                <w:sz w:val="20"/>
                <w:szCs w:val="20"/>
                <w:color w:val="auto"/>
              </w:rPr>
            </w:pPr>
            <w:r>
              <w:rPr>
                <w:rFonts w:ascii="Calibri" w:cs="Calibri" w:eastAsia="Calibri" w:hAnsi="Calibri"/>
                <w:sz w:val="14"/>
                <w:szCs w:val="14"/>
                <w:color w:val="auto"/>
              </w:rPr>
              <w:t>2020</w:t>
            </w:r>
          </w:p>
        </w:tc>
        <w:tc>
          <w:tcPr>
            <w:tcW w:w="1000" w:type="dxa"/>
            <w:vAlign w:val="bottom"/>
            <w:tcBorders>
              <w:bottom w:val="single" w:sz="8" w:color="AF0000"/>
            </w:tcBorders>
          </w:tcPr>
          <w:p>
            <w:pPr>
              <w:jc w:val="right"/>
              <w:ind w:right="68"/>
              <w:spacing w:after="0"/>
              <w:rPr>
                <w:sz w:val="20"/>
                <w:szCs w:val="20"/>
                <w:color w:val="auto"/>
              </w:rPr>
            </w:pPr>
            <w:r>
              <w:rPr>
                <w:rFonts w:ascii="Calibri" w:cs="Calibri" w:eastAsia="Calibri" w:hAnsi="Calibri"/>
                <w:sz w:val="14"/>
                <w:szCs w:val="14"/>
                <w:color w:val="auto"/>
              </w:rPr>
              <w:t>7,703,508</w:t>
            </w:r>
          </w:p>
        </w:tc>
        <w:tc>
          <w:tcPr>
            <w:tcW w:w="1020" w:type="dxa"/>
            <w:vAlign w:val="bottom"/>
            <w:tcBorders>
              <w:bottom w:val="single" w:sz="8" w:color="AF0000"/>
            </w:tcBorders>
          </w:tcPr>
          <w:p>
            <w:pPr>
              <w:jc w:val="right"/>
              <w:ind w:right="148"/>
              <w:spacing w:after="0"/>
              <w:rPr>
                <w:sz w:val="20"/>
                <w:szCs w:val="20"/>
                <w:color w:val="auto"/>
              </w:rPr>
            </w:pPr>
            <w:r>
              <w:rPr>
                <w:rFonts w:ascii="Calibri" w:cs="Calibri" w:eastAsia="Calibri" w:hAnsi="Calibri"/>
                <w:sz w:val="14"/>
                <w:szCs w:val="14"/>
                <w:color w:val="auto"/>
              </w:rPr>
              <w:t>12,603,991</w:t>
            </w:r>
          </w:p>
        </w:tc>
        <w:tc>
          <w:tcPr>
            <w:tcW w:w="1080" w:type="dxa"/>
            <w:vAlign w:val="bottom"/>
            <w:tcBorders>
              <w:bottom w:val="single" w:sz="8" w:color="AF0000"/>
            </w:tcBorders>
          </w:tcPr>
          <w:p>
            <w:pPr>
              <w:jc w:val="right"/>
              <w:ind w:right="208"/>
              <w:spacing w:after="0"/>
              <w:rPr>
                <w:sz w:val="20"/>
                <w:szCs w:val="20"/>
                <w:color w:val="auto"/>
              </w:rPr>
            </w:pPr>
            <w:r>
              <w:rPr>
                <w:rFonts w:ascii="Calibri" w:cs="Calibri" w:eastAsia="Calibri" w:hAnsi="Calibri"/>
                <w:sz w:val="14"/>
                <w:szCs w:val="14"/>
                <w:color w:val="auto"/>
              </w:rPr>
              <w:t>1,722,505</w:t>
            </w:r>
          </w:p>
        </w:tc>
        <w:tc>
          <w:tcPr>
            <w:tcW w:w="1060" w:type="dxa"/>
            <w:vAlign w:val="bottom"/>
            <w:tcBorders>
              <w:bottom w:val="single" w:sz="8" w:color="AF0000"/>
            </w:tcBorders>
          </w:tcPr>
          <w:p>
            <w:pPr>
              <w:jc w:val="right"/>
              <w:ind w:right="148"/>
              <w:spacing w:after="0"/>
              <w:rPr>
                <w:sz w:val="20"/>
                <w:szCs w:val="20"/>
                <w:color w:val="auto"/>
              </w:rPr>
            </w:pPr>
            <w:r>
              <w:rPr>
                <w:rFonts w:ascii="Calibri" w:cs="Calibri" w:eastAsia="Calibri" w:hAnsi="Calibri"/>
                <w:sz w:val="14"/>
                <w:szCs w:val="14"/>
                <w:color w:val="auto"/>
              </w:rPr>
              <w:t>2,903,044</w:t>
            </w:r>
          </w:p>
        </w:tc>
        <w:tc>
          <w:tcPr>
            <w:tcW w:w="960" w:type="dxa"/>
            <w:vAlign w:val="bottom"/>
            <w:tcBorders>
              <w:bottom w:val="single" w:sz="8" w:color="AF0000"/>
            </w:tcBorders>
          </w:tcPr>
          <w:p>
            <w:pPr>
              <w:jc w:val="right"/>
              <w:ind w:right="248"/>
              <w:spacing w:after="0"/>
              <w:rPr>
                <w:sz w:val="20"/>
                <w:szCs w:val="20"/>
                <w:color w:val="auto"/>
              </w:rPr>
            </w:pPr>
            <w:r>
              <w:rPr>
                <w:rFonts w:ascii="Calibri" w:cs="Calibri" w:eastAsia="Calibri" w:hAnsi="Calibri"/>
                <w:sz w:val="14"/>
                <w:szCs w:val="14"/>
                <w:color w:val="auto"/>
              </w:rPr>
              <w:t>177.78</w:t>
            </w:r>
          </w:p>
        </w:tc>
        <w:tc>
          <w:tcPr>
            <w:tcW w:w="980" w:type="dxa"/>
            <w:vAlign w:val="bottom"/>
            <w:tcBorders>
              <w:bottom w:val="single" w:sz="8" w:color="AF0000"/>
            </w:tcBorders>
          </w:tcPr>
          <w:p>
            <w:pPr>
              <w:jc w:val="right"/>
              <w:ind w:right="168"/>
              <w:spacing w:after="0"/>
              <w:rPr>
                <w:sz w:val="20"/>
                <w:szCs w:val="20"/>
                <w:color w:val="auto"/>
              </w:rPr>
            </w:pPr>
            <w:r>
              <w:rPr>
                <w:rFonts w:ascii="Calibri" w:cs="Calibri" w:eastAsia="Calibri" w:hAnsi="Calibri"/>
                <w:sz w:val="14"/>
                <w:szCs w:val="14"/>
                <w:color w:val="auto"/>
              </w:rPr>
              <w:t>148.06</w:t>
            </w:r>
          </w:p>
        </w:tc>
        <w:tc>
          <w:tcPr>
            <w:tcW w:w="940" w:type="dxa"/>
            <w:vAlign w:val="bottom"/>
            <w:tcBorders>
              <w:bottom w:val="single" w:sz="8" w:color="AF0000"/>
            </w:tcBorders>
          </w:tcPr>
          <w:p>
            <w:pPr>
              <w:jc w:val="right"/>
              <w:ind w:right="188"/>
              <w:spacing w:after="0"/>
              <w:rPr>
                <w:sz w:val="20"/>
                <w:szCs w:val="20"/>
                <w:color w:val="auto"/>
              </w:rPr>
            </w:pPr>
            <w:r>
              <w:rPr>
                <w:rFonts w:ascii="Calibri" w:cs="Calibri" w:eastAsia="Calibri" w:hAnsi="Calibri"/>
                <w:sz w:val="14"/>
                <w:szCs w:val="14"/>
                <w:color w:val="auto"/>
              </w:rPr>
              <w:t>(9,843)</w:t>
            </w:r>
          </w:p>
        </w:tc>
        <w:tc>
          <w:tcPr>
            <w:tcW w:w="800" w:type="dxa"/>
            <w:vAlign w:val="bottom"/>
            <w:tcBorders>
              <w:bottom w:val="single" w:sz="8" w:color="AF0000"/>
            </w:tcBorders>
          </w:tcPr>
          <w:p>
            <w:pPr>
              <w:jc w:val="right"/>
              <w:ind w:right="128"/>
              <w:spacing w:after="0"/>
              <w:rPr>
                <w:sz w:val="20"/>
                <w:szCs w:val="20"/>
                <w:color w:val="auto"/>
              </w:rPr>
            </w:pPr>
            <w:r>
              <w:rPr>
                <w:rFonts w:ascii="Calibri" w:cs="Calibri" w:eastAsia="Calibri" w:hAnsi="Calibri"/>
                <w:sz w:val="14"/>
                <w:szCs w:val="14"/>
                <w:color w:val="auto"/>
              </w:rPr>
              <w:t>13.7%</w:t>
            </w:r>
          </w:p>
        </w:tc>
      </w:tr>
    </w:tbl>
    <w:p>
      <w:pPr>
        <w:spacing w:after="0" w:line="88" w:lineRule="exact"/>
        <w:rPr>
          <w:sz w:val="20"/>
          <w:szCs w:val="20"/>
          <w:color w:val="auto"/>
        </w:rPr>
      </w:pPr>
    </w:p>
    <w:p>
      <w:pPr>
        <w:ind w:left="540" w:hanging="331"/>
        <w:spacing w:after="0"/>
        <w:tabs>
          <w:tab w:leader="none" w:pos="540" w:val="left"/>
        </w:tabs>
        <w:numPr>
          <w:ilvl w:val="0"/>
          <w:numId w:val="99"/>
        </w:numPr>
        <w:rPr>
          <w:rFonts w:ascii="Calibri" w:cs="Calibri" w:eastAsia="Calibri" w:hAnsi="Calibri"/>
          <w:sz w:val="16"/>
          <w:szCs w:val="16"/>
          <w:color w:val="AF0000"/>
        </w:rPr>
      </w:pPr>
      <w:r>
        <w:rPr>
          <w:rFonts w:ascii="Calibri" w:cs="Calibri" w:eastAsia="Calibri" w:hAnsi="Calibri"/>
          <w:sz w:val="16"/>
          <w:szCs w:val="16"/>
          <w:color w:val="auto"/>
        </w:rPr>
        <w:t>Fred P. Lampropoulos was the PEO for all four years in the table.</w:t>
      </w:r>
    </w:p>
    <w:p>
      <w:pPr>
        <w:ind w:left="540" w:right="319" w:hanging="331"/>
        <w:spacing w:after="0" w:line="232" w:lineRule="auto"/>
        <w:tabs>
          <w:tab w:leader="none" w:pos="540" w:val="left"/>
        </w:tabs>
        <w:numPr>
          <w:ilvl w:val="0"/>
          <w:numId w:val="99"/>
        </w:numPr>
        <w:rPr>
          <w:rFonts w:ascii="Calibri" w:cs="Calibri" w:eastAsia="Calibri" w:hAnsi="Calibri"/>
          <w:sz w:val="16"/>
          <w:szCs w:val="16"/>
          <w:color w:val="AF0000"/>
        </w:rPr>
      </w:pPr>
      <w:r>
        <w:rPr>
          <w:rFonts w:ascii="Calibri" w:cs="Calibri" w:eastAsia="Calibri" w:hAnsi="Calibri"/>
          <w:sz w:val="16"/>
          <w:szCs w:val="16"/>
          <w:color w:val="auto"/>
        </w:rPr>
        <w:t>SEC rules require certain adjustments be made to the Summary Compensaton Table totals to determine “compensaton actually paid” as reported in the Pay versus Performance Table. “Compensaton actually paid” does not necessarily represent cash and/or equity value transferred to the applicable NEO without restricton, but rather is a value calculated under the applicable SEC rules. The following table details these adjustments:</w:t>
      </w:r>
    </w:p>
    <w:p>
      <w:pPr>
        <w:spacing w:after="0" w:line="14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Calibri" w:cs="Calibri" w:eastAsia="Calibri" w:hAnsi="Calibri"/>
                <w:sz w:val="14"/>
                <w:szCs w:val="14"/>
                <w:b w:val="1"/>
                <w:bCs w:val="1"/>
                <w:color w:val="auto"/>
              </w:rPr>
              <w:t>Subtract Value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Add Change</w:t>
            </w:r>
          </w:p>
        </w:tc>
        <w:tc>
          <w:tcPr>
            <w:tcW w:w="1020" w:type="dxa"/>
            <w:vAlign w:val="bottom"/>
          </w:tcPr>
          <w:p>
            <w:pPr>
              <w:jc w:val="center"/>
              <w:ind w:right="8"/>
              <w:spacing w:after="0"/>
              <w:rPr>
                <w:sz w:val="20"/>
                <w:szCs w:val="20"/>
                <w:color w:val="auto"/>
              </w:rPr>
            </w:pPr>
            <w:r>
              <w:rPr>
                <w:rFonts w:ascii="Calibri" w:cs="Calibri" w:eastAsia="Calibri" w:hAnsi="Calibri"/>
                <w:sz w:val="14"/>
                <w:szCs w:val="14"/>
                <w:b w:val="1"/>
                <w:bCs w:val="1"/>
                <w:color w:val="auto"/>
              </w:rPr>
              <w:t>of Equity</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20" w:type="dxa"/>
            <w:vAlign w:val="bottom"/>
          </w:tcPr>
          <w:p>
            <w:pPr>
              <w:jc w:val="center"/>
              <w:ind w:right="8"/>
              <w:spacing w:after="0" w:line="168" w:lineRule="exact"/>
              <w:rPr>
                <w:sz w:val="20"/>
                <w:szCs w:val="20"/>
                <w:color w:val="auto"/>
              </w:rPr>
            </w:pPr>
            <w:r>
              <w:rPr>
                <w:rFonts w:ascii="Calibri" w:cs="Calibri" w:eastAsia="Calibri" w:hAnsi="Calibri"/>
                <w:sz w:val="14"/>
                <w:szCs w:val="14"/>
                <w:b w:val="1"/>
                <w:bCs w:val="1"/>
                <w:color w:val="auto"/>
              </w:rPr>
              <w:t>Awards that</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center"/>
              <w:ind w:left="68"/>
              <w:spacing w:after="0"/>
              <w:rPr>
                <w:sz w:val="20"/>
                <w:szCs w:val="20"/>
                <w:color w:val="auto"/>
              </w:rPr>
            </w:pPr>
            <w:r>
              <w:rPr>
                <w:rFonts w:ascii="Calibri" w:cs="Calibri" w:eastAsia="Calibri" w:hAnsi="Calibri"/>
                <w:sz w:val="14"/>
                <w:szCs w:val="14"/>
                <w:b w:val="1"/>
                <w:bCs w:val="1"/>
                <w:color w:val="auto"/>
              </w:rPr>
              <w:t>Summary</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alibri" w:cs="Calibri" w:eastAsia="Calibri" w:hAnsi="Calibri"/>
                <w:sz w:val="14"/>
                <w:szCs w:val="14"/>
                <w:b w:val="1"/>
                <w:bCs w:val="1"/>
                <w:color w:val="auto"/>
              </w:rPr>
              <w:t>Change in</w:t>
            </w:r>
          </w:p>
        </w:tc>
        <w:tc>
          <w:tcPr>
            <w:tcW w:w="82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in Value of</w:t>
            </w:r>
          </w:p>
        </w:tc>
        <w:tc>
          <w:tcPr>
            <w:tcW w:w="1020" w:type="dxa"/>
            <w:vAlign w:val="bottom"/>
          </w:tcPr>
          <w:p>
            <w:pPr>
              <w:jc w:val="center"/>
              <w:ind w:right="8"/>
              <w:spacing w:after="0"/>
              <w:rPr>
                <w:sz w:val="20"/>
                <w:szCs w:val="20"/>
                <w:color w:val="auto"/>
              </w:rPr>
            </w:pPr>
            <w:r>
              <w:rPr>
                <w:rFonts w:ascii="Calibri" w:cs="Calibri" w:eastAsia="Calibri" w:hAnsi="Calibri"/>
                <w:sz w:val="14"/>
                <w:szCs w:val="14"/>
                <w:b w:val="1"/>
                <w:bCs w:val="1"/>
                <w:color w:val="auto"/>
              </w:rPr>
              <w:t>Failed to Meet</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center"/>
              <w:ind w:left="68"/>
              <w:spacing w:after="0" w:line="168" w:lineRule="exact"/>
              <w:rPr>
                <w:sz w:val="20"/>
                <w:szCs w:val="20"/>
                <w:color w:val="auto"/>
              </w:rPr>
            </w:pPr>
            <w:r>
              <w:rPr>
                <w:rFonts w:ascii="Calibri" w:cs="Calibri" w:eastAsia="Calibri" w:hAnsi="Calibri"/>
                <w:sz w:val="14"/>
                <w:szCs w:val="14"/>
                <w:b w:val="1"/>
                <w:bCs w:val="1"/>
                <w:color w:val="auto"/>
              </w:rPr>
              <w:t>Compensaton</w:t>
            </w:r>
          </w:p>
        </w:tc>
        <w:tc>
          <w:tcPr>
            <w:tcW w:w="3540" w:type="dxa"/>
            <w:vAlign w:val="bottom"/>
            <w:gridSpan w:val="4"/>
          </w:tcPr>
          <w:p>
            <w:pPr>
              <w:jc w:val="right"/>
              <w:spacing w:after="0" w:line="168" w:lineRule="exact"/>
              <w:rPr>
                <w:sz w:val="20"/>
                <w:szCs w:val="20"/>
                <w:color w:val="auto"/>
              </w:rPr>
            </w:pPr>
            <w:r>
              <w:rPr>
                <w:rFonts w:ascii="Calibri" w:cs="Calibri" w:eastAsia="Calibri" w:hAnsi="Calibri"/>
                <w:sz w:val="14"/>
                <w:szCs w:val="14"/>
                <w:b w:val="1"/>
                <w:bCs w:val="1"/>
                <w:color w:val="auto"/>
              </w:rPr>
              <w:t>Subtract Stock Add Year-End Value of Prior Vested Equity</w:t>
            </w:r>
          </w:p>
        </w:tc>
        <w:tc>
          <w:tcPr>
            <w:tcW w:w="1020" w:type="dxa"/>
            <w:vAlign w:val="bottom"/>
          </w:tcPr>
          <w:p>
            <w:pPr>
              <w:jc w:val="center"/>
              <w:ind w:right="8"/>
              <w:spacing w:after="0" w:line="168" w:lineRule="exact"/>
              <w:rPr>
                <w:sz w:val="20"/>
                <w:szCs w:val="20"/>
                <w:color w:val="auto"/>
              </w:rPr>
            </w:pPr>
            <w:r>
              <w:rPr>
                <w:rFonts w:ascii="Calibri" w:cs="Calibri" w:eastAsia="Calibri" w:hAnsi="Calibri"/>
                <w:sz w:val="14"/>
                <w:szCs w:val="14"/>
                <w:b w:val="1"/>
                <w:bCs w:val="1"/>
                <w:color w:val="auto"/>
              </w:rPr>
              <w:t>Vestng</w:t>
            </w:r>
          </w:p>
        </w:tc>
        <w:tc>
          <w:tcPr>
            <w:tcW w:w="1140" w:type="dxa"/>
            <w:vAlign w:val="bottom"/>
          </w:tcPr>
          <w:p>
            <w:pPr>
              <w:jc w:val="center"/>
              <w:ind w:right="8"/>
              <w:spacing w:after="0" w:line="168" w:lineRule="exact"/>
              <w:rPr>
                <w:sz w:val="20"/>
                <w:szCs w:val="20"/>
                <w:color w:val="auto"/>
              </w:rPr>
            </w:pPr>
            <w:r>
              <w:rPr>
                <w:rFonts w:ascii="Calibri" w:cs="Calibri" w:eastAsia="Calibri" w:hAnsi="Calibri"/>
                <w:sz w:val="14"/>
                <w:szCs w:val="14"/>
                <w:b w:val="1"/>
                <w:bCs w:val="1"/>
                <w:color w:val="auto"/>
              </w:rPr>
              <w:t>Compensaton</w:t>
            </w: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jc w:val="center"/>
              <w:ind w:left="48"/>
              <w:spacing w:after="0"/>
              <w:rPr>
                <w:sz w:val="20"/>
                <w:szCs w:val="20"/>
                <w:color w:val="auto"/>
              </w:rPr>
            </w:pPr>
            <w:r>
              <w:rPr>
                <w:rFonts w:ascii="Calibri" w:cs="Calibri" w:eastAsia="Calibri" w:hAnsi="Calibri"/>
                <w:sz w:val="14"/>
                <w:szCs w:val="14"/>
                <w:b w:val="1"/>
                <w:bCs w:val="1"/>
                <w:color w:val="auto"/>
                <w:w w:val="98"/>
              </w:rPr>
              <w:t>Table Total</w:t>
            </w:r>
          </w:p>
        </w:tc>
        <w:tc>
          <w:tcPr>
            <w:tcW w:w="940" w:type="dxa"/>
            <w:vAlign w:val="bottom"/>
          </w:tcPr>
          <w:p>
            <w:pPr>
              <w:jc w:val="right"/>
              <w:ind w:right="128"/>
              <w:spacing w:after="0"/>
              <w:rPr>
                <w:sz w:val="20"/>
                <w:szCs w:val="20"/>
                <w:color w:val="auto"/>
              </w:rPr>
            </w:pPr>
            <w:r>
              <w:rPr>
                <w:rFonts w:ascii="Calibri" w:cs="Calibri" w:eastAsia="Calibri" w:hAnsi="Calibri"/>
                <w:sz w:val="14"/>
                <w:szCs w:val="14"/>
                <w:b w:val="1"/>
                <w:bCs w:val="1"/>
                <w:color w:val="auto"/>
              </w:rPr>
              <w:t>Awards</w:t>
            </w:r>
          </w:p>
        </w:tc>
        <w:tc>
          <w:tcPr>
            <w:tcW w:w="17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Equity Value Equity Awards</w:t>
            </w:r>
          </w:p>
        </w:tc>
        <w:tc>
          <w:tcPr>
            <w:tcW w:w="820" w:type="dxa"/>
            <w:vAlign w:val="bottom"/>
          </w:tcPr>
          <w:p>
            <w:pPr>
              <w:jc w:val="center"/>
              <w:spacing w:after="0"/>
              <w:rPr>
                <w:sz w:val="20"/>
                <w:szCs w:val="20"/>
                <w:color w:val="auto"/>
              </w:rPr>
            </w:pPr>
            <w:r>
              <w:rPr>
                <w:rFonts w:ascii="Calibri" w:cs="Calibri" w:eastAsia="Calibri" w:hAnsi="Calibri"/>
                <w:sz w:val="14"/>
                <w:szCs w:val="14"/>
                <w:b w:val="1"/>
                <w:bCs w:val="1"/>
                <w:color w:val="auto"/>
              </w:rPr>
              <w:t>Awards</w:t>
            </w:r>
          </w:p>
        </w:tc>
        <w:tc>
          <w:tcPr>
            <w:tcW w:w="1020" w:type="dxa"/>
            <w:vAlign w:val="bottom"/>
          </w:tcPr>
          <w:p>
            <w:pPr>
              <w:jc w:val="center"/>
              <w:ind w:right="28"/>
              <w:spacing w:after="0"/>
              <w:rPr>
                <w:sz w:val="20"/>
                <w:szCs w:val="20"/>
                <w:color w:val="auto"/>
              </w:rPr>
            </w:pPr>
            <w:r>
              <w:rPr>
                <w:rFonts w:ascii="Calibri" w:cs="Calibri" w:eastAsia="Calibri" w:hAnsi="Calibri"/>
                <w:sz w:val="14"/>
                <w:szCs w:val="14"/>
                <w:b w:val="1"/>
                <w:bCs w:val="1"/>
                <w:color w:val="auto"/>
              </w:rPr>
              <w:t>Conditons</w:t>
            </w:r>
          </w:p>
        </w:tc>
        <w:tc>
          <w:tcPr>
            <w:tcW w:w="1140" w:type="dxa"/>
            <w:vAlign w:val="bottom"/>
          </w:tcPr>
          <w:p>
            <w:pPr>
              <w:jc w:val="center"/>
              <w:ind w:right="8"/>
              <w:spacing w:after="0"/>
              <w:rPr>
                <w:sz w:val="20"/>
                <w:szCs w:val="20"/>
                <w:color w:val="auto"/>
              </w:rPr>
            </w:pPr>
            <w:r>
              <w:rPr>
                <w:rFonts w:ascii="Calibri" w:cs="Calibri" w:eastAsia="Calibri" w:hAnsi="Calibri"/>
                <w:sz w:val="14"/>
                <w:szCs w:val="14"/>
                <w:b w:val="1"/>
                <w:bCs w:val="1"/>
                <w:color w:val="auto"/>
              </w:rPr>
              <w:t>Actually Paid</w:t>
            </w:r>
          </w:p>
        </w:tc>
        <w:tc>
          <w:tcPr>
            <w:tcW w:w="0" w:type="dxa"/>
            <w:vAlign w:val="bottom"/>
          </w:tcPr>
          <w:p>
            <w:pPr>
              <w:spacing w:after="0"/>
              <w:rPr>
                <w:sz w:val="1"/>
                <w:szCs w:val="1"/>
                <w:color w:val="auto"/>
              </w:rPr>
            </w:pPr>
          </w:p>
        </w:tc>
      </w:tr>
      <w:tr>
        <w:trPr>
          <w:trHeight w:val="170"/>
        </w:trPr>
        <w:tc>
          <w:tcPr>
            <w:tcW w:w="440" w:type="dxa"/>
            <w:vAlign w:val="bottom"/>
          </w:tcPr>
          <w:p>
            <w:pPr>
              <w:spacing w:after="0"/>
              <w:rPr>
                <w:sz w:val="20"/>
                <w:szCs w:val="20"/>
                <w:color w:val="auto"/>
              </w:rPr>
            </w:pPr>
            <w:r>
              <w:rPr>
                <w:rFonts w:ascii="Calibri" w:cs="Calibri" w:eastAsia="Calibri" w:hAnsi="Calibri"/>
                <w:sz w:val="14"/>
                <w:szCs w:val="14"/>
                <w:b w:val="1"/>
                <w:bCs w:val="1"/>
                <w:color w:val="auto"/>
              </w:rPr>
              <w:t>Year</w:t>
            </w:r>
          </w:p>
        </w:tc>
        <w:tc>
          <w:tcPr>
            <w:tcW w:w="1240" w:type="dxa"/>
            <w:vAlign w:val="bottom"/>
          </w:tcPr>
          <w:p>
            <w:pPr>
              <w:ind w:left="140"/>
              <w:spacing w:after="0"/>
              <w:rPr>
                <w:sz w:val="20"/>
                <w:szCs w:val="20"/>
                <w:color w:val="auto"/>
              </w:rPr>
            </w:pPr>
            <w:r>
              <w:rPr>
                <w:rFonts w:ascii="Calibri" w:cs="Calibri" w:eastAsia="Calibri" w:hAnsi="Calibri"/>
                <w:sz w:val="14"/>
                <w:szCs w:val="14"/>
                <w:b w:val="1"/>
                <w:bCs w:val="1"/>
                <w:color w:val="auto"/>
              </w:rPr>
              <w:t>Executves</w:t>
            </w:r>
          </w:p>
        </w:tc>
        <w:tc>
          <w:tcPr>
            <w:tcW w:w="1200" w:type="dxa"/>
            <w:vAlign w:val="bottom"/>
          </w:tcPr>
          <w:p>
            <w:pPr>
              <w:jc w:val="center"/>
              <w:ind w:left="48"/>
              <w:spacing w:after="0"/>
              <w:rPr>
                <w:sz w:val="20"/>
                <w:szCs w:val="20"/>
                <w:color w:val="auto"/>
              </w:rPr>
            </w:pPr>
            <w:r>
              <w:rPr>
                <w:rFonts w:ascii="Calibri" w:cs="Calibri" w:eastAsia="Calibri" w:hAnsi="Calibri"/>
                <w:sz w:val="14"/>
                <w:szCs w:val="14"/>
                <w:b w:val="1"/>
                <w:bCs w:val="1"/>
                <w:color w:val="auto"/>
              </w:rPr>
              <w:t>($)</w:t>
            </w:r>
          </w:p>
        </w:tc>
        <w:tc>
          <w:tcPr>
            <w:tcW w:w="940" w:type="dxa"/>
            <w:vAlign w:val="bottom"/>
          </w:tcPr>
          <w:p>
            <w:pPr>
              <w:jc w:val="right"/>
              <w:ind w:right="288"/>
              <w:spacing w:after="0"/>
              <w:rPr>
                <w:sz w:val="20"/>
                <w:szCs w:val="20"/>
                <w:color w:val="auto"/>
              </w:rPr>
            </w:pPr>
            <w:r>
              <w:rPr>
                <w:rFonts w:ascii="Calibri" w:cs="Calibri" w:eastAsia="Calibri" w:hAnsi="Calibri"/>
                <w:sz w:val="14"/>
                <w:szCs w:val="14"/>
                <w:b w:val="1"/>
                <w:bCs w:val="1"/>
                <w:color w:val="auto"/>
              </w:rPr>
              <w:t>($)</w:t>
            </w:r>
          </w:p>
        </w:tc>
        <w:tc>
          <w:tcPr>
            <w:tcW w:w="880" w:type="dxa"/>
            <w:vAlign w:val="bottom"/>
          </w:tcPr>
          <w:p>
            <w:pPr>
              <w:jc w:val="right"/>
              <w:ind w:right="268"/>
              <w:spacing w:after="0"/>
              <w:rPr>
                <w:sz w:val="20"/>
                <w:szCs w:val="20"/>
                <w:color w:val="auto"/>
              </w:rPr>
            </w:pPr>
            <w:r>
              <w:rPr>
                <w:rFonts w:ascii="Calibri" w:cs="Calibri" w:eastAsia="Calibri" w:hAnsi="Calibri"/>
                <w:sz w:val="14"/>
                <w:szCs w:val="14"/>
                <w:b w:val="1"/>
                <w:bCs w:val="1"/>
                <w:color w:val="auto"/>
              </w:rPr>
              <w:t>($)</w:t>
            </w:r>
          </w:p>
        </w:tc>
        <w:tc>
          <w:tcPr>
            <w:tcW w:w="900" w:type="dxa"/>
            <w:vAlign w:val="bottom"/>
          </w:tcPr>
          <w:p>
            <w:pPr>
              <w:jc w:val="right"/>
              <w:ind w:right="328"/>
              <w:spacing w:after="0"/>
              <w:rPr>
                <w:sz w:val="20"/>
                <w:szCs w:val="20"/>
                <w:color w:val="auto"/>
              </w:rPr>
            </w:pPr>
            <w:r>
              <w:rPr>
                <w:rFonts w:ascii="Calibri" w:cs="Calibri" w:eastAsia="Calibri" w:hAnsi="Calibri"/>
                <w:sz w:val="14"/>
                <w:szCs w:val="14"/>
                <w:b w:val="1"/>
                <w:bCs w:val="1"/>
                <w:color w:val="auto"/>
              </w:rPr>
              <w:t>($)</w:t>
            </w:r>
          </w:p>
        </w:tc>
        <w:tc>
          <w:tcPr>
            <w:tcW w:w="82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1020" w:type="dxa"/>
            <w:vAlign w:val="bottom"/>
          </w:tcPr>
          <w:p>
            <w:pPr>
              <w:jc w:val="center"/>
              <w:ind w:right="8"/>
              <w:spacing w:after="0"/>
              <w:rPr>
                <w:sz w:val="20"/>
                <w:szCs w:val="20"/>
                <w:color w:val="auto"/>
              </w:rPr>
            </w:pPr>
            <w:r>
              <w:rPr>
                <w:rFonts w:ascii="Calibri" w:cs="Calibri" w:eastAsia="Calibri" w:hAnsi="Calibri"/>
                <w:sz w:val="14"/>
                <w:szCs w:val="14"/>
                <w:b w:val="1"/>
                <w:bCs w:val="1"/>
                <w:color w:val="auto"/>
              </w:rPr>
              <w:t>($)</w:t>
            </w:r>
          </w:p>
        </w:tc>
        <w:tc>
          <w:tcPr>
            <w:tcW w:w="1140" w:type="dxa"/>
            <w:vAlign w:val="bottom"/>
          </w:tcPr>
          <w:p>
            <w:pPr>
              <w:jc w:val="center"/>
              <w:ind w:right="8"/>
              <w:spacing w:after="0"/>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40"/>
        </w:trPr>
        <w:tc>
          <w:tcPr>
            <w:tcW w:w="440" w:type="dxa"/>
            <w:vAlign w:val="bottom"/>
            <w:tcBorders>
              <w:bottom w:val="single" w:sz="8" w:color="AF0000"/>
            </w:tcBorders>
          </w:tcPr>
          <w:p>
            <w:pPr>
              <w:spacing w:after="0"/>
              <w:rPr>
                <w:sz w:val="3"/>
                <w:szCs w:val="3"/>
                <w:color w:val="auto"/>
              </w:rPr>
            </w:pPr>
          </w:p>
        </w:tc>
        <w:tc>
          <w:tcPr>
            <w:tcW w:w="1240" w:type="dxa"/>
            <w:vAlign w:val="bottom"/>
            <w:tcBorders>
              <w:bottom w:val="single" w:sz="8" w:color="AF0000"/>
            </w:tcBorders>
          </w:tcPr>
          <w:p>
            <w:pPr>
              <w:spacing w:after="0"/>
              <w:rPr>
                <w:sz w:val="3"/>
                <w:szCs w:val="3"/>
                <w:color w:val="auto"/>
              </w:rPr>
            </w:pPr>
          </w:p>
        </w:tc>
        <w:tc>
          <w:tcPr>
            <w:tcW w:w="1200" w:type="dxa"/>
            <w:vAlign w:val="bottom"/>
            <w:tcBorders>
              <w:bottom w:val="single" w:sz="8" w:color="AF0000"/>
            </w:tcBorders>
          </w:tcPr>
          <w:p>
            <w:pPr>
              <w:spacing w:after="0"/>
              <w:rPr>
                <w:sz w:val="3"/>
                <w:szCs w:val="3"/>
                <w:color w:val="auto"/>
              </w:rPr>
            </w:pPr>
          </w:p>
        </w:tc>
        <w:tc>
          <w:tcPr>
            <w:tcW w:w="940" w:type="dxa"/>
            <w:vAlign w:val="bottom"/>
            <w:tcBorders>
              <w:bottom w:val="single" w:sz="8" w:color="AF0000"/>
            </w:tcBorders>
          </w:tcPr>
          <w:p>
            <w:pPr>
              <w:spacing w:after="0"/>
              <w:rPr>
                <w:sz w:val="3"/>
                <w:szCs w:val="3"/>
                <w:color w:val="auto"/>
              </w:rPr>
            </w:pPr>
          </w:p>
        </w:tc>
        <w:tc>
          <w:tcPr>
            <w:tcW w:w="880" w:type="dxa"/>
            <w:vAlign w:val="bottom"/>
            <w:tcBorders>
              <w:bottom w:val="single" w:sz="8" w:color="AF0000"/>
            </w:tcBorders>
          </w:tcPr>
          <w:p>
            <w:pPr>
              <w:spacing w:after="0"/>
              <w:rPr>
                <w:sz w:val="3"/>
                <w:szCs w:val="3"/>
                <w:color w:val="auto"/>
              </w:rPr>
            </w:pPr>
          </w:p>
        </w:tc>
        <w:tc>
          <w:tcPr>
            <w:tcW w:w="900" w:type="dxa"/>
            <w:vAlign w:val="bottom"/>
            <w:tcBorders>
              <w:bottom w:val="single" w:sz="8" w:color="AF0000"/>
            </w:tcBorders>
          </w:tcPr>
          <w:p>
            <w:pPr>
              <w:spacing w:after="0"/>
              <w:rPr>
                <w:sz w:val="3"/>
                <w:szCs w:val="3"/>
                <w:color w:val="auto"/>
              </w:rPr>
            </w:pPr>
          </w:p>
        </w:tc>
        <w:tc>
          <w:tcPr>
            <w:tcW w:w="820" w:type="dxa"/>
            <w:vAlign w:val="bottom"/>
            <w:tcBorders>
              <w:bottom w:val="single" w:sz="8" w:color="AF0000"/>
            </w:tcBorders>
          </w:tcPr>
          <w:p>
            <w:pPr>
              <w:spacing w:after="0"/>
              <w:rPr>
                <w:sz w:val="3"/>
                <w:szCs w:val="3"/>
                <w:color w:val="auto"/>
              </w:rPr>
            </w:pPr>
          </w:p>
        </w:tc>
        <w:tc>
          <w:tcPr>
            <w:tcW w:w="1020" w:type="dxa"/>
            <w:vAlign w:val="bottom"/>
            <w:tcBorders>
              <w:bottom w:val="single" w:sz="8" w:color="AF0000"/>
            </w:tcBorders>
          </w:tcPr>
          <w:p>
            <w:pPr>
              <w:spacing w:after="0"/>
              <w:rPr>
                <w:sz w:val="3"/>
                <w:szCs w:val="3"/>
                <w:color w:val="auto"/>
              </w:rPr>
            </w:pPr>
          </w:p>
        </w:tc>
        <w:tc>
          <w:tcPr>
            <w:tcW w:w="1140" w:type="dxa"/>
            <w:vAlign w:val="bottom"/>
            <w:tcBorders>
              <w:bottom w:val="single" w:sz="8" w:color="AF0000"/>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40" w:type="dxa"/>
            <w:vAlign w:val="bottom"/>
          </w:tcPr>
          <w:p>
            <w:pPr>
              <w:spacing w:after="0"/>
              <w:rPr>
                <w:sz w:val="20"/>
                <w:szCs w:val="20"/>
                <w:color w:val="auto"/>
              </w:rPr>
            </w:pPr>
            <w:r>
              <w:rPr>
                <w:rFonts w:ascii="Calibri" w:cs="Calibri" w:eastAsia="Calibri" w:hAnsi="Calibri"/>
                <w:sz w:val="14"/>
                <w:szCs w:val="14"/>
                <w:color w:val="auto"/>
              </w:rPr>
              <w:t>2023</w:t>
            </w:r>
          </w:p>
        </w:tc>
        <w:tc>
          <w:tcPr>
            <w:tcW w:w="1240" w:type="dxa"/>
            <w:vAlign w:val="bottom"/>
          </w:tcPr>
          <w:p>
            <w:pPr>
              <w:ind w:left="140"/>
              <w:spacing w:after="0"/>
              <w:rPr>
                <w:sz w:val="20"/>
                <w:szCs w:val="20"/>
                <w:color w:val="auto"/>
              </w:rPr>
            </w:pPr>
            <w:r>
              <w:rPr>
                <w:rFonts w:ascii="Calibri" w:cs="Calibri" w:eastAsia="Calibri" w:hAnsi="Calibri"/>
                <w:sz w:val="14"/>
                <w:szCs w:val="14"/>
                <w:color w:val="auto"/>
              </w:rPr>
              <w:t>PEO</w:t>
            </w:r>
          </w:p>
        </w:tc>
        <w:tc>
          <w:tcPr>
            <w:tcW w:w="1200" w:type="dxa"/>
            <w:vAlign w:val="bottom"/>
          </w:tcPr>
          <w:p>
            <w:pPr>
              <w:jc w:val="right"/>
              <w:ind w:right="8"/>
              <w:spacing w:after="0"/>
              <w:rPr>
                <w:sz w:val="20"/>
                <w:szCs w:val="20"/>
                <w:color w:val="auto"/>
              </w:rPr>
            </w:pPr>
            <w:r>
              <w:rPr>
                <w:rFonts w:ascii="Calibri" w:cs="Calibri" w:eastAsia="Calibri" w:hAnsi="Calibri"/>
                <w:sz w:val="14"/>
                <w:szCs w:val="14"/>
                <w:color w:val="auto"/>
              </w:rPr>
              <w:t>10,052,664</w:t>
            </w:r>
          </w:p>
        </w:tc>
        <w:tc>
          <w:tcPr>
            <w:tcW w:w="940" w:type="dxa"/>
            <w:vAlign w:val="bottom"/>
          </w:tcPr>
          <w:p>
            <w:pPr>
              <w:jc w:val="right"/>
              <w:ind w:right="28"/>
              <w:spacing w:after="0"/>
              <w:rPr>
                <w:sz w:val="20"/>
                <w:szCs w:val="20"/>
                <w:color w:val="auto"/>
              </w:rPr>
            </w:pPr>
            <w:r>
              <w:rPr>
                <w:rFonts w:ascii="Calibri" w:cs="Calibri" w:eastAsia="Calibri" w:hAnsi="Calibri"/>
                <w:sz w:val="14"/>
                <w:szCs w:val="14"/>
                <w:color w:val="auto"/>
              </w:rPr>
              <w:t>(6,816,214)</w:t>
            </w:r>
          </w:p>
        </w:tc>
        <w:tc>
          <w:tcPr>
            <w:tcW w:w="880" w:type="dxa"/>
            <w:vAlign w:val="bottom"/>
          </w:tcPr>
          <w:p>
            <w:pPr>
              <w:jc w:val="right"/>
              <w:ind w:right="68"/>
              <w:spacing w:after="0"/>
              <w:rPr>
                <w:sz w:val="20"/>
                <w:szCs w:val="20"/>
                <w:color w:val="auto"/>
              </w:rPr>
            </w:pPr>
            <w:r>
              <w:rPr>
                <w:rFonts w:ascii="Calibri" w:cs="Calibri" w:eastAsia="Calibri" w:hAnsi="Calibri"/>
                <w:sz w:val="14"/>
                <w:szCs w:val="14"/>
                <w:color w:val="auto"/>
              </w:rPr>
              <w:t>7,053,611</w:t>
            </w:r>
          </w:p>
        </w:tc>
        <w:tc>
          <w:tcPr>
            <w:tcW w:w="900" w:type="dxa"/>
            <w:vAlign w:val="bottom"/>
          </w:tcPr>
          <w:p>
            <w:pPr>
              <w:jc w:val="right"/>
              <w:ind w:right="88"/>
              <w:spacing w:after="0"/>
              <w:rPr>
                <w:sz w:val="20"/>
                <w:szCs w:val="20"/>
                <w:color w:val="auto"/>
              </w:rPr>
            </w:pPr>
            <w:r>
              <w:rPr>
                <w:rFonts w:ascii="Calibri" w:cs="Calibri" w:eastAsia="Calibri" w:hAnsi="Calibri"/>
                <w:sz w:val="14"/>
                <w:szCs w:val="14"/>
                <w:color w:val="auto"/>
              </w:rPr>
              <w:t>(62,418)</w:t>
            </w:r>
          </w:p>
        </w:tc>
        <w:tc>
          <w:tcPr>
            <w:tcW w:w="820" w:type="dxa"/>
            <w:vAlign w:val="bottom"/>
          </w:tcPr>
          <w:p>
            <w:pPr>
              <w:jc w:val="right"/>
              <w:ind w:right="68"/>
              <w:spacing w:after="0"/>
              <w:rPr>
                <w:sz w:val="20"/>
                <w:szCs w:val="20"/>
                <w:color w:val="auto"/>
              </w:rPr>
            </w:pPr>
            <w:r>
              <w:rPr>
                <w:rFonts w:ascii="Calibri" w:cs="Calibri" w:eastAsia="Calibri" w:hAnsi="Calibri"/>
                <w:sz w:val="14"/>
                <w:szCs w:val="14"/>
                <w:color w:val="auto"/>
              </w:rPr>
              <w:t>(428,271)</w:t>
            </w:r>
          </w:p>
        </w:tc>
        <w:tc>
          <w:tcPr>
            <w:tcW w:w="1020" w:type="dxa"/>
            <w:vAlign w:val="bottom"/>
          </w:tcPr>
          <w:p>
            <w:pPr>
              <w:jc w:val="right"/>
              <w:ind w:right="128"/>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ind w:right="68"/>
              <w:spacing w:after="0"/>
              <w:rPr>
                <w:sz w:val="20"/>
                <w:szCs w:val="20"/>
                <w:color w:val="auto"/>
              </w:rPr>
            </w:pPr>
            <w:r>
              <w:rPr>
                <w:rFonts w:ascii="Calibri" w:cs="Calibri" w:eastAsia="Calibri" w:hAnsi="Calibri"/>
                <w:sz w:val="14"/>
                <w:szCs w:val="14"/>
                <w:color w:val="auto"/>
              </w:rPr>
              <w:t>9,799,372</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alibri" w:cs="Calibri" w:eastAsia="Calibri" w:hAnsi="Calibri"/>
                <w:sz w:val="14"/>
                <w:szCs w:val="14"/>
                <w:color w:val="auto"/>
              </w:rPr>
              <w:t>Non-PEO NEOs</w:t>
            </w:r>
          </w:p>
        </w:tc>
        <w:tc>
          <w:tcPr>
            <w:tcW w:w="1200" w:type="dxa"/>
            <w:vAlign w:val="bottom"/>
          </w:tcPr>
          <w:p>
            <w:pPr>
              <w:jc w:val="right"/>
              <w:ind w:right="8"/>
              <w:spacing w:after="0"/>
              <w:rPr>
                <w:sz w:val="20"/>
                <w:szCs w:val="20"/>
                <w:color w:val="auto"/>
              </w:rPr>
            </w:pPr>
            <w:r>
              <w:rPr>
                <w:rFonts w:ascii="Calibri" w:cs="Calibri" w:eastAsia="Calibri" w:hAnsi="Calibri"/>
                <w:sz w:val="14"/>
                <w:szCs w:val="14"/>
                <w:color w:val="auto"/>
              </w:rPr>
              <w:t>2,740,977</w:t>
            </w:r>
          </w:p>
        </w:tc>
        <w:tc>
          <w:tcPr>
            <w:tcW w:w="940" w:type="dxa"/>
            <w:vAlign w:val="bottom"/>
          </w:tcPr>
          <w:p>
            <w:pPr>
              <w:jc w:val="right"/>
              <w:ind w:right="28"/>
              <w:spacing w:after="0"/>
              <w:rPr>
                <w:sz w:val="20"/>
                <w:szCs w:val="20"/>
                <w:color w:val="auto"/>
              </w:rPr>
            </w:pPr>
            <w:r>
              <w:rPr>
                <w:rFonts w:ascii="Calibri" w:cs="Calibri" w:eastAsia="Calibri" w:hAnsi="Calibri"/>
                <w:sz w:val="14"/>
                <w:szCs w:val="14"/>
                <w:color w:val="auto"/>
              </w:rPr>
              <w:t>(1,704,065)</w:t>
            </w:r>
          </w:p>
        </w:tc>
        <w:tc>
          <w:tcPr>
            <w:tcW w:w="880" w:type="dxa"/>
            <w:vAlign w:val="bottom"/>
          </w:tcPr>
          <w:p>
            <w:pPr>
              <w:jc w:val="right"/>
              <w:ind w:right="68"/>
              <w:spacing w:after="0"/>
              <w:rPr>
                <w:sz w:val="20"/>
                <w:szCs w:val="20"/>
                <w:color w:val="auto"/>
              </w:rPr>
            </w:pPr>
            <w:r>
              <w:rPr>
                <w:rFonts w:ascii="Calibri" w:cs="Calibri" w:eastAsia="Calibri" w:hAnsi="Calibri"/>
                <w:sz w:val="14"/>
                <w:szCs w:val="14"/>
                <w:color w:val="auto"/>
              </w:rPr>
              <w:t>1,763,413</w:t>
            </w:r>
          </w:p>
        </w:tc>
        <w:tc>
          <w:tcPr>
            <w:tcW w:w="900" w:type="dxa"/>
            <w:vAlign w:val="bottom"/>
          </w:tcPr>
          <w:p>
            <w:pPr>
              <w:jc w:val="right"/>
              <w:ind w:right="88"/>
              <w:spacing w:after="0"/>
              <w:rPr>
                <w:sz w:val="20"/>
                <w:szCs w:val="20"/>
                <w:color w:val="auto"/>
              </w:rPr>
            </w:pPr>
            <w:r>
              <w:rPr>
                <w:rFonts w:ascii="Calibri" w:cs="Calibri" w:eastAsia="Calibri" w:hAnsi="Calibri"/>
                <w:sz w:val="14"/>
                <w:szCs w:val="14"/>
                <w:color w:val="auto"/>
              </w:rPr>
              <w:t>9,312</w:t>
            </w:r>
          </w:p>
        </w:tc>
        <w:tc>
          <w:tcPr>
            <w:tcW w:w="820" w:type="dxa"/>
            <w:vAlign w:val="bottom"/>
          </w:tcPr>
          <w:p>
            <w:pPr>
              <w:jc w:val="right"/>
              <w:ind w:right="68"/>
              <w:spacing w:after="0"/>
              <w:rPr>
                <w:sz w:val="20"/>
                <w:szCs w:val="20"/>
                <w:color w:val="auto"/>
              </w:rPr>
            </w:pPr>
            <w:r>
              <w:rPr>
                <w:rFonts w:ascii="Calibri" w:cs="Calibri" w:eastAsia="Calibri" w:hAnsi="Calibri"/>
                <w:sz w:val="14"/>
                <w:szCs w:val="14"/>
                <w:color w:val="auto"/>
              </w:rPr>
              <w:t>(94,369)</w:t>
            </w:r>
          </w:p>
        </w:tc>
        <w:tc>
          <w:tcPr>
            <w:tcW w:w="1020" w:type="dxa"/>
            <w:vAlign w:val="bottom"/>
          </w:tcPr>
          <w:p>
            <w:pPr>
              <w:jc w:val="right"/>
              <w:ind w:right="128"/>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ind w:right="68"/>
              <w:spacing w:after="0"/>
              <w:rPr>
                <w:sz w:val="20"/>
                <w:szCs w:val="20"/>
                <w:color w:val="auto"/>
              </w:rPr>
            </w:pPr>
            <w:r>
              <w:rPr>
                <w:rFonts w:ascii="Calibri" w:cs="Calibri" w:eastAsia="Calibri" w:hAnsi="Calibri"/>
                <w:sz w:val="14"/>
                <w:szCs w:val="14"/>
                <w:color w:val="auto"/>
              </w:rPr>
              <w:t>2,715,268</w:t>
            </w:r>
          </w:p>
        </w:tc>
        <w:tc>
          <w:tcPr>
            <w:tcW w:w="0" w:type="dxa"/>
            <w:vAlign w:val="bottom"/>
          </w:tcPr>
          <w:p>
            <w:pPr>
              <w:spacing w:after="0"/>
              <w:rPr>
                <w:sz w:val="1"/>
                <w:szCs w:val="1"/>
                <w:color w:val="auto"/>
              </w:rPr>
            </w:pPr>
          </w:p>
        </w:tc>
      </w:tr>
      <w:tr>
        <w:trPr>
          <w:trHeight w:val="33"/>
        </w:trPr>
        <w:tc>
          <w:tcPr>
            <w:tcW w:w="440" w:type="dxa"/>
            <w:vAlign w:val="bottom"/>
            <w:tcBorders>
              <w:bottom w:val="single" w:sz="8" w:color="A6A6A6"/>
            </w:tcBorders>
          </w:tcPr>
          <w:p>
            <w:pPr>
              <w:spacing w:after="0"/>
              <w:rPr>
                <w:sz w:val="2"/>
                <w:szCs w:val="2"/>
                <w:color w:val="auto"/>
              </w:rPr>
            </w:pPr>
          </w:p>
        </w:tc>
        <w:tc>
          <w:tcPr>
            <w:tcW w:w="1240" w:type="dxa"/>
            <w:vAlign w:val="bottom"/>
            <w:tcBorders>
              <w:bottom w:val="single" w:sz="8" w:color="A6A6A6"/>
            </w:tcBorders>
          </w:tcPr>
          <w:p>
            <w:pPr>
              <w:spacing w:after="0"/>
              <w:rPr>
                <w:sz w:val="2"/>
                <w:szCs w:val="2"/>
                <w:color w:val="auto"/>
              </w:rPr>
            </w:pPr>
          </w:p>
        </w:tc>
        <w:tc>
          <w:tcPr>
            <w:tcW w:w="120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880" w:type="dxa"/>
            <w:vAlign w:val="bottom"/>
            <w:tcBorders>
              <w:bottom w:val="single" w:sz="8" w:color="A6A6A6"/>
            </w:tcBorders>
          </w:tcPr>
          <w:p>
            <w:pPr>
              <w:spacing w:after="0"/>
              <w:rPr>
                <w:sz w:val="2"/>
                <w:szCs w:val="2"/>
                <w:color w:val="auto"/>
              </w:rPr>
            </w:pPr>
          </w:p>
        </w:tc>
        <w:tc>
          <w:tcPr>
            <w:tcW w:w="900" w:type="dxa"/>
            <w:vAlign w:val="bottom"/>
            <w:tcBorders>
              <w:bottom w:val="single" w:sz="8" w:color="A6A6A6"/>
            </w:tcBorders>
          </w:tcPr>
          <w:p>
            <w:pPr>
              <w:spacing w:after="0"/>
              <w:rPr>
                <w:sz w:val="2"/>
                <w:szCs w:val="2"/>
                <w:color w:val="auto"/>
              </w:rPr>
            </w:pPr>
          </w:p>
        </w:tc>
        <w:tc>
          <w:tcPr>
            <w:tcW w:w="820" w:type="dxa"/>
            <w:vAlign w:val="bottom"/>
            <w:tcBorders>
              <w:bottom w:val="single" w:sz="8" w:color="A6A6A6"/>
            </w:tcBorders>
          </w:tcPr>
          <w:p>
            <w:pPr>
              <w:spacing w:after="0"/>
              <w:rPr>
                <w:sz w:val="2"/>
                <w:szCs w:val="2"/>
                <w:color w:val="auto"/>
              </w:rPr>
            </w:pPr>
          </w:p>
        </w:tc>
        <w:tc>
          <w:tcPr>
            <w:tcW w:w="102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line="164" w:lineRule="exact"/>
              <w:rPr>
                <w:sz w:val="20"/>
                <w:szCs w:val="20"/>
                <w:color w:val="auto"/>
              </w:rPr>
            </w:pPr>
            <w:r>
              <w:rPr>
                <w:rFonts w:ascii="Calibri" w:cs="Calibri" w:eastAsia="Calibri" w:hAnsi="Calibri"/>
                <w:sz w:val="14"/>
                <w:szCs w:val="14"/>
                <w:color w:val="auto"/>
              </w:rPr>
              <w:t>2022</w:t>
            </w:r>
          </w:p>
        </w:tc>
        <w:tc>
          <w:tcPr>
            <w:tcW w:w="1240" w:type="dxa"/>
            <w:vAlign w:val="bottom"/>
          </w:tcPr>
          <w:p>
            <w:pPr>
              <w:ind w:left="140"/>
              <w:spacing w:after="0" w:line="164" w:lineRule="exact"/>
              <w:rPr>
                <w:sz w:val="20"/>
                <w:szCs w:val="20"/>
                <w:color w:val="auto"/>
              </w:rPr>
            </w:pPr>
            <w:r>
              <w:rPr>
                <w:rFonts w:ascii="Calibri" w:cs="Calibri" w:eastAsia="Calibri" w:hAnsi="Calibri"/>
                <w:sz w:val="14"/>
                <w:szCs w:val="14"/>
                <w:color w:val="auto"/>
              </w:rPr>
              <w:t>PEO</w:t>
            </w:r>
          </w:p>
        </w:tc>
        <w:tc>
          <w:tcPr>
            <w:tcW w:w="120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8,128,833</w:t>
            </w:r>
          </w:p>
        </w:tc>
        <w:tc>
          <w:tcPr>
            <w:tcW w:w="9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(5,330,097)</w:t>
            </w:r>
          </w:p>
        </w:tc>
        <w:tc>
          <w:tcPr>
            <w:tcW w:w="88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5,376,613</w:t>
            </w:r>
          </w:p>
        </w:tc>
        <w:tc>
          <w:tcPr>
            <w:tcW w:w="900" w:type="dxa"/>
            <w:vAlign w:val="bottom"/>
          </w:tcPr>
          <w:p>
            <w:pPr>
              <w:jc w:val="right"/>
              <w:ind w:right="88"/>
              <w:spacing w:after="0" w:line="164" w:lineRule="exact"/>
              <w:rPr>
                <w:sz w:val="20"/>
                <w:szCs w:val="20"/>
                <w:color w:val="auto"/>
              </w:rPr>
            </w:pPr>
            <w:r>
              <w:rPr>
                <w:rFonts w:ascii="Calibri" w:cs="Calibri" w:eastAsia="Calibri" w:hAnsi="Calibri"/>
                <w:sz w:val="14"/>
                <w:szCs w:val="14"/>
                <w:color w:val="auto"/>
              </w:rPr>
              <w:t>1,434,847</w:t>
            </w:r>
          </w:p>
        </w:tc>
        <w:tc>
          <w:tcPr>
            <w:tcW w:w="8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2,477,449</w:t>
            </w:r>
          </w:p>
        </w:tc>
        <w:tc>
          <w:tcPr>
            <w:tcW w:w="1020" w:type="dxa"/>
            <w:vAlign w:val="bottom"/>
          </w:tcPr>
          <w:p>
            <w:pPr>
              <w:jc w:val="right"/>
              <w:ind w:right="12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12,087,645</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alibri" w:cs="Calibri" w:eastAsia="Calibri" w:hAnsi="Calibri"/>
                <w:sz w:val="14"/>
                <w:szCs w:val="14"/>
                <w:color w:val="auto"/>
              </w:rPr>
              <w:t>Non-PEO NEOs</w:t>
            </w:r>
          </w:p>
        </w:tc>
        <w:tc>
          <w:tcPr>
            <w:tcW w:w="1200" w:type="dxa"/>
            <w:vAlign w:val="bottom"/>
          </w:tcPr>
          <w:p>
            <w:pPr>
              <w:jc w:val="right"/>
              <w:ind w:right="8"/>
              <w:spacing w:after="0"/>
              <w:rPr>
                <w:sz w:val="20"/>
                <w:szCs w:val="20"/>
                <w:color w:val="auto"/>
              </w:rPr>
            </w:pPr>
            <w:r>
              <w:rPr>
                <w:rFonts w:ascii="Calibri" w:cs="Calibri" w:eastAsia="Calibri" w:hAnsi="Calibri"/>
                <w:sz w:val="14"/>
                <w:szCs w:val="14"/>
                <w:color w:val="auto"/>
              </w:rPr>
              <w:t>2,091,141</w:t>
            </w:r>
          </w:p>
        </w:tc>
        <w:tc>
          <w:tcPr>
            <w:tcW w:w="940" w:type="dxa"/>
            <w:vAlign w:val="bottom"/>
          </w:tcPr>
          <w:p>
            <w:pPr>
              <w:jc w:val="right"/>
              <w:ind w:right="28"/>
              <w:spacing w:after="0"/>
              <w:rPr>
                <w:sz w:val="20"/>
                <w:szCs w:val="20"/>
                <w:color w:val="auto"/>
              </w:rPr>
            </w:pPr>
            <w:r>
              <w:rPr>
                <w:rFonts w:ascii="Calibri" w:cs="Calibri" w:eastAsia="Calibri" w:hAnsi="Calibri"/>
                <w:sz w:val="14"/>
                <w:szCs w:val="14"/>
                <w:color w:val="auto"/>
              </w:rPr>
              <w:t>(980,076)</w:t>
            </w:r>
          </w:p>
        </w:tc>
        <w:tc>
          <w:tcPr>
            <w:tcW w:w="880" w:type="dxa"/>
            <w:vAlign w:val="bottom"/>
          </w:tcPr>
          <w:p>
            <w:pPr>
              <w:jc w:val="right"/>
              <w:ind w:right="68"/>
              <w:spacing w:after="0"/>
              <w:rPr>
                <w:sz w:val="20"/>
                <w:szCs w:val="20"/>
                <w:color w:val="auto"/>
              </w:rPr>
            </w:pPr>
            <w:r>
              <w:rPr>
                <w:rFonts w:ascii="Calibri" w:cs="Calibri" w:eastAsia="Calibri" w:hAnsi="Calibri"/>
                <w:sz w:val="14"/>
                <w:szCs w:val="14"/>
                <w:color w:val="auto"/>
              </w:rPr>
              <w:t>819,171</w:t>
            </w:r>
          </w:p>
        </w:tc>
        <w:tc>
          <w:tcPr>
            <w:tcW w:w="900" w:type="dxa"/>
            <w:vAlign w:val="bottom"/>
          </w:tcPr>
          <w:p>
            <w:pPr>
              <w:jc w:val="right"/>
              <w:ind w:right="88"/>
              <w:spacing w:after="0"/>
              <w:rPr>
                <w:sz w:val="20"/>
                <w:szCs w:val="20"/>
                <w:color w:val="auto"/>
              </w:rPr>
            </w:pPr>
            <w:r>
              <w:rPr>
                <w:rFonts w:ascii="Calibri" w:cs="Calibri" w:eastAsia="Calibri" w:hAnsi="Calibri"/>
                <w:sz w:val="14"/>
                <w:szCs w:val="14"/>
                <w:color w:val="auto"/>
              </w:rPr>
              <w:t>211,296</w:t>
            </w:r>
          </w:p>
        </w:tc>
        <w:tc>
          <w:tcPr>
            <w:tcW w:w="820" w:type="dxa"/>
            <w:vAlign w:val="bottom"/>
          </w:tcPr>
          <w:p>
            <w:pPr>
              <w:jc w:val="right"/>
              <w:ind w:right="68"/>
              <w:spacing w:after="0"/>
              <w:rPr>
                <w:sz w:val="20"/>
                <w:szCs w:val="20"/>
                <w:color w:val="auto"/>
              </w:rPr>
            </w:pPr>
            <w:r>
              <w:rPr>
                <w:rFonts w:ascii="Calibri" w:cs="Calibri" w:eastAsia="Calibri" w:hAnsi="Calibri"/>
                <w:sz w:val="14"/>
                <w:szCs w:val="14"/>
                <w:color w:val="auto"/>
              </w:rPr>
              <w:t>253,211</w:t>
            </w:r>
          </w:p>
        </w:tc>
        <w:tc>
          <w:tcPr>
            <w:tcW w:w="1020" w:type="dxa"/>
            <w:vAlign w:val="bottom"/>
          </w:tcPr>
          <w:p>
            <w:pPr>
              <w:jc w:val="right"/>
              <w:ind w:right="128"/>
              <w:spacing w:after="0"/>
              <w:rPr>
                <w:sz w:val="20"/>
                <w:szCs w:val="20"/>
                <w:color w:val="auto"/>
              </w:rPr>
            </w:pPr>
            <w:r>
              <w:rPr>
                <w:rFonts w:ascii="Calibri" w:cs="Calibri" w:eastAsia="Calibri" w:hAnsi="Calibri"/>
                <w:sz w:val="14"/>
                <w:szCs w:val="14"/>
                <w:color w:val="auto"/>
              </w:rPr>
              <w:t>(385,519)</w:t>
            </w:r>
          </w:p>
        </w:tc>
        <w:tc>
          <w:tcPr>
            <w:tcW w:w="1140" w:type="dxa"/>
            <w:vAlign w:val="bottom"/>
          </w:tcPr>
          <w:p>
            <w:pPr>
              <w:jc w:val="right"/>
              <w:ind w:right="68"/>
              <w:spacing w:after="0"/>
              <w:rPr>
                <w:sz w:val="20"/>
                <w:szCs w:val="20"/>
                <w:color w:val="auto"/>
              </w:rPr>
            </w:pPr>
            <w:r>
              <w:rPr>
                <w:rFonts w:ascii="Calibri" w:cs="Calibri" w:eastAsia="Calibri" w:hAnsi="Calibri"/>
                <w:sz w:val="14"/>
                <w:szCs w:val="14"/>
                <w:color w:val="auto"/>
              </w:rPr>
              <w:t>2,009,224</w:t>
            </w:r>
          </w:p>
        </w:tc>
        <w:tc>
          <w:tcPr>
            <w:tcW w:w="0" w:type="dxa"/>
            <w:vAlign w:val="bottom"/>
          </w:tcPr>
          <w:p>
            <w:pPr>
              <w:spacing w:after="0"/>
              <w:rPr>
                <w:sz w:val="1"/>
                <w:szCs w:val="1"/>
                <w:color w:val="auto"/>
              </w:rPr>
            </w:pPr>
          </w:p>
        </w:tc>
      </w:tr>
      <w:tr>
        <w:trPr>
          <w:trHeight w:val="33"/>
        </w:trPr>
        <w:tc>
          <w:tcPr>
            <w:tcW w:w="440" w:type="dxa"/>
            <w:vAlign w:val="bottom"/>
            <w:tcBorders>
              <w:bottom w:val="single" w:sz="8" w:color="A6A6A6"/>
            </w:tcBorders>
          </w:tcPr>
          <w:p>
            <w:pPr>
              <w:spacing w:after="0"/>
              <w:rPr>
                <w:sz w:val="2"/>
                <w:szCs w:val="2"/>
                <w:color w:val="auto"/>
              </w:rPr>
            </w:pPr>
          </w:p>
        </w:tc>
        <w:tc>
          <w:tcPr>
            <w:tcW w:w="1240" w:type="dxa"/>
            <w:vAlign w:val="bottom"/>
            <w:tcBorders>
              <w:bottom w:val="single" w:sz="8" w:color="A6A6A6"/>
            </w:tcBorders>
          </w:tcPr>
          <w:p>
            <w:pPr>
              <w:spacing w:after="0"/>
              <w:rPr>
                <w:sz w:val="2"/>
                <w:szCs w:val="2"/>
                <w:color w:val="auto"/>
              </w:rPr>
            </w:pPr>
          </w:p>
        </w:tc>
        <w:tc>
          <w:tcPr>
            <w:tcW w:w="120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880" w:type="dxa"/>
            <w:vAlign w:val="bottom"/>
            <w:tcBorders>
              <w:bottom w:val="single" w:sz="8" w:color="A6A6A6"/>
            </w:tcBorders>
          </w:tcPr>
          <w:p>
            <w:pPr>
              <w:spacing w:after="0"/>
              <w:rPr>
                <w:sz w:val="2"/>
                <w:szCs w:val="2"/>
                <w:color w:val="auto"/>
              </w:rPr>
            </w:pPr>
          </w:p>
        </w:tc>
        <w:tc>
          <w:tcPr>
            <w:tcW w:w="900" w:type="dxa"/>
            <w:vAlign w:val="bottom"/>
            <w:tcBorders>
              <w:bottom w:val="single" w:sz="8" w:color="A6A6A6"/>
            </w:tcBorders>
          </w:tcPr>
          <w:p>
            <w:pPr>
              <w:spacing w:after="0"/>
              <w:rPr>
                <w:sz w:val="2"/>
                <w:szCs w:val="2"/>
                <w:color w:val="auto"/>
              </w:rPr>
            </w:pPr>
          </w:p>
        </w:tc>
        <w:tc>
          <w:tcPr>
            <w:tcW w:w="820" w:type="dxa"/>
            <w:vAlign w:val="bottom"/>
            <w:tcBorders>
              <w:bottom w:val="single" w:sz="8" w:color="A6A6A6"/>
            </w:tcBorders>
          </w:tcPr>
          <w:p>
            <w:pPr>
              <w:spacing w:after="0"/>
              <w:rPr>
                <w:sz w:val="2"/>
                <w:szCs w:val="2"/>
                <w:color w:val="auto"/>
              </w:rPr>
            </w:pPr>
          </w:p>
        </w:tc>
        <w:tc>
          <w:tcPr>
            <w:tcW w:w="102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line="164" w:lineRule="exact"/>
              <w:rPr>
                <w:sz w:val="20"/>
                <w:szCs w:val="20"/>
                <w:color w:val="auto"/>
              </w:rPr>
            </w:pPr>
            <w:r>
              <w:rPr>
                <w:rFonts w:ascii="Calibri" w:cs="Calibri" w:eastAsia="Calibri" w:hAnsi="Calibri"/>
                <w:sz w:val="14"/>
                <w:szCs w:val="14"/>
                <w:color w:val="auto"/>
              </w:rPr>
              <w:t>2021</w:t>
            </w:r>
          </w:p>
        </w:tc>
        <w:tc>
          <w:tcPr>
            <w:tcW w:w="1240" w:type="dxa"/>
            <w:vAlign w:val="bottom"/>
          </w:tcPr>
          <w:p>
            <w:pPr>
              <w:ind w:left="140"/>
              <w:spacing w:after="0" w:line="164" w:lineRule="exact"/>
              <w:rPr>
                <w:sz w:val="20"/>
                <w:szCs w:val="20"/>
                <w:color w:val="auto"/>
              </w:rPr>
            </w:pPr>
            <w:r>
              <w:rPr>
                <w:rFonts w:ascii="Calibri" w:cs="Calibri" w:eastAsia="Calibri" w:hAnsi="Calibri"/>
                <w:sz w:val="14"/>
                <w:szCs w:val="14"/>
                <w:color w:val="auto"/>
              </w:rPr>
              <w:t>PEO</w:t>
            </w:r>
          </w:p>
        </w:tc>
        <w:tc>
          <w:tcPr>
            <w:tcW w:w="120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7,537,100</w:t>
            </w:r>
          </w:p>
        </w:tc>
        <w:tc>
          <w:tcPr>
            <w:tcW w:w="9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(4,146,759)</w:t>
            </w:r>
          </w:p>
        </w:tc>
        <w:tc>
          <w:tcPr>
            <w:tcW w:w="88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5,567,123</w:t>
            </w:r>
          </w:p>
        </w:tc>
        <w:tc>
          <w:tcPr>
            <w:tcW w:w="900" w:type="dxa"/>
            <w:vAlign w:val="bottom"/>
          </w:tcPr>
          <w:p>
            <w:pPr>
              <w:jc w:val="right"/>
              <w:ind w:right="88"/>
              <w:spacing w:after="0" w:line="164" w:lineRule="exact"/>
              <w:rPr>
                <w:sz w:val="20"/>
                <w:szCs w:val="20"/>
                <w:color w:val="auto"/>
              </w:rPr>
            </w:pPr>
            <w:r>
              <w:rPr>
                <w:rFonts w:ascii="Calibri" w:cs="Calibri" w:eastAsia="Calibri" w:hAnsi="Calibri"/>
                <w:sz w:val="14"/>
                <w:szCs w:val="14"/>
                <w:color w:val="auto"/>
              </w:rPr>
              <w:t>756,685</w:t>
            </w:r>
          </w:p>
        </w:tc>
        <w:tc>
          <w:tcPr>
            <w:tcW w:w="8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977,250</w:t>
            </w:r>
          </w:p>
        </w:tc>
        <w:tc>
          <w:tcPr>
            <w:tcW w:w="1020" w:type="dxa"/>
            <w:vAlign w:val="bottom"/>
          </w:tcPr>
          <w:p>
            <w:pPr>
              <w:jc w:val="right"/>
              <w:ind w:right="12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10,691,399</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alibri" w:cs="Calibri" w:eastAsia="Calibri" w:hAnsi="Calibri"/>
                <w:sz w:val="14"/>
                <w:szCs w:val="14"/>
                <w:color w:val="auto"/>
              </w:rPr>
              <w:t>Non-PEO NEOs</w:t>
            </w:r>
          </w:p>
        </w:tc>
        <w:tc>
          <w:tcPr>
            <w:tcW w:w="1200" w:type="dxa"/>
            <w:vAlign w:val="bottom"/>
          </w:tcPr>
          <w:p>
            <w:pPr>
              <w:jc w:val="right"/>
              <w:ind w:right="8"/>
              <w:spacing w:after="0"/>
              <w:rPr>
                <w:sz w:val="20"/>
                <w:szCs w:val="20"/>
                <w:color w:val="auto"/>
              </w:rPr>
            </w:pPr>
            <w:r>
              <w:rPr>
                <w:rFonts w:ascii="Calibri" w:cs="Calibri" w:eastAsia="Calibri" w:hAnsi="Calibri"/>
                <w:sz w:val="14"/>
                <w:szCs w:val="14"/>
                <w:color w:val="auto"/>
              </w:rPr>
              <w:t>1,678,125</w:t>
            </w:r>
          </w:p>
        </w:tc>
        <w:tc>
          <w:tcPr>
            <w:tcW w:w="940" w:type="dxa"/>
            <w:vAlign w:val="bottom"/>
          </w:tcPr>
          <w:p>
            <w:pPr>
              <w:jc w:val="right"/>
              <w:ind w:right="28"/>
              <w:spacing w:after="0"/>
              <w:rPr>
                <w:sz w:val="20"/>
                <w:szCs w:val="20"/>
                <w:color w:val="auto"/>
              </w:rPr>
            </w:pPr>
            <w:r>
              <w:rPr>
                <w:rFonts w:ascii="Calibri" w:cs="Calibri" w:eastAsia="Calibri" w:hAnsi="Calibri"/>
                <w:sz w:val="14"/>
                <w:szCs w:val="14"/>
                <w:color w:val="auto"/>
              </w:rPr>
              <w:t>(691,110)</w:t>
            </w:r>
          </w:p>
        </w:tc>
        <w:tc>
          <w:tcPr>
            <w:tcW w:w="880" w:type="dxa"/>
            <w:vAlign w:val="bottom"/>
          </w:tcPr>
          <w:p>
            <w:pPr>
              <w:jc w:val="right"/>
              <w:ind w:right="68"/>
              <w:spacing w:after="0"/>
              <w:rPr>
                <w:sz w:val="20"/>
                <w:szCs w:val="20"/>
                <w:color w:val="auto"/>
              </w:rPr>
            </w:pPr>
            <w:r>
              <w:rPr>
                <w:rFonts w:ascii="Calibri" w:cs="Calibri" w:eastAsia="Calibri" w:hAnsi="Calibri"/>
                <w:sz w:val="14"/>
                <w:szCs w:val="14"/>
                <w:color w:val="auto"/>
              </w:rPr>
              <w:t>927,825</w:t>
            </w:r>
          </w:p>
        </w:tc>
        <w:tc>
          <w:tcPr>
            <w:tcW w:w="900" w:type="dxa"/>
            <w:vAlign w:val="bottom"/>
          </w:tcPr>
          <w:p>
            <w:pPr>
              <w:jc w:val="right"/>
              <w:ind w:right="88"/>
              <w:spacing w:after="0"/>
              <w:rPr>
                <w:sz w:val="20"/>
                <w:szCs w:val="20"/>
                <w:color w:val="auto"/>
              </w:rPr>
            </w:pPr>
            <w:r>
              <w:rPr>
                <w:rFonts w:ascii="Calibri" w:cs="Calibri" w:eastAsia="Calibri" w:hAnsi="Calibri"/>
                <w:sz w:val="14"/>
                <w:szCs w:val="14"/>
                <w:color w:val="auto"/>
              </w:rPr>
              <w:t>170,049</w:t>
            </w:r>
          </w:p>
        </w:tc>
        <w:tc>
          <w:tcPr>
            <w:tcW w:w="820" w:type="dxa"/>
            <w:vAlign w:val="bottom"/>
          </w:tcPr>
          <w:p>
            <w:pPr>
              <w:jc w:val="right"/>
              <w:ind w:right="68"/>
              <w:spacing w:after="0"/>
              <w:rPr>
                <w:sz w:val="20"/>
                <w:szCs w:val="20"/>
                <w:color w:val="auto"/>
              </w:rPr>
            </w:pPr>
            <w:r>
              <w:rPr>
                <w:rFonts w:ascii="Calibri" w:cs="Calibri" w:eastAsia="Calibri" w:hAnsi="Calibri"/>
                <w:sz w:val="14"/>
                <w:szCs w:val="14"/>
                <w:color w:val="auto"/>
              </w:rPr>
              <w:t>181,385</w:t>
            </w:r>
          </w:p>
        </w:tc>
        <w:tc>
          <w:tcPr>
            <w:tcW w:w="1020" w:type="dxa"/>
            <w:vAlign w:val="bottom"/>
          </w:tcPr>
          <w:p>
            <w:pPr>
              <w:jc w:val="right"/>
              <w:ind w:right="128"/>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ind w:right="68"/>
              <w:spacing w:after="0"/>
              <w:rPr>
                <w:sz w:val="20"/>
                <w:szCs w:val="20"/>
                <w:color w:val="auto"/>
              </w:rPr>
            </w:pPr>
            <w:r>
              <w:rPr>
                <w:rFonts w:ascii="Calibri" w:cs="Calibri" w:eastAsia="Calibri" w:hAnsi="Calibri"/>
                <w:sz w:val="14"/>
                <w:szCs w:val="14"/>
                <w:color w:val="auto"/>
              </w:rPr>
              <w:t>2,266,274</w:t>
            </w:r>
          </w:p>
        </w:tc>
        <w:tc>
          <w:tcPr>
            <w:tcW w:w="0" w:type="dxa"/>
            <w:vAlign w:val="bottom"/>
          </w:tcPr>
          <w:p>
            <w:pPr>
              <w:spacing w:after="0"/>
              <w:rPr>
                <w:sz w:val="1"/>
                <w:szCs w:val="1"/>
                <w:color w:val="auto"/>
              </w:rPr>
            </w:pPr>
          </w:p>
        </w:tc>
      </w:tr>
      <w:tr>
        <w:trPr>
          <w:trHeight w:val="33"/>
        </w:trPr>
        <w:tc>
          <w:tcPr>
            <w:tcW w:w="440" w:type="dxa"/>
            <w:vAlign w:val="bottom"/>
            <w:tcBorders>
              <w:bottom w:val="single" w:sz="8" w:color="A6A6A6"/>
            </w:tcBorders>
          </w:tcPr>
          <w:p>
            <w:pPr>
              <w:spacing w:after="0"/>
              <w:rPr>
                <w:sz w:val="2"/>
                <w:szCs w:val="2"/>
                <w:color w:val="auto"/>
              </w:rPr>
            </w:pPr>
          </w:p>
        </w:tc>
        <w:tc>
          <w:tcPr>
            <w:tcW w:w="1240" w:type="dxa"/>
            <w:vAlign w:val="bottom"/>
            <w:tcBorders>
              <w:bottom w:val="single" w:sz="8" w:color="A6A6A6"/>
            </w:tcBorders>
          </w:tcPr>
          <w:p>
            <w:pPr>
              <w:spacing w:after="0"/>
              <w:rPr>
                <w:sz w:val="2"/>
                <w:szCs w:val="2"/>
                <w:color w:val="auto"/>
              </w:rPr>
            </w:pPr>
          </w:p>
        </w:tc>
        <w:tc>
          <w:tcPr>
            <w:tcW w:w="120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880" w:type="dxa"/>
            <w:vAlign w:val="bottom"/>
            <w:tcBorders>
              <w:bottom w:val="single" w:sz="8" w:color="A6A6A6"/>
            </w:tcBorders>
          </w:tcPr>
          <w:p>
            <w:pPr>
              <w:spacing w:after="0"/>
              <w:rPr>
                <w:sz w:val="2"/>
                <w:szCs w:val="2"/>
                <w:color w:val="auto"/>
              </w:rPr>
            </w:pPr>
          </w:p>
        </w:tc>
        <w:tc>
          <w:tcPr>
            <w:tcW w:w="900" w:type="dxa"/>
            <w:vAlign w:val="bottom"/>
            <w:tcBorders>
              <w:bottom w:val="single" w:sz="8" w:color="A6A6A6"/>
            </w:tcBorders>
          </w:tcPr>
          <w:p>
            <w:pPr>
              <w:spacing w:after="0"/>
              <w:rPr>
                <w:sz w:val="2"/>
                <w:szCs w:val="2"/>
                <w:color w:val="auto"/>
              </w:rPr>
            </w:pPr>
          </w:p>
        </w:tc>
        <w:tc>
          <w:tcPr>
            <w:tcW w:w="820" w:type="dxa"/>
            <w:vAlign w:val="bottom"/>
            <w:tcBorders>
              <w:bottom w:val="single" w:sz="8" w:color="A6A6A6"/>
            </w:tcBorders>
          </w:tcPr>
          <w:p>
            <w:pPr>
              <w:spacing w:after="0"/>
              <w:rPr>
                <w:sz w:val="2"/>
                <w:szCs w:val="2"/>
                <w:color w:val="auto"/>
              </w:rPr>
            </w:pPr>
          </w:p>
        </w:tc>
        <w:tc>
          <w:tcPr>
            <w:tcW w:w="102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line="164" w:lineRule="exact"/>
              <w:rPr>
                <w:sz w:val="20"/>
                <w:szCs w:val="20"/>
                <w:color w:val="auto"/>
              </w:rPr>
            </w:pPr>
            <w:r>
              <w:rPr>
                <w:rFonts w:ascii="Calibri" w:cs="Calibri" w:eastAsia="Calibri" w:hAnsi="Calibri"/>
                <w:sz w:val="14"/>
                <w:szCs w:val="14"/>
                <w:color w:val="auto"/>
              </w:rPr>
              <w:t>2020</w:t>
            </w:r>
          </w:p>
        </w:tc>
        <w:tc>
          <w:tcPr>
            <w:tcW w:w="1240" w:type="dxa"/>
            <w:vAlign w:val="bottom"/>
          </w:tcPr>
          <w:p>
            <w:pPr>
              <w:ind w:left="140"/>
              <w:spacing w:after="0" w:line="164" w:lineRule="exact"/>
              <w:rPr>
                <w:sz w:val="20"/>
                <w:szCs w:val="20"/>
                <w:color w:val="auto"/>
              </w:rPr>
            </w:pPr>
            <w:r>
              <w:rPr>
                <w:rFonts w:ascii="Calibri" w:cs="Calibri" w:eastAsia="Calibri" w:hAnsi="Calibri"/>
                <w:sz w:val="14"/>
                <w:szCs w:val="14"/>
                <w:color w:val="auto"/>
              </w:rPr>
              <w:t>PEO</w:t>
            </w:r>
          </w:p>
        </w:tc>
        <w:tc>
          <w:tcPr>
            <w:tcW w:w="120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7,703,508</w:t>
            </w:r>
          </w:p>
        </w:tc>
        <w:tc>
          <w:tcPr>
            <w:tcW w:w="94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(4,976,970)</w:t>
            </w:r>
          </w:p>
        </w:tc>
        <w:tc>
          <w:tcPr>
            <w:tcW w:w="88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5,425,560</w:t>
            </w:r>
          </w:p>
        </w:tc>
        <w:tc>
          <w:tcPr>
            <w:tcW w:w="900" w:type="dxa"/>
            <w:vAlign w:val="bottom"/>
          </w:tcPr>
          <w:p>
            <w:pPr>
              <w:jc w:val="right"/>
              <w:ind w:right="88"/>
              <w:spacing w:after="0" w:line="164" w:lineRule="exact"/>
              <w:rPr>
                <w:sz w:val="20"/>
                <w:szCs w:val="20"/>
                <w:color w:val="auto"/>
              </w:rPr>
            </w:pPr>
            <w:r>
              <w:rPr>
                <w:rFonts w:ascii="Calibri" w:cs="Calibri" w:eastAsia="Calibri" w:hAnsi="Calibri"/>
                <w:sz w:val="14"/>
                <w:szCs w:val="14"/>
                <w:color w:val="auto"/>
              </w:rPr>
              <w:t>2,390,685</w:t>
            </w:r>
          </w:p>
        </w:tc>
        <w:tc>
          <w:tcPr>
            <w:tcW w:w="82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2,061,208</w:t>
            </w:r>
          </w:p>
        </w:tc>
        <w:tc>
          <w:tcPr>
            <w:tcW w:w="1020" w:type="dxa"/>
            <w:vAlign w:val="bottom"/>
          </w:tcPr>
          <w:p>
            <w:pPr>
              <w:jc w:val="right"/>
              <w:ind w:right="128"/>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68"/>
              <w:spacing w:after="0" w:line="164" w:lineRule="exact"/>
              <w:rPr>
                <w:sz w:val="20"/>
                <w:szCs w:val="20"/>
                <w:color w:val="auto"/>
              </w:rPr>
            </w:pPr>
            <w:r>
              <w:rPr>
                <w:rFonts w:ascii="Calibri" w:cs="Calibri" w:eastAsia="Calibri" w:hAnsi="Calibri"/>
                <w:sz w:val="14"/>
                <w:szCs w:val="14"/>
                <w:color w:val="auto"/>
              </w:rPr>
              <w:t>12,603,991</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alibri" w:cs="Calibri" w:eastAsia="Calibri" w:hAnsi="Calibri"/>
                <w:sz w:val="14"/>
                <w:szCs w:val="14"/>
                <w:color w:val="auto"/>
              </w:rPr>
              <w:t>Non-PEO NEOs</w:t>
            </w:r>
          </w:p>
        </w:tc>
        <w:tc>
          <w:tcPr>
            <w:tcW w:w="1200" w:type="dxa"/>
            <w:vAlign w:val="bottom"/>
          </w:tcPr>
          <w:p>
            <w:pPr>
              <w:jc w:val="right"/>
              <w:ind w:right="8"/>
              <w:spacing w:after="0"/>
              <w:rPr>
                <w:sz w:val="20"/>
                <w:szCs w:val="20"/>
                <w:color w:val="auto"/>
              </w:rPr>
            </w:pPr>
            <w:r>
              <w:rPr>
                <w:rFonts w:ascii="Calibri" w:cs="Calibri" w:eastAsia="Calibri" w:hAnsi="Calibri"/>
                <w:sz w:val="14"/>
                <w:szCs w:val="14"/>
                <w:color w:val="auto"/>
              </w:rPr>
              <w:t>1,722,505</w:t>
            </w:r>
          </w:p>
        </w:tc>
        <w:tc>
          <w:tcPr>
            <w:tcW w:w="940" w:type="dxa"/>
            <w:vAlign w:val="bottom"/>
          </w:tcPr>
          <w:p>
            <w:pPr>
              <w:jc w:val="right"/>
              <w:ind w:right="28"/>
              <w:spacing w:after="0"/>
              <w:rPr>
                <w:sz w:val="20"/>
                <w:szCs w:val="20"/>
                <w:color w:val="auto"/>
              </w:rPr>
            </w:pPr>
            <w:r>
              <w:rPr>
                <w:rFonts w:ascii="Calibri" w:cs="Calibri" w:eastAsia="Calibri" w:hAnsi="Calibri"/>
                <w:sz w:val="14"/>
                <w:szCs w:val="14"/>
                <w:color w:val="auto"/>
              </w:rPr>
              <w:t>(893,427)</w:t>
            </w:r>
          </w:p>
        </w:tc>
        <w:tc>
          <w:tcPr>
            <w:tcW w:w="880" w:type="dxa"/>
            <w:vAlign w:val="bottom"/>
          </w:tcPr>
          <w:p>
            <w:pPr>
              <w:jc w:val="right"/>
              <w:ind w:right="68"/>
              <w:spacing w:after="0"/>
              <w:rPr>
                <w:sz w:val="20"/>
                <w:szCs w:val="20"/>
                <w:color w:val="auto"/>
              </w:rPr>
            </w:pPr>
            <w:r>
              <w:rPr>
                <w:rFonts w:ascii="Calibri" w:cs="Calibri" w:eastAsia="Calibri" w:hAnsi="Calibri"/>
                <w:sz w:val="14"/>
                <w:szCs w:val="14"/>
                <w:color w:val="auto"/>
              </w:rPr>
              <w:t>834,434</w:t>
            </w:r>
          </w:p>
        </w:tc>
        <w:tc>
          <w:tcPr>
            <w:tcW w:w="900" w:type="dxa"/>
            <w:vAlign w:val="bottom"/>
          </w:tcPr>
          <w:p>
            <w:pPr>
              <w:jc w:val="right"/>
              <w:ind w:right="88"/>
              <w:spacing w:after="0"/>
              <w:rPr>
                <w:sz w:val="20"/>
                <w:szCs w:val="20"/>
                <w:color w:val="auto"/>
              </w:rPr>
            </w:pPr>
            <w:r>
              <w:rPr>
                <w:rFonts w:ascii="Calibri" w:cs="Calibri" w:eastAsia="Calibri" w:hAnsi="Calibri"/>
                <w:sz w:val="14"/>
                <w:szCs w:val="14"/>
                <w:color w:val="auto"/>
              </w:rPr>
              <w:t>557,540</w:t>
            </w:r>
          </w:p>
        </w:tc>
        <w:tc>
          <w:tcPr>
            <w:tcW w:w="820" w:type="dxa"/>
            <w:vAlign w:val="bottom"/>
          </w:tcPr>
          <w:p>
            <w:pPr>
              <w:jc w:val="right"/>
              <w:ind w:right="68"/>
              <w:spacing w:after="0"/>
              <w:rPr>
                <w:sz w:val="20"/>
                <w:szCs w:val="20"/>
                <w:color w:val="auto"/>
              </w:rPr>
            </w:pPr>
            <w:r>
              <w:rPr>
                <w:rFonts w:ascii="Calibri" w:cs="Calibri" w:eastAsia="Calibri" w:hAnsi="Calibri"/>
                <w:sz w:val="14"/>
                <w:szCs w:val="14"/>
                <w:color w:val="auto"/>
              </w:rPr>
              <w:t>681,992</w:t>
            </w:r>
          </w:p>
        </w:tc>
        <w:tc>
          <w:tcPr>
            <w:tcW w:w="1020" w:type="dxa"/>
            <w:vAlign w:val="bottom"/>
          </w:tcPr>
          <w:p>
            <w:pPr>
              <w:jc w:val="right"/>
              <w:ind w:right="128"/>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ind w:right="68"/>
              <w:spacing w:after="0"/>
              <w:rPr>
                <w:sz w:val="20"/>
                <w:szCs w:val="20"/>
                <w:color w:val="auto"/>
              </w:rPr>
            </w:pPr>
            <w:r>
              <w:rPr>
                <w:rFonts w:ascii="Calibri" w:cs="Calibri" w:eastAsia="Calibri" w:hAnsi="Calibri"/>
                <w:sz w:val="14"/>
                <w:szCs w:val="14"/>
                <w:color w:val="auto"/>
              </w:rPr>
              <w:t>2,903,044</w:t>
            </w:r>
          </w:p>
        </w:tc>
        <w:tc>
          <w:tcPr>
            <w:tcW w:w="0" w:type="dxa"/>
            <w:vAlign w:val="bottom"/>
          </w:tcPr>
          <w:p>
            <w:pPr>
              <w:spacing w:after="0"/>
              <w:rPr>
                <w:sz w:val="1"/>
                <w:szCs w:val="1"/>
                <w:color w:val="auto"/>
              </w:rPr>
            </w:pPr>
          </w:p>
        </w:tc>
      </w:tr>
      <w:tr>
        <w:trPr>
          <w:trHeight w:val="40"/>
        </w:trPr>
        <w:tc>
          <w:tcPr>
            <w:tcW w:w="440" w:type="dxa"/>
            <w:vAlign w:val="bottom"/>
            <w:tcBorders>
              <w:bottom w:val="single" w:sz="8" w:color="AF0000"/>
            </w:tcBorders>
          </w:tcPr>
          <w:p>
            <w:pPr>
              <w:spacing w:after="0"/>
              <w:rPr>
                <w:sz w:val="3"/>
                <w:szCs w:val="3"/>
                <w:color w:val="auto"/>
              </w:rPr>
            </w:pPr>
          </w:p>
        </w:tc>
        <w:tc>
          <w:tcPr>
            <w:tcW w:w="1240" w:type="dxa"/>
            <w:vAlign w:val="bottom"/>
            <w:tcBorders>
              <w:bottom w:val="single" w:sz="8" w:color="AF0000"/>
            </w:tcBorders>
          </w:tcPr>
          <w:p>
            <w:pPr>
              <w:spacing w:after="0"/>
              <w:rPr>
                <w:sz w:val="3"/>
                <w:szCs w:val="3"/>
                <w:color w:val="auto"/>
              </w:rPr>
            </w:pPr>
          </w:p>
        </w:tc>
        <w:tc>
          <w:tcPr>
            <w:tcW w:w="1200" w:type="dxa"/>
            <w:vAlign w:val="bottom"/>
            <w:tcBorders>
              <w:bottom w:val="single" w:sz="8" w:color="AF0000"/>
            </w:tcBorders>
          </w:tcPr>
          <w:p>
            <w:pPr>
              <w:spacing w:after="0"/>
              <w:rPr>
                <w:sz w:val="3"/>
                <w:szCs w:val="3"/>
                <w:color w:val="auto"/>
              </w:rPr>
            </w:pPr>
          </w:p>
        </w:tc>
        <w:tc>
          <w:tcPr>
            <w:tcW w:w="940" w:type="dxa"/>
            <w:vAlign w:val="bottom"/>
            <w:tcBorders>
              <w:bottom w:val="single" w:sz="8" w:color="AF0000"/>
            </w:tcBorders>
          </w:tcPr>
          <w:p>
            <w:pPr>
              <w:spacing w:after="0"/>
              <w:rPr>
                <w:sz w:val="3"/>
                <w:szCs w:val="3"/>
                <w:color w:val="auto"/>
              </w:rPr>
            </w:pPr>
          </w:p>
        </w:tc>
        <w:tc>
          <w:tcPr>
            <w:tcW w:w="880" w:type="dxa"/>
            <w:vAlign w:val="bottom"/>
            <w:tcBorders>
              <w:bottom w:val="single" w:sz="8" w:color="AF0000"/>
            </w:tcBorders>
          </w:tcPr>
          <w:p>
            <w:pPr>
              <w:spacing w:after="0"/>
              <w:rPr>
                <w:sz w:val="3"/>
                <w:szCs w:val="3"/>
                <w:color w:val="auto"/>
              </w:rPr>
            </w:pPr>
          </w:p>
        </w:tc>
        <w:tc>
          <w:tcPr>
            <w:tcW w:w="900" w:type="dxa"/>
            <w:vAlign w:val="bottom"/>
            <w:tcBorders>
              <w:bottom w:val="single" w:sz="8" w:color="AF0000"/>
            </w:tcBorders>
          </w:tcPr>
          <w:p>
            <w:pPr>
              <w:spacing w:after="0"/>
              <w:rPr>
                <w:sz w:val="3"/>
                <w:szCs w:val="3"/>
                <w:color w:val="auto"/>
              </w:rPr>
            </w:pPr>
          </w:p>
        </w:tc>
        <w:tc>
          <w:tcPr>
            <w:tcW w:w="820" w:type="dxa"/>
            <w:vAlign w:val="bottom"/>
            <w:tcBorders>
              <w:bottom w:val="single" w:sz="8" w:color="AF0000"/>
            </w:tcBorders>
          </w:tcPr>
          <w:p>
            <w:pPr>
              <w:spacing w:after="0"/>
              <w:rPr>
                <w:sz w:val="3"/>
                <w:szCs w:val="3"/>
                <w:color w:val="auto"/>
              </w:rPr>
            </w:pPr>
          </w:p>
        </w:tc>
        <w:tc>
          <w:tcPr>
            <w:tcW w:w="1020" w:type="dxa"/>
            <w:vAlign w:val="bottom"/>
            <w:tcBorders>
              <w:bottom w:val="single" w:sz="8" w:color="AF0000"/>
            </w:tcBorders>
          </w:tcPr>
          <w:p>
            <w:pPr>
              <w:spacing w:after="0"/>
              <w:rPr>
                <w:sz w:val="3"/>
                <w:szCs w:val="3"/>
                <w:color w:val="auto"/>
              </w:rPr>
            </w:pPr>
          </w:p>
        </w:tc>
        <w:tc>
          <w:tcPr>
            <w:tcW w:w="1140" w:type="dxa"/>
            <w:vAlign w:val="bottom"/>
            <w:tcBorders>
              <w:bottom w:val="single" w:sz="8" w:color="AF000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40" w:right="519" w:hanging="331"/>
        <w:spacing w:after="0" w:line="239" w:lineRule="auto"/>
        <w:tabs>
          <w:tab w:leader="none" w:pos="540" w:val="left"/>
        </w:tabs>
        <w:numPr>
          <w:ilvl w:val="0"/>
          <w:numId w:val="100"/>
        </w:numPr>
        <w:rPr>
          <w:rFonts w:ascii="Calibri" w:cs="Calibri" w:eastAsia="Calibri" w:hAnsi="Calibri"/>
          <w:sz w:val="16"/>
          <w:szCs w:val="16"/>
          <w:color w:val="AF0000"/>
        </w:rPr>
      </w:pPr>
      <w:r>
        <w:rPr>
          <w:rFonts w:ascii="Calibri" w:cs="Calibri" w:eastAsia="Calibri" w:hAnsi="Calibri"/>
          <w:sz w:val="16"/>
          <w:szCs w:val="16"/>
          <w:color w:val="auto"/>
        </w:rPr>
        <w:t>For 2023, Raul Parra, Neil W. Peterson, Brian G. Lloyd and Joseph C. Wright were the Non-PEO NEOs. For 2022, Raul Parra, Neil W. Peterson, Brian G. Lloyd, Joseph C. Wright and Ronald A. Frost were the Non-PEO NEOs. For 2021 and 2020, Raul Parra, Ronald A. Frost, Brian G. Lloyd and Joseph C. Wright were the Non-PEO NEOs.</w:t>
      </w:r>
    </w:p>
    <w:p>
      <w:pPr>
        <w:spacing w:after="0" w:line="1" w:lineRule="exact"/>
        <w:rPr>
          <w:rFonts w:ascii="Calibri" w:cs="Calibri" w:eastAsia="Calibri" w:hAnsi="Calibri"/>
          <w:sz w:val="16"/>
          <w:szCs w:val="16"/>
          <w:color w:val="AF0000"/>
        </w:rPr>
      </w:pPr>
    </w:p>
    <w:p>
      <w:pPr>
        <w:ind w:left="540" w:right="319" w:hanging="331"/>
        <w:spacing w:after="0" w:line="235" w:lineRule="auto"/>
        <w:tabs>
          <w:tab w:leader="none" w:pos="540" w:val="left"/>
        </w:tabs>
        <w:numPr>
          <w:ilvl w:val="0"/>
          <w:numId w:val="100"/>
        </w:numPr>
        <w:rPr>
          <w:rFonts w:ascii="Calibri" w:cs="Calibri" w:eastAsia="Calibri" w:hAnsi="Calibri"/>
          <w:sz w:val="16"/>
          <w:szCs w:val="16"/>
          <w:color w:val="AF0000"/>
        </w:rPr>
      </w:pPr>
      <w:r>
        <w:rPr>
          <w:rFonts w:ascii="Calibri" w:cs="Calibri" w:eastAsia="Calibri" w:hAnsi="Calibri"/>
          <w:sz w:val="16"/>
          <w:szCs w:val="16"/>
          <w:color w:val="auto"/>
        </w:rPr>
        <w:t xml:space="preserve">Peer Group Total Shareholder return is based on NASDAQ Stocks (SIC 3840-3849 US Companies Surgical, Medical, and Dental Instruments and Supplies) (the </w:t>
      </w:r>
      <w:r>
        <w:rPr>
          <w:rFonts w:ascii="Calibri" w:cs="Calibri" w:eastAsia="Calibri" w:hAnsi="Calibri"/>
          <w:sz w:val="16"/>
          <w:szCs w:val="16"/>
          <w:u w:val="single" w:color="auto"/>
          <w:color w:val="AF0000"/>
        </w:rPr>
        <w:t>NASDAQ Peer Group</w:t>
      </w:r>
      <w:r>
        <w:rPr>
          <w:rFonts w:ascii="Calibri" w:cs="Calibri" w:eastAsia="Calibri" w:hAnsi="Calibri"/>
          <w:sz w:val="16"/>
          <w:szCs w:val="16"/>
          <w:color w:val="auto"/>
        </w:rPr>
        <w:t>). The NASDAQ Peer Group is the peer group used by the Company for the purposes of item 201(e) of Regulaton S-K under the Exchange Act in the Company’s Annual Report on Form 10-K for the year ended December 31, 2023. The companies included in the NASDAQ Peer Group are set forth on Appendix A atached hereto. The NASDAQ Peer Group was prepared by Zacks Investment Research, Inc. and is used with permission. All rights reserved. Copyright 1980-2023. Index Data: Copyright NASDAQ OMX, Inc.</w:t>
      </w:r>
    </w:p>
    <w:p>
      <w:pPr>
        <w:spacing w:after="0" w:line="200" w:lineRule="exact"/>
        <w:rPr>
          <w:sz w:val="20"/>
          <w:szCs w:val="20"/>
          <w:color w:val="auto"/>
        </w:rPr>
      </w:pPr>
    </w:p>
    <w:p>
      <w:pPr>
        <w:spacing w:after="0" w:line="237"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73" w:name="page74"/>
    <w:bookmarkEnd w:id="73"/>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40" w:lineRule="exact"/>
        <w:rPr>
          <w:sz w:val="20"/>
          <w:szCs w:val="20"/>
          <w:color w:val="auto"/>
        </w:rPr>
      </w:pPr>
    </w:p>
    <w:p>
      <w:pPr>
        <w:ind w:left="540" w:right="259" w:hanging="331"/>
        <w:spacing w:after="0" w:line="236" w:lineRule="auto"/>
        <w:tabs>
          <w:tab w:leader="none" w:pos="540" w:val="left"/>
        </w:tabs>
        <w:numPr>
          <w:ilvl w:val="0"/>
          <w:numId w:val="101"/>
        </w:numPr>
        <w:rPr>
          <w:rFonts w:ascii="Calibri" w:cs="Calibri" w:eastAsia="Calibri" w:hAnsi="Calibri"/>
          <w:sz w:val="16"/>
          <w:szCs w:val="16"/>
          <w:color w:val="AF0000"/>
        </w:rPr>
      </w:pPr>
      <w:r>
        <w:rPr>
          <w:rFonts w:ascii="Calibri" w:cs="Calibri" w:eastAsia="Calibri" w:hAnsi="Calibri"/>
          <w:sz w:val="16"/>
          <w:szCs w:val="16"/>
          <w:color w:val="auto"/>
        </w:rPr>
        <w:t>The Company Selected Measure is Non-GAAP Operatng Margin. Non-GAAP operatng income is calculated by adjustng GAAP operatng income for certain items which are deemed by the Company’s management to be outside of core operatons and vary in amount and frequency among periods, such as expenses related to acquisitons or other extraordinary transactons, non-cash expenses related to amortzaton or write-of of previously acquired tangible and intangible assets, certain severance expenses, performance-based stock compensaton expenses, corporate transformaton expenses, expenses resultng from non-ordinary course litgaton or administratve proceedings and resultng setlements, governmental proceedings, and changes in governmental or industry regulatons, as well as other items. Non-GAAP operatng margin is calculated by dividing non-GAAP operatng income by reported net sales. A reconciliaton of non-GAAP fnancial measures used in this Proxy Statement to their most directly comparable GAAP fnancial measures is included under the heading “Non-GAAP Financial Measures” below. The Company selected this measure because it is a principal metric upon which our Foundatons for Growth Program is based, and a key metric considered by the Compensaton Commitee in making its determinatons regarding compensaton of our PEO and Non-PEO NEOs.</w:t>
      </w:r>
    </w:p>
    <w:p>
      <w:pPr>
        <w:spacing w:after="0" w:line="193" w:lineRule="exact"/>
        <w:rPr>
          <w:sz w:val="20"/>
          <w:szCs w:val="20"/>
          <w:color w:val="auto"/>
        </w:rPr>
      </w:pPr>
    </w:p>
    <w:p>
      <w:pPr>
        <w:ind w:left="200" w:right="239"/>
        <w:spacing w:after="0" w:line="237" w:lineRule="auto"/>
        <w:rPr>
          <w:sz w:val="20"/>
          <w:szCs w:val="20"/>
          <w:color w:val="auto"/>
        </w:rPr>
      </w:pPr>
      <w:r>
        <w:rPr>
          <w:rFonts w:ascii="Calibri" w:cs="Calibri" w:eastAsia="Calibri" w:hAnsi="Calibri"/>
          <w:sz w:val="16"/>
          <w:szCs w:val="16"/>
          <w:color w:val="auto"/>
        </w:rPr>
        <w:t>The following table identfes the four most important fnancial and strategic measures used by our Compensaton Commitee to link the “compensaton actually paid” (CAP) to our NEOs in 2023, as calculated in accordance with Item 402(v) of Regulaton S-K, to company performance. For a discussion regarding the manner in which these fnancial performance measures are ted to the compensaton of our NEO’s, refer to the secton above enttled “Compensaton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147320</wp:posOffset>
            </wp:positionV>
            <wp:extent cx="350583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05835" cy="171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17780</wp:posOffset>
            </wp:positionV>
            <wp:extent cx="350583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05835" cy="17145"/>
                    </a:xfrm>
                    <a:prstGeom prst="rect">
                      <a:avLst/>
                    </a:prstGeom>
                    <a:noFill/>
                  </pic:spPr>
                </pic:pic>
              </a:graphicData>
            </a:graphic>
          </wp:anchor>
        </w:drawing>
      </w:r>
    </w:p>
    <w:p>
      <w:pPr>
        <w:spacing w:after="0" w:line="14" w:lineRule="exact"/>
        <w:rPr>
          <w:sz w:val="20"/>
          <w:szCs w:val="20"/>
          <w:color w:val="auto"/>
        </w:rPr>
      </w:pPr>
    </w:p>
    <w:p>
      <w:pPr>
        <w:ind w:left="1840"/>
        <w:spacing w:after="0"/>
        <w:rPr>
          <w:sz w:val="20"/>
          <w:szCs w:val="20"/>
          <w:color w:val="auto"/>
        </w:rPr>
      </w:pPr>
      <w:r>
        <w:rPr>
          <w:rFonts w:ascii="Calibri" w:cs="Calibri" w:eastAsia="Calibri" w:hAnsi="Calibri"/>
          <w:sz w:val="16"/>
          <w:szCs w:val="16"/>
          <w:color w:val="auto"/>
        </w:rPr>
        <w:t>Net Sales</w:t>
      </w:r>
    </w:p>
    <w:p>
      <w:pPr>
        <w:spacing w:after="0" w:line="34" w:lineRule="exact"/>
        <w:rPr>
          <w:sz w:val="20"/>
          <w:szCs w:val="20"/>
          <w:color w:val="auto"/>
        </w:rPr>
      </w:pPr>
    </w:p>
    <w:p>
      <w:pPr>
        <w:ind w:left="1840"/>
        <w:spacing w:after="0"/>
        <w:rPr>
          <w:sz w:val="20"/>
          <w:szCs w:val="20"/>
          <w:color w:val="auto"/>
        </w:rPr>
      </w:pPr>
      <w:r>
        <w:rPr>
          <w:rFonts w:ascii="Calibri" w:cs="Calibri" w:eastAsia="Calibri" w:hAnsi="Calibri"/>
          <w:sz w:val="16"/>
          <w:szCs w:val="16"/>
          <w:color w:val="auto"/>
        </w:rPr>
        <w:t>Total Shareholder Return and Peer Group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-119380</wp:posOffset>
            </wp:positionV>
            <wp:extent cx="35058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14" w:lineRule="exact"/>
        <w:rPr>
          <w:sz w:val="20"/>
          <w:szCs w:val="20"/>
          <w:color w:val="auto"/>
        </w:rPr>
      </w:pPr>
    </w:p>
    <w:p>
      <w:pPr>
        <w:ind w:left="1840"/>
        <w:spacing w:after="0"/>
        <w:rPr>
          <w:sz w:val="20"/>
          <w:szCs w:val="20"/>
          <w:color w:val="auto"/>
        </w:rPr>
      </w:pPr>
      <w:r>
        <w:rPr>
          <w:rFonts w:ascii="Calibri" w:cs="Calibri" w:eastAsia="Calibri" w:hAnsi="Calibri"/>
          <w:sz w:val="16"/>
          <w:szCs w:val="16"/>
          <w:color w:val="auto"/>
        </w:rPr>
        <w:t>Non-GAAP Operatng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-118745</wp:posOffset>
            </wp:positionV>
            <wp:extent cx="3505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4" w:lineRule="exact"/>
        <w:rPr>
          <w:sz w:val="20"/>
          <w:szCs w:val="20"/>
          <w:color w:val="auto"/>
        </w:rPr>
      </w:pPr>
    </w:p>
    <w:p>
      <w:pPr>
        <w:ind w:left="1840"/>
        <w:spacing w:after="0"/>
        <w:rPr>
          <w:sz w:val="20"/>
          <w:szCs w:val="20"/>
          <w:color w:val="auto"/>
        </w:rPr>
      </w:pPr>
      <w:r>
        <w:rPr>
          <w:rFonts w:ascii="Calibri" w:cs="Calibri" w:eastAsia="Calibri" w:hAnsi="Calibri"/>
          <w:sz w:val="16"/>
          <w:szCs w:val="16"/>
          <w:color w:val="auto"/>
        </w:rPr>
        <w:t>Non-GAAP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-118745</wp:posOffset>
            </wp:positionV>
            <wp:extent cx="3505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4" w:lineRule="exact"/>
        <w:rPr>
          <w:sz w:val="20"/>
          <w:szCs w:val="20"/>
          <w:color w:val="auto"/>
        </w:rPr>
      </w:pPr>
    </w:p>
    <w:p>
      <w:pPr>
        <w:ind w:left="1840"/>
        <w:spacing w:after="0"/>
        <w:rPr>
          <w:sz w:val="20"/>
          <w:szCs w:val="20"/>
          <w:color w:val="auto"/>
        </w:rPr>
      </w:pPr>
      <w:r>
        <w:rPr>
          <w:rFonts w:ascii="Calibri" w:cs="Calibri" w:eastAsia="Calibri" w:hAnsi="Calibri"/>
          <w:sz w:val="16"/>
          <w:szCs w:val="16"/>
          <w:color w:val="auto"/>
        </w:rPr>
        <w:t>Adjusted Free Cash Flow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17780</wp:posOffset>
            </wp:positionV>
            <wp:extent cx="350583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05835" cy="1714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-118745</wp:posOffset>
            </wp:positionV>
            <wp:extent cx="3505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17" w:lineRule="exact"/>
        <w:rPr>
          <w:sz w:val="20"/>
          <w:szCs w:val="20"/>
          <w:color w:val="auto"/>
        </w:rPr>
      </w:pPr>
    </w:p>
    <w:p>
      <w:pPr>
        <w:ind w:left="200"/>
        <w:spacing w:after="0"/>
        <w:rPr>
          <w:sz w:val="20"/>
          <w:szCs w:val="20"/>
          <w:color w:val="auto"/>
        </w:rPr>
      </w:pPr>
      <w:r>
        <w:rPr>
          <w:rFonts w:ascii="Calibri" w:cs="Calibri" w:eastAsia="Calibri" w:hAnsi="Calibri"/>
          <w:sz w:val="16"/>
          <w:szCs w:val="16"/>
          <w:b w:val="1"/>
          <w:bCs w:val="1"/>
          <w:i w:val="1"/>
          <w:iCs w:val="1"/>
          <w:color w:val="auto"/>
        </w:rPr>
        <w:t>Narratve to the Pay versus Performance Table</w:t>
      </w:r>
    </w:p>
    <w:p>
      <w:pPr>
        <w:spacing w:after="0" w:line="185" w:lineRule="exact"/>
        <w:rPr>
          <w:sz w:val="20"/>
          <w:szCs w:val="20"/>
          <w:color w:val="auto"/>
        </w:rPr>
      </w:pPr>
    </w:p>
    <w:p>
      <w:pPr>
        <w:ind w:left="200" w:right="259"/>
        <w:spacing w:after="0" w:line="234" w:lineRule="auto"/>
        <w:rPr>
          <w:sz w:val="20"/>
          <w:szCs w:val="20"/>
          <w:color w:val="auto"/>
        </w:rPr>
      </w:pPr>
      <w:r>
        <w:rPr>
          <w:rFonts w:ascii="Calibri" w:cs="Calibri" w:eastAsia="Calibri" w:hAnsi="Calibri"/>
          <w:sz w:val="16"/>
          <w:szCs w:val="16"/>
          <w:color w:val="auto"/>
        </w:rPr>
        <w:t>For the year ended December 31, 2023, the most important fnancial measures we identfed linking our compensaton actually paid to our NEOs to the company performance are total shareholder return, net sales, non-GAAP operatng margin, non-GAAP EPS and adjusted free cash fow.</w:t>
      </w:r>
    </w:p>
    <w:p>
      <w:pPr>
        <w:spacing w:after="0" w:line="185" w:lineRule="exact"/>
        <w:rPr>
          <w:sz w:val="20"/>
          <w:szCs w:val="20"/>
          <w:color w:val="auto"/>
        </w:rPr>
      </w:pPr>
    </w:p>
    <w:p>
      <w:pPr>
        <w:ind w:left="200" w:right="299"/>
        <w:spacing w:after="0" w:line="237" w:lineRule="auto"/>
        <w:rPr>
          <w:sz w:val="20"/>
          <w:szCs w:val="20"/>
          <w:color w:val="auto"/>
        </w:rPr>
      </w:pPr>
      <w:r>
        <w:rPr>
          <w:rFonts w:ascii="Calibri" w:cs="Calibri" w:eastAsia="Calibri" w:hAnsi="Calibri"/>
          <w:sz w:val="16"/>
          <w:szCs w:val="16"/>
          <w:color w:val="auto"/>
        </w:rPr>
        <w:t>CAP refects, among other items, adjustments to the fair value of equity awards during the years presented. Factors impactng the fair value of equity awards include the price of our common stock at year end, as well as the projected and actual achievement of performance metrics under our equity awards. Long-term incentves represent a large percentage of our NEOs’ target compensaton. Because the value of our long-term incentve awards is ted to the value of our common stock, TSR will have a signifcant infuence on the value of such awards and thereafer aligns the value of compensaton to the stockholder experience. Performance based equity awards for our NEO’s are based on a targeted adjusted free cash fow metric. The Company’s adjusted free cash fow will have a signifcant impact on the value of these awards and is important to support the Company’s ongoing operatons.</w:t>
      </w:r>
    </w:p>
    <w:p>
      <w:pPr>
        <w:spacing w:after="0" w:line="185" w:lineRule="exact"/>
        <w:rPr>
          <w:sz w:val="20"/>
          <w:szCs w:val="20"/>
          <w:color w:val="auto"/>
        </w:rPr>
      </w:pPr>
    </w:p>
    <w:p>
      <w:pPr>
        <w:ind w:left="200" w:right="259"/>
        <w:spacing w:after="0" w:line="233" w:lineRule="auto"/>
        <w:rPr>
          <w:sz w:val="20"/>
          <w:szCs w:val="20"/>
          <w:color w:val="auto"/>
        </w:rPr>
      </w:pPr>
      <w:r>
        <w:rPr>
          <w:rFonts w:ascii="Calibri" w:cs="Calibri" w:eastAsia="Calibri" w:hAnsi="Calibri"/>
          <w:sz w:val="16"/>
          <w:szCs w:val="16"/>
          <w:color w:val="auto"/>
        </w:rPr>
        <w:t>Net sales, non-GAAP operatng margin and non-GAAP EPS were signifcant components in the determinaton of the short Incentve bonuses under our Executve Bonus Plan and are important measures of our Company’s fnancial performance. Net income is included for disclosure requirements, but there is no relatonship between net income and CAP in our incentve plans except where it applies to non-GAAP EPS, and therefore we have not presented a graphical relatonship between CAP and net income.</w:t>
      </w: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70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74" w:name="page75"/>
    <w:bookmarkEnd w:id="74"/>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EXECUTIVE COMPENSATION AND RELATED MATTERS</w:t>
      </w:r>
    </w:p>
    <w:p>
      <w:pPr>
        <w:spacing w:after="0" w:line="181" w:lineRule="exact"/>
        <w:rPr>
          <w:sz w:val="20"/>
          <w:szCs w:val="20"/>
          <w:color w:val="auto"/>
        </w:rPr>
      </w:pPr>
    </w:p>
    <w:p>
      <w:pPr>
        <w:ind w:left="200" w:right="299"/>
        <w:spacing w:after="0" w:line="235" w:lineRule="auto"/>
        <w:rPr>
          <w:sz w:val="20"/>
          <w:szCs w:val="20"/>
          <w:color w:val="auto"/>
        </w:rPr>
      </w:pPr>
      <w:r>
        <w:rPr>
          <w:rFonts w:ascii="Calibri" w:cs="Calibri" w:eastAsia="Calibri" w:hAnsi="Calibri"/>
          <w:sz w:val="16"/>
          <w:szCs w:val="16"/>
          <w:color w:val="auto"/>
        </w:rPr>
        <w:t>The charts below further depict the relatonship between compensaton actually paid to our CEO and other NEOs (as calculated in accordance with the SEC rules) in fscal year 2020, 2021, 2022 and 2023 and our 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128905</wp:posOffset>
            </wp:positionV>
            <wp:extent cx="5212080" cy="46977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2080" cy="469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0" w:right="419" w:hanging="331"/>
        <w:spacing w:after="0" w:line="243" w:lineRule="auto"/>
        <w:tabs>
          <w:tab w:leader="none" w:pos="540" w:val="left"/>
        </w:tabs>
        <w:numPr>
          <w:ilvl w:val="0"/>
          <w:numId w:val="102"/>
        </w:numPr>
        <w:rPr>
          <w:rFonts w:ascii="Calibri" w:cs="Calibri" w:eastAsia="Calibri" w:hAnsi="Calibri"/>
          <w:sz w:val="16"/>
          <w:szCs w:val="16"/>
          <w:color w:val="AF0000"/>
        </w:rPr>
      </w:pPr>
      <w:r>
        <w:rPr>
          <w:rFonts w:ascii="Calibri" w:cs="Calibri" w:eastAsia="Calibri" w:hAnsi="Calibri"/>
          <w:sz w:val="16"/>
          <w:szCs w:val="16"/>
          <w:color w:val="auto"/>
        </w:rPr>
        <w:t>TSR represents the value of a $100 investment in common stock, assuming reinvestment of dividends, as measured at each fscal year end.</w:t>
      </w:r>
    </w:p>
    <w:p>
      <w:pPr>
        <w:ind w:left="540" w:right="499" w:hanging="331"/>
        <w:spacing w:after="0" w:line="241" w:lineRule="auto"/>
        <w:tabs>
          <w:tab w:leader="none" w:pos="540" w:val="left"/>
        </w:tabs>
        <w:numPr>
          <w:ilvl w:val="0"/>
          <w:numId w:val="102"/>
        </w:numPr>
        <w:rPr>
          <w:rFonts w:ascii="Calibri" w:cs="Calibri" w:eastAsia="Calibri" w:hAnsi="Calibri"/>
          <w:sz w:val="16"/>
          <w:szCs w:val="16"/>
          <w:color w:val="AF0000"/>
        </w:rPr>
      </w:pPr>
      <w:r>
        <w:rPr>
          <w:rFonts w:ascii="Calibri" w:cs="Calibri" w:eastAsia="Calibri" w:hAnsi="Calibri"/>
          <w:sz w:val="16"/>
          <w:szCs w:val="16"/>
          <w:color w:val="auto"/>
        </w:rPr>
        <w:t>Peer group used to determine total shareholder return values was NASDAQ Stocks (SIC 3840-3849 US Companies Surgical, Medical, and Dental Instruments and Supplies).</w:t>
      </w:r>
    </w:p>
    <w:p>
      <w:pPr>
        <w:spacing w:after="0" w:line="200" w:lineRule="exact"/>
        <w:rPr>
          <w:sz w:val="20"/>
          <w:szCs w:val="20"/>
          <w:color w:val="auto"/>
        </w:rPr>
      </w:pPr>
    </w:p>
    <w:p>
      <w:pPr>
        <w:spacing w:after="0" w:line="358"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75" w:name="page76"/>
    <w:bookmarkEnd w:id="75"/>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EXECUTIVE COMPENSATION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105410</wp:posOffset>
            </wp:positionV>
            <wp:extent cx="5366385" cy="66351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66385" cy="663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72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76" w:name="page77"/>
    <w:bookmarkEnd w:id="76"/>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EXECUTIVE COMPENSATION AND RELATED MATTERS</w:t>
      </w:r>
    </w:p>
    <w:p>
      <w:pPr>
        <w:spacing w:after="0" w:line="158"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CEO Pay Rato</w:t>
      </w:r>
    </w:p>
    <w:p>
      <w:pPr>
        <w:spacing w:after="0" w:line="186" w:lineRule="exact"/>
        <w:rPr>
          <w:sz w:val="20"/>
          <w:szCs w:val="20"/>
          <w:color w:val="auto"/>
        </w:rPr>
      </w:pPr>
    </w:p>
    <w:p>
      <w:pPr>
        <w:ind w:left="200" w:right="299"/>
        <w:spacing w:after="0" w:line="251" w:lineRule="auto"/>
        <w:rPr>
          <w:sz w:val="20"/>
          <w:szCs w:val="20"/>
          <w:color w:val="auto"/>
        </w:rPr>
      </w:pPr>
      <w:r>
        <w:rPr>
          <w:rFonts w:ascii="Calibri" w:cs="Calibri" w:eastAsia="Calibri" w:hAnsi="Calibri"/>
          <w:sz w:val="17"/>
          <w:szCs w:val="17"/>
          <w:color w:val="auto"/>
        </w:rPr>
        <w:t>The following pay rato and supportng informaton compares (x) the annual total compensaton for the year ended December 31, 2023 of our median employee identfed as of December 31, 2023 by taking into account all of our employees other than our CEO, (including full-tme and part-tme employees and employees on leave) and annualizing permanent employees (full-tme and part-tme) that did not work a full year, (excluding employees on leave under the Family and Medical Leave Act of 1993, employees called for actve military duty, and employees who took an unpaid leave of absence during the period for another reason) (</w:t>
      </w:r>
      <w:r>
        <w:rPr>
          <w:rFonts w:ascii="Calibri" w:cs="Calibri" w:eastAsia="Calibri" w:hAnsi="Calibri"/>
          <w:sz w:val="17"/>
          <w:szCs w:val="17"/>
          <w:u w:val="single" w:color="auto"/>
          <w:color w:val="AF0000"/>
        </w:rPr>
        <w:t>Median Employee</w:t>
      </w:r>
      <w:r>
        <w:rPr>
          <w:rFonts w:ascii="Calibri" w:cs="Calibri" w:eastAsia="Calibri" w:hAnsi="Calibri"/>
          <w:sz w:val="17"/>
          <w:szCs w:val="17"/>
          <w:color w:val="auto"/>
        </w:rPr>
        <w:t>) against (y) the annual total compensaton of our CEO (as reported in our Summary Compensaton Table), as required by Secton 953(b) of the Dodd-Frank Act.</w:t>
      </w:r>
    </w:p>
    <w:p>
      <w:pPr>
        <w:spacing w:after="0" w:line="164"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As illustrated in the table below, our 2023 CEO pay rato was </w:t>
      </w:r>
      <w:r>
        <w:rPr>
          <w:rFonts w:ascii="Calibri" w:cs="Calibri" w:eastAsia="Calibri" w:hAnsi="Calibri"/>
          <w:sz w:val="18"/>
          <w:szCs w:val="18"/>
          <w:b w:val="1"/>
          <w:bCs w:val="1"/>
          <w:color w:val="AF0000"/>
        </w:rPr>
        <w:t>281 to 1</w:t>
      </w:r>
      <w:r>
        <w:rPr>
          <w:rFonts w:ascii="Calibri" w:cs="Calibri" w:eastAsia="Calibri" w:hAnsi="Calibri"/>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135255</wp:posOffset>
            </wp:positionV>
            <wp:extent cx="282892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28925" cy="17145"/>
                    </a:xfrm>
                    <a:prstGeom prst="rect">
                      <a:avLst/>
                    </a:prstGeom>
                    <a:noFill/>
                  </pic:spPr>
                </pic:pic>
              </a:graphicData>
            </a:graphic>
          </wp:anchor>
        </w:drawing>
      </w:r>
    </w:p>
    <w:p>
      <w:pPr>
        <w:spacing w:after="0" w:line="267" w:lineRule="exact"/>
        <w:rPr>
          <w:sz w:val="20"/>
          <w:szCs w:val="20"/>
          <w:color w:val="auto"/>
        </w:rPr>
      </w:pPr>
    </w:p>
    <w:tbl>
      <w:tblPr>
        <w:tblLayout w:type="fixed"/>
        <w:tblInd w:w="2280" w:type="dxa"/>
        <w:tblCellMar>
          <w:top w:w="0" w:type="dxa"/>
          <w:left w:w="0" w:type="dxa"/>
          <w:bottom w:w="0" w:type="dxa"/>
          <w:right w:w="0" w:type="dxa"/>
        </w:tblCellMar>
      </w:tblPr>
      <w:tr>
        <w:trPr>
          <w:trHeight w:val="195"/>
        </w:trPr>
        <w:tc>
          <w:tcPr>
            <w:tcW w:w="2220" w:type="dxa"/>
            <w:vAlign w:val="bottom"/>
          </w:tcPr>
          <w:p>
            <w:pPr>
              <w:spacing w:after="0"/>
              <w:rPr>
                <w:sz w:val="16"/>
                <w:szCs w:val="16"/>
                <w:color w:val="auto"/>
              </w:rPr>
            </w:pPr>
          </w:p>
        </w:tc>
        <w:tc>
          <w:tcPr>
            <w:tcW w:w="2240" w:type="dxa"/>
            <w:vAlign w:val="bottom"/>
          </w:tcPr>
          <w:p>
            <w:pPr>
              <w:ind w:left="420"/>
              <w:spacing w:after="0"/>
              <w:rPr>
                <w:sz w:val="20"/>
                <w:szCs w:val="20"/>
                <w:color w:val="auto"/>
              </w:rPr>
            </w:pPr>
            <w:r>
              <w:rPr>
                <w:rFonts w:ascii="Calibri" w:cs="Calibri" w:eastAsia="Calibri" w:hAnsi="Calibri"/>
                <w:sz w:val="16"/>
                <w:szCs w:val="16"/>
                <w:b w:val="1"/>
                <w:bCs w:val="1"/>
                <w:color w:val="auto"/>
              </w:rPr>
              <w:t>2023 Compensaton ($)</w:t>
            </w:r>
          </w:p>
        </w:tc>
        <w:tc>
          <w:tcPr>
            <w:tcW w:w="0" w:type="dxa"/>
            <w:vAlign w:val="bottom"/>
          </w:tcPr>
          <w:p>
            <w:pPr>
              <w:spacing w:after="0"/>
              <w:rPr>
                <w:sz w:val="1"/>
                <w:szCs w:val="1"/>
                <w:color w:val="auto"/>
              </w:rPr>
            </w:pPr>
          </w:p>
        </w:tc>
      </w:tr>
      <w:tr>
        <w:trPr>
          <w:trHeight w:val="102"/>
        </w:trPr>
        <w:tc>
          <w:tcPr>
            <w:tcW w:w="2220" w:type="dxa"/>
            <w:vAlign w:val="bottom"/>
            <w:tcBorders>
              <w:bottom w:val="single" w:sz="8" w:color="AF0000"/>
            </w:tcBorders>
          </w:tcPr>
          <w:p>
            <w:pPr>
              <w:spacing w:after="0"/>
              <w:rPr>
                <w:sz w:val="8"/>
                <w:szCs w:val="8"/>
                <w:color w:val="auto"/>
              </w:rPr>
            </w:pPr>
          </w:p>
        </w:tc>
        <w:tc>
          <w:tcPr>
            <w:tcW w:w="2240" w:type="dxa"/>
            <w:vAlign w:val="bottom"/>
            <w:tcBorders>
              <w:bottom w:val="single" w:sz="8" w:color="AF0000"/>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220" w:type="dxa"/>
            <w:vAlign w:val="bottom"/>
          </w:tcPr>
          <w:p>
            <w:pPr>
              <w:ind w:left="100"/>
              <w:spacing w:after="0" w:line="243" w:lineRule="exact"/>
              <w:rPr>
                <w:sz w:val="20"/>
                <w:szCs w:val="20"/>
                <w:color w:val="auto"/>
              </w:rPr>
            </w:pPr>
            <w:r>
              <w:rPr>
                <w:rFonts w:ascii="Calibri" w:cs="Calibri" w:eastAsia="Calibri" w:hAnsi="Calibri"/>
                <w:sz w:val="18"/>
                <w:szCs w:val="18"/>
                <w:color w:val="auto"/>
              </w:rPr>
              <w:t xml:space="preserve">Fred P. Lampropoulos </w:t>
            </w:r>
            <w:r>
              <w:rPr>
                <w:rFonts w:ascii="Calibri" w:cs="Calibri" w:eastAsia="Calibri" w:hAnsi="Calibri"/>
                <w:sz w:val="24"/>
                <w:szCs w:val="24"/>
                <w:b w:val="1"/>
                <w:bCs w:val="1"/>
                <w:color w:val="AF0000"/>
                <w:vertAlign w:val="superscript"/>
              </w:rPr>
              <w:t>(1)</w:t>
            </w:r>
          </w:p>
        </w:tc>
        <w:tc>
          <w:tcPr>
            <w:tcW w:w="2240" w:type="dxa"/>
            <w:vAlign w:val="bottom"/>
            <w:vMerge w:val="restart"/>
          </w:tcPr>
          <w:p>
            <w:pPr>
              <w:jc w:val="right"/>
              <w:ind w:right="553"/>
              <w:spacing w:after="0"/>
              <w:rPr>
                <w:sz w:val="20"/>
                <w:szCs w:val="20"/>
                <w:color w:val="auto"/>
              </w:rPr>
            </w:pPr>
            <w:r>
              <w:rPr>
                <w:rFonts w:ascii="Calibri" w:cs="Calibri" w:eastAsia="Calibri" w:hAnsi="Calibri"/>
                <w:sz w:val="18"/>
                <w:szCs w:val="18"/>
                <w:color w:val="auto"/>
              </w:rPr>
              <w:t>10,052,664</w:t>
            </w:r>
          </w:p>
        </w:tc>
        <w:tc>
          <w:tcPr>
            <w:tcW w:w="0" w:type="dxa"/>
            <w:vAlign w:val="bottom"/>
          </w:tcPr>
          <w:p>
            <w:pPr>
              <w:spacing w:after="0"/>
              <w:rPr>
                <w:sz w:val="1"/>
                <w:szCs w:val="1"/>
                <w:color w:val="auto"/>
              </w:rPr>
            </w:pPr>
          </w:p>
        </w:tc>
      </w:tr>
      <w:tr>
        <w:trPr>
          <w:trHeight w:val="44"/>
        </w:trPr>
        <w:tc>
          <w:tcPr>
            <w:tcW w:w="222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220" w:type="dxa"/>
            <w:vAlign w:val="bottom"/>
            <w:tcBorders>
              <w:bottom w:val="single" w:sz="8" w:color="A6A6A6"/>
            </w:tcBorders>
          </w:tcPr>
          <w:p>
            <w:pPr>
              <w:spacing w:after="0"/>
              <w:rPr>
                <w:sz w:val="2"/>
                <w:szCs w:val="2"/>
                <w:color w:val="auto"/>
              </w:rPr>
            </w:pPr>
          </w:p>
        </w:tc>
        <w:tc>
          <w:tcPr>
            <w:tcW w:w="22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220" w:type="dxa"/>
            <w:vAlign w:val="bottom"/>
            <w:tcBorders>
              <w:bottom w:val="single" w:sz="8" w:color="AF0000"/>
            </w:tcBorders>
          </w:tcPr>
          <w:p>
            <w:pPr>
              <w:ind w:left="100"/>
              <w:spacing w:after="0" w:line="276" w:lineRule="exact"/>
              <w:rPr>
                <w:sz w:val="20"/>
                <w:szCs w:val="20"/>
                <w:color w:val="auto"/>
              </w:rPr>
            </w:pPr>
            <w:r>
              <w:rPr>
                <w:rFonts w:ascii="Calibri" w:cs="Calibri" w:eastAsia="Calibri" w:hAnsi="Calibri"/>
                <w:sz w:val="18"/>
                <w:szCs w:val="18"/>
                <w:color w:val="auto"/>
              </w:rPr>
              <w:t xml:space="preserve">Median Employee </w:t>
            </w:r>
            <w:r>
              <w:rPr>
                <w:rFonts w:ascii="Calibri" w:cs="Calibri" w:eastAsia="Calibri" w:hAnsi="Calibri"/>
                <w:sz w:val="24"/>
                <w:szCs w:val="24"/>
                <w:b w:val="1"/>
                <w:bCs w:val="1"/>
                <w:color w:val="AF0000"/>
                <w:vertAlign w:val="superscript"/>
              </w:rPr>
              <w:t>(2)</w:t>
            </w:r>
          </w:p>
        </w:tc>
        <w:tc>
          <w:tcPr>
            <w:tcW w:w="2240" w:type="dxa"/>
            <w:vAlign w:val="bottom"/>
            <w:tcBorders>
              <w:bottom w:val="single" w:sz="8" w:color="AF0000"/>
            </w:tcBorders>
          </w:tcPr>
          <w:p>
            <w:pPr>
              <w:jc w:val="right"/>
              <w:ind w:right="693"/>
              <w:spacing w:after="0"/>
              <w:rPr>
                <w:sz w:val="20"/>
                <w:szCs w:val="20"/>
                <w:color w:val="auto"/>
              </w:rPr>
            </w:pPr>
            <w:r>
              <w:rPr>
                <w:rFonts w:ascii="Calibri" w:cs="Calibri" w:eastAsia="Calibri" w:hAnsi="Calibri"/>
                <w:sz w:val="18"/>
                <w:szCs w:val="18"/>
                <w:color w:val="auto"/>
              </w:rPr>
              <w:t>35,793</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40" w:hanging="331"/>
        <w:spacing w:after="0"/>
        <w:tabs>
          <w:tab w:leader="none" w:pos="540" w:val="left"/>
        </w:tabs>
        <w:numPr>
          <w:ilvl w:val="0"/>
          <w:numId w:val="103"/>
        </w:numPr>
        <w:rPr>
          <w:rFonts w:ascii="Calibri" w:cs="Calibri" w:eastAsia="Calibri" w:hAnsi="Calibri"/>
          <w:sz w:val="16"/>
          <w:szCs w:val="16"/>
          <w:color w:val="AF0000"/>
        </w:rPr>
      </w:pPr>
      <w:r>
        <w:rPr>
          <w:rFonts w:ascii="Calibri" w:cs="Calibri" w:eastAsia="Calibri" w:hAnsi="Calibri"/>
          <w:sz w:val="16"/>
          <w:szCs w:val="16"/>
          <w:color w:val="auto"/>
        </w:rPr>
        <w:t>For additonal informaton, see our Summary Compensaton Table beginning on page 58.</w:t>
      </w:r>
    </w:p>
    <w:p>
      <w:pPr>
        <w:ind w:left="540" w:right="599" w:hanging="331"/>
        <w:spacing w:after="0" w:line="232" w:lineRule="auto"/>
        <w:tabs>
          <w:tab w:leader="none" w:pos="540" w:val="left"/>
        </w:tabs>
        <w:numPr>
          <w:ilvl w:val="0"/>
          <w:numId w:val="103"/>
        </w:numPr>
        <w:rPr>
          <w:rFonts w:ascii="Calibri" w:cs="Calibri" w:eastAsia="Calibri" w:hAnsi="Calibri"/>
          <w:sz w:val="16"/>
          <w:szCs w:val="16"/>
          <w:color w:val="AF0000"/>
        </w:rPr>
      </w:pPr>
      <w:r>
        <w:rPr>
          <w:rFonts w:ascii="Calibri" w:cs="Calibri" w:eastAsia="Calibri" w:hAnsi="Calibri"/>
          <w:sz w:val="16"/>
          <w:szCs w:val="16"/>
          <w:color w:val="auto"/>
        </w:rPr>
        <w:t>Amount represents taxable compensaton paid, plus the fair value of equity awards granted (if applicable) to the Median Employee during 2022, plus bonus accrued and paid in 2023.</w:t>
      </w:r>
    </w:p>
    <w:p>
      <w:pPr>
        <w:spacing w:after="0" w:line="194" w:lineRule="exact"/>
        <w:rPr>
          <w:sz w:val="20"/>
          <w:szCs w:val="20"/>
          <w:color w:val="auto"/>
        </w:rPr>
      </w:pPr>
    </w:p>
    <w:p>
      <w:pPr>
        <w:ind w:left="200" w:right="259"/>
        <w:spacing w:after="0" w:line="235" w:lineRule="auto"/>
        <w:rPr>
          <w:sz w:val="20"/>
          <w:szCs w:val="20"/>
          <w:color w:val="auto"/>
        </w:rPr>
      </w:pPr>
      <w:r>
        <w:rPr>
          <w:rFonts w:ascii="Calibri" w:cs="Calibri" w:eastAsia="Calibri" w:hAnsi="Calibri"/>
          <w:sz w:val="18"/>
          <w:szCs w:val="18"/>
          <w:color w:val="auto"/>
        </w:rPr>
        <w:t>We have reviewed the changes in our employee populaton and employee compensatory arrangements and determined there have been no changes to our employee populaton or employee compensatory arrangements that would result in a signifcant change to our pay rato disclosure. Thus, we referenced the same median employee identfed for 2022 for purposes of the computaton of the 2023 pay rato.</w:t>
      </w:r>
    </w:p>
    <w:p>
      <w:pPr>
        <w:spacing w:after="0" w:line="179" w:lineRule="exact"/>
        <w:rPr>
          <w:sz w:val="20"/>
          <w:szCs w:val="20"/>
          <w:color w:val="auto"/>
        </w:rPr>
      </w:pPr>
    </w:p>
    <w:p>
      <w:pPr>
        <w:ind w:left="200" w:right="379"/>
        <w:spacing w:after="0" w:line="233" w:lineRule="auto"/>
        <w:rPr>
          <w:sz w:val="20"/>
          <w:szCs w:val="20"/>
          <w:color w:val="auto"/>
        </w:rPr>
      </w:pPr>
      <w:r>
        <w:rPr>
          <w:rFonts w:ascii="Calibri" w:cs="Calibri" w:eastAsia="Calibri" w:hAnsi="Calibri"/>
          <w:sz w:val="18"/>
          <w:szCs w:val="18"/>
          <w:color w:val="auto"/>
        </w:rPr>
        <w:t>In calculatng the median employee in 2022, we calculated the annual total compensaton (annual taxable compensaton, plus the fair value of equity awards granted) for all employees of the Company (other than the CEO) for the year ended December 31, 2022. We believe that annual total compensaton is a consistently applied compensaton measure and appropriate for determining the median-paid employee. We used actual annual total compensaton (converted, where applicable, to U.S. dollars based on an average annual exchange rate for the year ended December 31, 2022) and did not make any assumptons or adjustments to the amounts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77" w:name="page78"/>
    <w:bookmarkEnd w:id="77"/>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EXECUTIVE COMPENSATION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113665</wp:posOffset>
            </wp:positionV>
            <wp:extent cx="5469255" cy="11226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69255" cy="112268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p>
      <w:pPr>
        <w:spacing w:after="0" w:line="278" w:lineRule="exact"/>
        <w:rPr>
          <w:sz w:val="20"/>
          <w:szCs w:val="20"/>
          <w:color w:val="auto"/>
        </w:rPr>
      </w:pPr>
    </w:p>
    <w:p>
      <w:pPr>
        <w:ind w:left="360"/>
        <w:spacing w:after="0" w:line="236" w:lineRule="auto"/>
        <w:rPr>
          <w:sz w:val="20"/>
          <w:szCs w:val="20"/>
          <w:color w:val="auto"/>
        </w:rPr>
      </w:pPr>
      <w:r>
        <w:rPr>
          <w:rFonts w:ascii="Calibri" w:cs="Calibri" w:eastAsia="Calibri" w:hAnsi="Calibri"/>
          <w:sz w:val="22"/>
          <w:szCs w:val="22"/>
          <w:b w:val="1"/>
          <w:bCs w:val="1"/>
          <w:color w:val="AF0000"/>
        </w:rPr>
        <w:t xml:space="preserve">PROPOSAL 3: </w:t>
      </w:r>
      <w:r>
        <w:rPr>
          <w:rFonts w:ascii="Calibri" w:cs="Calibri" w:eastAsia="Calibri" w:hAnsi="Calibri"/>
          <w:sz w:val="25"/>
          <w:szCs w:val="25"/>
          <w:b w:val="1"/>
          <w:bCs w:val="1"/>
          <w:color w:val="000000"/>
        </w:rPr>
        <w:t>Approval of an Amendment to the</w:t>
      </w:r>
      <w:r>
        <w:rPr>
          <w:rFonts w:ascii="Calibri" w:cs="Calibri" w:eastAsia="Calibri" w:hAnsi="Calibri"/>
          <w:sz w:val="22"/>
          <w:szCs w:val="22"/>
          <w:b w:val="1"/>
          <w:bCs w:val="1"/>
          <w:color w:val="AF0000"/>
        </w:rPr>
        <w:t xml:space="preserve"> </w:t>
      </w:r>
      <w:r>
        <w:rPr>
          <w:rFonts w:ascii="Calibri" w:cs="Calibri" w:eastAsia="Calibri" w:hAnsi="Calibri"/>
          <w:sz w:val="25"/>
          <w:szCs w:val="25"/>
          <w:b w:val="1"/>
          <w:bCs w:val="1"/>
          <w:color w:val="000000"/>
        </w:rPr>
        <w:t>Merit Medical Systems, Inc. 2018 Long-Term Incentve Plan to Increase the Number of Common Stock Authorized for Issuance Thereunder by 3,000,000 Shares</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right="1179"/>
        <w:spacing w:after="0" w:line="235" w:lineRule="auto"/>
        <w:rPr>
          <w:sz w:val="20"/>
          <w:szCs w:val="20"/>
          <w:color w:val="auto"/>
        </w:rPr>
      </w:pPr>
      <w:r>
        <w:rPr>
          <w:rFonts w:ascii="Calibri" w:cs="Calibri" w:eastAsia="Calibri" w:hAnsi="Calibri"/>
          <w:sz w:val="18"/>
          <w:szCs w:val="18"/>
          <w:b w:val="1"/>
          <w:bCs w:val="1"/>
          <w:color w:val="AF0000"/>
        </w:rPr>
        <w:t>The Board unanimously recommends a vote FOR on this proposal</w:t>
      </w:r>
    </w:p>
    <w:p>
      <w:pPr>
        <w:spacing w:after="0" w:line="1041" w:lineRule="exact"/>
        <w:rPr>
          <w:sz w:val="20"/>
          <w:szCs w:val="20"/>
          <w:color w:val="auto"/>
        </w:rPr>
      </w:pPr>
    </w:p>
    <w:p>
      <w:pPr>
        <w:sectPr>
          <w:pgSz w:w="11900" w:h="16838" w:orient="portrait"/>
          <w:cols w:equalWidth="0" w:num="2">
            <w:col w:w="5220" w:space="300"/>
            <w:col w:w="3499"/>
          </w:cols>
          <w:pgMar w:left="1440" w:top="504" w:right="1440" w:bottom="1440" w:gutter="0" w:footer="0" w:header="0"/>
          <w:type w:val="continuous"/>
        </w:sectPr>
      </w:pPr>
    </w:p>
    <w:p>
      <w:pPr>
        <w:spacing w:after="0" w:line="163" w:lineRule="exact"/>
        <w:rPr>
          <w:sz w:val="20"/>
          <w:szCs w:val="20"/>
          <w:color w:val="auto"/>
        </w:rPr>
      </w:pPr>
    </w:p>
    <w:p>
      <w:pPr>
        <w:ind w:left="200" w:right="319"/>
        <w:spacing w:after="0" w:line="232" w:lineRule="auto"/>
        <w:rPr>
          <w:sz w:val="20"/>
          <w:szCs w:val="20"/>
          <w:color w:val="auto"/>
        </w:rPr>
      </w:pPr>
      <w:r>
        <w:rPr>
          <w:rFonts w:ascii="Calibri" w:cs="Calibri" w:eastAsia="Calibri" w:hAnsi="Calibri"/>
          <w:sz w:val="18"/>
          <w:szCs w:val="18"/>
          <w:color w:val="auto"/>
        </w:rPr>
        <w:t>Upon the recommendaton of our Compensaton Commitee, our Board has unanimously approved, and unanimously recommends that the shareholders approve, the Third Amendment to the 2018 Incentve Plan, atached hereto as Appendix B (</w:t>
      </w:r>
      <w:r>
        <w:rPr>
          <w:rFonts w:ascii="Calibri" w:cs="Calibri" w:eastAsia="Calibri" w:hAnsi="Calibri"/>
          <w:sz w:val="18"/>
          <w:szCs w:val="18"/>
          <w:u w:val="single" w:color="auto"/>
          <w:color w:val="AF0000"/>
        </w:rPr>
        <w:t>Incentve Plan Amendment</w:t>
      </w:r>
      <w:r>
        <w:rPr>
          <w:rFonts w:ascii="Calibri" w:cs="Calibri" w:eastAsia="Calibri" w:hAnsi="Calibri"/>
          <w:sz w:val="18"/>
          <w:szCs w:val="18"/>
          <w:color w:val="auto"/>
        </w:rPr>
        <w:t>). If approved by the shareholders at the Annual Meetng, the number of shares authorized for issuance under the 2018 Incentve Plan will increase by 3,000,000 shares from 6,100,000 shares to 9,100,000 shares of our Common Stock.</w:t>
      </w:r>
    </w:p>
    <w:p>
      <w:pPr>
        <w:spacing w:after="0" w:line="193" w:lineRule="exact"/>
        <w:rPr>
          <w:sz w:val="20"/>
          <w:szCs w:val="20"/>
          <w:color w:val="auto"/>
        </w:rPr>
      </w:pPr>
    </w:p>
    <w:p>
      <w:pPr>
        <w:ind w:left="200" w:right="299"/>
        <w:spacing w:after="0" w:line="230" w:lineRule="auto"/>
        <w:rPr>
          <w:sz w:val="20"/>
          <w:szCs w:val="20"/>
          <w:color w:val="auto"/>
        </w:rPr>
      </w:pPr>
      <w:r>
        <w:rPr>
          <w:rFonts w:ascii="Calibri" w:cs="Calibri" w:eastAsia="Calibri" w:hAnsi="Calibri"/>
          <w:sz w:val="18"/>
          <w:szCs w:val="18"/>
          <w:color w:val="auto"/>
        </w:rPr>
        <w:t>The Board recommends that shareholders approve the Incentve Plan Amendment because it will allow the Company to beter (a) align employee and shareholder interests, and (b) recruit and retain talented employees and senior management.</w:t>
      </w:r>
    </w:p>
    <w:p>
      <w:pPr>
        <w:spacing w:after="0" w:line="192" w:lineRule="exact"/>
        <w:rPr>
          <w:sz w:val="20"/>
          <w:szCs w:val="20"/>
          <w:color w:val="auto"/>
        </w:rPr>
      </w:pPr>
    </w:p>
    <w:p>
      <w:pPr>
        <w:ind w:left="200" w:right="239"/>
        <w:spacing w:after="0" w:line="232" w:lineRule="auto"/>
        <w:rPr>
          <w:sz w:val="20"/>
          <w:szCs w:val="20"/>
          <w:color w:val="auto"/>
        </w:rPr>
      </w:pPr>
      <w:r>
        <w:rPr>
          <w:rFonts w:ascii="Calibri" w:cs="Calibri" w:eastAsia="Calibri" w:hAnsi="Calibri"/>
          <w:sz w:val="18"/>
          <w:szCs w:val="18"/>
          <w:color w:val="auto"/>
        </w:rPr>
        <w:t>The 2018 Incentve Plan was originally approved by our shareholders in 2018. In 2021, we obtained Board and shareholder approval to increase the shares authorized under the 2018 Incentve Plan by 3,000,000 shares, to a total of 6,100,000 shares of Common Stock. As of March 18, 2024, the 2018 Incentve Plan had 1,746,011 shares of Common Stock available for grant, and if the Incentve Plan Amendment is approved, a total of 4,746,011 shares of Common Stock will be available for grant.</w:t>
      </w:r>
    </w:p>
    <w:p>
      <w:pPr>
        <w:spacing w:after="0" w:line="162"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Signifcant Historical Award Informaton</w:t>
      </w: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4580" w:type="dxa"/>
            <w:vAlign w:val="bottom"/>
            <w:tcBorders>
              <w:top w:val="single" w:sz="8" w:color="AF0000"/>
              <w:bottom w:val="single" w:sz="8" w:color="AF0000"/>
            </w:tcBorders>
          </w:tcPr>
          <w:p>
            <w:pPr>
              <w:ind w:left="80"/>
              <w:spacing w:after="0"/>
              <w:rPr>
                <w:sz w:val="20"/>
                <w:szCs w:val="20"/>
                <w:color w:val="auto"/>
              </w:rPr>
            </w:pPr>
            <w:r>
              <w:rPr>
                <w:rFonts w:ascii="Calibri" w:cs="Calibri" w:eastAsia="Calibri" w:hAnsi="Calibri"/>
                <w:sz w:val="16"/>
                <w:szCs w:val="16"/>
                <w:b w:val="1"/>
                <w:bCs w:val="1"/>
                <w:color w:val="auto"/>
              </w:rPr>
              <w:t>Key Equity Metric</w:t>
            </w:r>
          </w:p>
        </w:tc>
        <w:tc>
          <w:tcPr>
            <w:tcW w:w="1560" w:type="dxa"/>
            <w:vAlign w:val="bottom"/>
            <w:tcBorders>
              <w:top w:val="single" w:sz="8" w:color="AF0000"/>
              <w:bottom w:val="single" w:sz="8" w:color="AF0000"/>
            </w:tcBorders>
          </w:tcPr>
          <w:p>
            <w:pPr>
              <w:jc w:val="center"/>
              <w:ind w:left="219"/>
              <w:spacing w:after="0"/>
              <w:rPr>
                <w:sz w:val="20"/>
                <w:szCs w:val="20"/>
                <w:color w:val="auto"/>
              </w:rPr>
            </w:pPr>
            <w:r>
              <w:rPr>
                <w:rFonts w:ascii="Calibri" w:cs="Calibri" w:eastAsia="Calibri" w:hAnsi="Calibri"/>
                <w:sz w:val="16"/>
                <w:szCs w:val="16"/>
                <w:b w:val="1"/>
                <w:bCs w:val="1"/>
                <w:color w:val="auto"/>
              </w:rPr>
              <w:t>2023</w:t>
            </w:r>
          </w:p>
        </w:tc>
        <w:tc>
          <w:tcPr>
            <w:tcW w:w="1220" w:type="dxa"/>
            <w:vAlign w:val="bottom"/>
            <w:tcBorders>
              <w:top w:val="single" w:sz="8" w:color="AF0000"/>
              <w:bottom w:val="single" w:sz="8" w:color="AF0000"/>
            </w:tcBorders>
          </w:tcPr>
          <w:p>
            <w:pPr>
              <w:jc w:val="center"/>
              <w:spacing w:after="0"/>
              <w:rPr>
                <w:sz w:val="20"/>
                <w:szCs w:val="20"/>
                <w:color w:val="auto"/>
              </w:rPr>
            </w:pPr>
            <w:r>
              <w:rPr>
                <w:rFonts w:ascii="Calibri" w:cs="Calibri" w:eastAsia="Calibri" w:hAnsi="Calibri"/>
                <w:sz w:val="16"/>
                <w:szCs w:val="16"/>
                <w:b w:val="1"/>
                <w:bCs w:val="1"/>
                <w:color w:val="auto"/>
              </w:rPr>
              <w:t>2022</w:t>
            </w:r>
          </w:p>
        </w:tc>
        <w:tc>
          <w:tcPr>
            <w:tcW w:w="1220" w:type="dxa"/>
            <w:vAlign w:val="bottom"/>
            <w:tcBorders>
              <w:top w:val="single" w:sz="8" w:color="AF0000"/>
              <w:bottom w:val="single" w:sz="8" w:color="AF0000"/>
            </w:tcBorders>
          </w:tcPr>
          <w:p>
            <w:pPr>
              <w:jc w:val="center"/>
              <w:spacing w:after="0"/>
              <w:rPr>
                <w:sz w:val="20"/>
                <w:szCs w:val="20"/>
                <w:color w:val="auto"/>
              </w:rPr>
            </w:pPr>
            <w:r>
              <w:rPr>
                <w:rFonts w:ascii="Calibri" w:cs="Calibri" w:eastAsia="Calibri" w:hAnsi="Calibri"/>
                <w:sz w:val="16"/>
                <w:szCs w:val="16"/>
                <w:b w:val="1"/>
                <w:bCs w:val="1"/>
                <w:color w:val="auto"/>
              </w:rPr>
              <w:t>2021</w:t>
            </w:r>
          </w:p>
        </w:tc>
      </w:tr>
      <w:tr>
        <w:trPr>
          <w:trHeight w:val="203"/>
        </w:trPr>
        <w:tc>
          <w:tcPr>
            <w:tcW w:w="4580" w:type="dxa"/>
            <w:vAlign w:val="bottom"/>
            <w:tcBorders>
              <w:bottom w:val="single" w:sz="8" w:color="A6A6A6"/>
            </w:tcBorders>
          </w:tcPr>
          <w:p>
            <w:pPr>
              <w:ind w:left="80"/>
              <w:spacing w:after="0" w:line="202" w:lineRule="exact"/>
              <w:rPr>
                <w:sz w:val="20"/>
                <w:szCs w:val="20"/>
                <w:color w:val="auto"/>
              </w:rPr>
            </w:pPr>
            <w:r>
              <w:rPr>
                <w:rFonts w:ascii="Calibri" w:cs="Calibri" w:eastAsia="Calibri" w:hAnsi="Calibri"/>
                <w:sz w:val="15"/>
                <w:szCs w:val="15"/>
                <w:color w:val="auto"/>
              </w:rPr>
              <w:t xml:space="preserve">Percentage of equity awards granted to NEOs </w:t>
            </w:r>
            <w:r>
              <w:rPr>
                <w:rFonts w:ascii="Calibri" w:cs="Calibri" w:eastAsia="Calibri" w:hAnsi="Calibri"/>
                <w:sz w:val="22"/>
                <w:szCs w:val="22"/>
                <w:b w:val="1"/>
                <w:bCs w:val="1"/>
                <w:color w:val="AF0000"/>
                <w:vertAlign w:val="superscript"/>
              </w:rPr>
              <w:t>(1)</w:t>
            </w:r>
          </w:p>
        </w:tc>
        <w:tc>
          <w:tcPr>
            <w:tcW w:w="1560" w:type="dxa"/>
            <w:vAlign w:val="bottom"/>
            <w:tcBorders>
              <w:bottom w:val="single" w:sz="8" w:color="A6A6A6"/>
            </w:tcBorders>
          </w:tcPr>
          <w:p>
            <w:pPr>
              <w:jc w:val="center"/>
              <w:ind w:left="219"/>
              <w:spacing w:after="0" w:line="193" w:lineRule="exact"/>
              <w:rPr>
                <w:sz w:val="20"/>
                <w:szCs w:val="20"/>
                <w:color w:val="auto"/>
              </w:rPr>
            </w:pPr>
            <w:r>
              <w:rPr>
                <w:rFonts w:ascii="Calibri" w:cs="Calibri" w:eastAsia="Calibri" w:hAnsi="Calibri"/>
                <w:sz w:val="16"/>
                <w:szCs w:val="16"/>
                <w:color w:val="auto"/>
              </w:rPr>
              <w:t>34.1%</w:t>
            </w:r>
          </w:p>
        </w:tc>
        <w:tc>
          <w:tcPr>
            <w:tcW w:w="1220" w:type="dxa"/>
            <w:vAlign w:val="bottom"/>
            <w:tcBorders>
              <w:bottom w:val="single" w:sz="8" w:color="A6A6A6"/>
            </w:tcBorders>
          </w:tcPr>
          <w:p>
            <w:pPr>
              <w:jc w:val="center"/>
              <w:spacing w:after="0" w:line="193" w:lineRule="exact"/>
              <w:rPr>
                <w:sz w:val="20"/>
                <w:szCs w:val="20"/>
                <w:color w:val="auto"/>
              </w:rPr>
            </w:pPr>
            <w:r>
              <w:rPr>
                <w:rFonts w:ascii="Calibri" w:cs="Calibri" w:eastAsia="Calibri" w:hAnsi="Calibri"/>
                <w:sz w:val="16"/>
                <w:szCs w:val="16"/>
                <w:color w:val="auto"/>
              </w:rPr>
              <w:t>44.2%</w:t>
            </w:r>
          </w:p>
        </w:tc>
        <w:tc>
          <w:tcPr>
            <w:tcW w:w="1220" w:type="dxa"/>
            <w:vAlign w:val="bottom"/>
            <w:tcBorders>
              <w:bottom w:val="single" w:sz="8" w:color="A6A6A6"/>
            </w:tcBorders>
          </w:tcPr>
          <w:p>
            <w:pPr>
              <w:jc w:val="center"/>
              <w:spacing w:after="0" w:line="193" w:lineRule="exact"/>
              <w:rPr>
                <w:sz w:val="20"/>
                <w:szCs w:val="20"/>
                <w:color w:val="auto"/>
              </w:rPr>
            </w:pPr>
            <w:r>
              <w:rPr>
                <w:rFonts w:ascii="Calibri" w:cs="Calibri" w:eastAsia="Calibri" w:hAnsi="Calibri"/>
                <w:sz w:val="16"/>
                <w:szCs w:val="16"/>
                <w:color w:val="auto"/>
              </w:rPr>
              <w:t>20.4%</w:t>
            </w:r>
          </w:p>
        </w:tc>
      </w:tr>
      <w:tr>
        <w:trPr>
          <w:trHeight w:val="196"/>
        </w:trPr>
        <w:tc>
          <w:tcPr>
            <w:tcW w:w="4580" w:type="dxa"/>
            <w:vAlign w:val="bottom"/>
            <w:tcBorders>
              <w:bottom w:val="single" w:sz="8" w:color="A6A6A6"/>
            </w:tcBorders>
          </w:tcPr>
          <w:p>
            <w:pPr>
              <w:ind w:left="80"/>
              <w:spacing w:after="0" w:line="196" w:lineRule="exact"/>
              <w:rPr>
                <w:sz w:val="20"/>
                <w:szCs w:val="20"/>
                <w:color w:val="auto"/>
              </w:rPr>
            </w:pPr>
            <w:r>
              <w:rPr>
                <w:rFonts w:ascii="Calibri" w:cs="Calibri" w:eastAsia="Calibri" w:hAnsi="Calibri"/>
                <w:sz w:val="14"/>
                <w:szCs w:val="14"/>
                <w:color w:val="auto"/>
              </w:rPr>
              <w:t xml:space="preserve">Equity burn rate </w:t>
            </w:r>
            <w:r>
              <w:rPr>
                <w:rFonts w:ascii="Calibri" w:cs="Calibri" w:eastAsia="Calibri" w:hAnsi="Calibri"/>
                <w:sz w:val="21"/>
                <w:szCs w:val="21"/>
                <w:b w:val="1"/>
                <w:bCs w:val="1"/>
                <w:color w:val="AF0000"/>
                <w:vertAlign w:val="superscript"/>
              </w:rPr>
              <w:t>(2)</w:t>
            </w:r>
          </w:p>
        </w:tc>
        <w:tc>
          <w:tcPr>
            <w:tcW w:w="1560" w:type="dxa"/>
            <w:vAlign w:val="bottom"/>
            <w:tcBorders>
              <w:bottom w:val="single" w:sz="8" w:color="A6A6A6"/>
            </w:tcBorders>
          </w:tcPr>
          <w:p>
            <w:pPr>
              <w:jc w:val="center"/>
              <w:ind w:left="219"/>
              <w:spacing w:after="0" w:line="193" w:lineRule="exact"/>
              <w:rPr>
                <w:sz w:val="20"/>
                <w:szCs w:val="20"/>
                <w:color w:val="auto"/>
              </w:rPr>
            </w:pPr>
            <w:r>
              <w:rPr>
                <w:rFonts w:ascii="Calibri" w:cs="Calibri" w:eastAsia="Calibri" w:hAnsi="Calibri"/>
                <w:sz w:val="16"/>
                <w:szCs w:val="16"/>
                <w:color w:val="auto"/>
              </w:rPr>
              <w:t>1.1%</w:t>
            </w:r>
          </w:p>
        </w:tc>
        <w:tc>
          <w:tcPr>
            <w:tcW w:w="1220" w:type="dxa"/>
            <w:vAlign w:val="bottom"/>
            <w:tcBorders>
              <w:bottom w:val="single" w:sz="8" w:color="A6A6A6"/>
            </w:tcBorders>
          </w:tcPr>
          <w:p>
            <w:pPr>
              <w:jc w:val="center"/>
              <w:spacing w:after="0" w:line="193" w:lineRule="exact"/>
              <w:rPr>
                <w:sz w:val="20"/>
                <w:szCs w:val="20"/>
                <w:color w:val="auto"/>
              </w:rPr>
            </w:pPr>
            <w:r>
              <w:rPr>
                <w:rFonts w:ascii="Calibri" w:cs="Calibri" w:eastAsia="Calibri" w:hAnsi="Calibri"/>
                <w:sz w:val="16"/>
                <w:szCs w:val="16"/>
                <w:color w:val="auto"/>
              </w:rPr>
              <w:t>0.7%</w:t>
            </w:r>
          </w:p>
        </w:tc>
        <w:tc>
          <w:tcPr>
            <w:tcW w:w="1220" w:type="dxa"/>
            <w:vAlign w:val="bottom"/>
            <w:tcBorders>
              <w:bottom w:val="single" w:sz="8" w:color="A6A6A6"/>
            </w:tcBorders>
          </w:tcPr>
          <w:p>
            <w:pPr>
              <w:jc w:val="center"/>
              <w:spacing w:after="0" w:line="193" w:lineRule="exact"/>
              <w:rPr>
                <w:sz w:val="20"/>
                <w:szCs w:val="20"/>
                <w:color w:val="auto"/>
              </w:rPr>
            </w:pPr>
            <w:r>
              <w:rPr>
                <w:rFonts w:ascii="Calibri" w:cs="Calibri" w:eastAsia="Calibri" w:hAnsi="Calibri"/>
                <w:sz w:val="16"/>
                <w:szCs w:val="16"/>
                <w:color w:val="auto"/>
              </w:rPr>
              <w:t>1.5%</w:t>
            </w:r>
          </w:p>
        </w:tc>
      </w:tr>
      <w:tr>
        <w:trPr>
          <w:trHeight w:val="196"/>
        </w:trPr>
        <w:tc>
          <w:tcPr>
            <w:tcW w:w="4580" w:type="dxa"/>
            <w:vAlign w:val="bottom"/>
            <w:tcBorders>
              <w:bottom w:val="single" w:sz="8" w:color="A6A6A6"/>
            </w:tcBorders>
          </w:tcPr>
          <w:p>
            <w:pPr>
              <w:ind w:left="80"/>
              <w:spacing w:after="0" w:line="196" w:lineRule="exact"/>
              <w:rPr>
                <w:sz w:val="20"/>
                <w:szCs w:val="20"/>
                <w:color w:val="auto"/>
              </w:rPr>
            </w:pPr>
            <w:r>
              <w:rPr>
                <w:rFonts w:ascii="Calibri" w:cs="Calibri" w:eastAsia="Calibri" w:hAnsi="Calibri"/>
                <w:sz w:val="14"/>
                <w:szCs w:val="14"/>
                <w:color w:val="auto"/>
              </w:rPr>
              <w:t xml:space="preserve">Diluton </w:t>
            </w:r>
            <w:r>
              <w:rPr>
                <w:rFonts w:ascii="Calibri" w:cs="Calibri" w:eastAsia="Calibri" w:hAnsi="Calibri"/>
                <w:sz w:val="21"/>
                <w:szCs w:val="21"/>
                <w:b w:val="1"/>
                <w:bCs w:val="1"/>
                <w:color w:val="AF0000"/>
                <w:vertAlign w:val="superscript"/>
              </w:rPr>
              <w:t>(3)</w:t>
            </w:r>
          </w:p>
        </w:tc>
        <w:tc>
          <w:tcPr>
            <w:tcW w:w="1560" w:type="dxa"/>
            <w:vAlign w:val="bottom"/>
            <w:tcBorders>
              <w:bottom w:val="single" w:sz="8" w:color="A6A6A6"/>
            </w:tcBorders>
          </w:tcPr>
          <w:p>
            <w:pPr>
              <w:jc w:val="center"/>
              <w:ind w:left="219"/>
              <w:spacing w:after="0" w:line="193" w:lineRule="exact"/>
              <w:rPr>
                <w:sz w:val="20"/>
                <w:szCs w:val="20"/>
                <w:color w:val="auto"/>
              </w:rPr>
            </w:pPr>
            <w:r>
              <w:rPr>
                <w:rFonts w:ascii="Calibri" w:cs="Calibri" w:eastAsia="Calibri" w:hAnsi="Calibri"/>
                <w:sz w:val="16"/>
                <w:szCs w:val="16"/>
                <w:color w:val="auto"/>
              </w:rPr>
              <w:t>8.2%</w:t>
            </w:r>
          </w:p>
        </w:tc>
        <w:tc>
          <w:tcPr>
            <w:tcW w:w="1220" w:type="dxa"/>
            <w:vAlign w:val="bottom"/>
            <w:tcBorders>
              <w:bottom w:val="single" w:sz="8" w:color="A6A6A6"/>
            </w:tcBorders>
          </w:tcPr>
          <w:p>
            <w:pPr>
              <w:jc w:val="center"/>
              <w:spacing w:after="0" w:line="193" w:lineRule="exact"/>
              <w:rPr>
                <w:sz w:val="20"/>
                <w:szCs w:val="20"/>
                <w:color w:val="auto"/>
              </w:rPr>
            </w:pPr>
            <w:r>
              <w:rPr>
                <w:rFonts w:ascii="Calibri" w:cs="Calibri" w:eastAsia="Calibri" w:hAnsi="Calibri"/>
                <w:sz w:val="16"/>
                <w:szCs w:val="16"/>
                <w:color w:val="auto"/>
              </w:rPr>
              <w:t>10.5%</w:t>
            </w:r>
          </w:p>
        </w:tc>
        <w:tc>
          <w:tcPr>
            <w:tcW w:w="1220" w:type="dxa"/>
            <w:vAlign w:val="bottom"/>
            <w:tcBorders>
              <w:bottom w:val="single" w:sz="8" w:color="A6A6A6"/>
            </w:tcBorders>
          </w:tcPr>
          <w:p>
            <w:pPr>
              <w:jc w:val="center"/>
              <w:spacing w:after="0" w:line="193" w:lineRule="exact"/>
              <w:rPr>
                <w:sz w:val="20"/>
                <w:szCs w:val="20"/>
                <w:color w:val="auto"/>
              </w:rPr>
            </w:pPr>
            <w:r>
              <w:rPr>
                <w:rFonts w:ascii="Calibri" w:cs="Calibri" w:eastAsia="Calibri" w:hAnsi="Calibri"/>
                <w:sz w:val="16"/>
                <w:szCs w:val="16"/>
                <w:color w:val="auto"/>
              </w:rPr>
              <w:t>12.4%</w:t>
            </w:r>
          </w:p>
        </w:tc>
      </w:tr>
      <w:tr>
        <w:trPr>
          <w:trHeight w:val="196"/>
        </w:trPr>
        <w:tc>
          <w:tcPr>
            <w:tcW w:w="4580" w:type="dxa"/>
            <w:vAlign w:val="bottom"/>
            <w:tcBorders>
              <w:bottom w:val="single" w:sz="8" w:color="A6A6A6"/>
            </w:tcBorders>
          </w:tcPr>
          <w:p>
            <w:pPr>
              <w:ind w:left="80"/>
              <w:spacing w:after="0" w:line="196" w:lineRule="exact"/>
              <w:rPr>
                <w:sz w:val="20"/>
                <w:szCs w:val="20"/>
                <w:color w:val="auto"/>
              </w:rPr>
            </w:pPr>
            <w:r>
              <w:rPr>
                <w:rFonts w:ascii="Calibri" w:cs="Calibri" w:eastAsia="Calibri" w:hAnsi="Calibri"/>
                <w:sz w:val="14"/>
                <w:szCs w:val="14"/>
                <w:color w:val="auto"/>
              </w:rPr>
              <w:t xml:space="preserve">Overhang </w:t>
            </w:r>
            <w:r>
              <w:rPr>
                <w:rFonts w:ascii="Calibri" w:cs="Calibri" w:eastAsia="Calibri" w:hAnsi="Calibri"/>
                <w:sz w:val="21"/>
                <w:szCs w:val="21"/>
                <w:b w:val="1"/>
                <w:bCs w:val="1"/>
                <w:color w:val="AF0000"/>
                <w:vertAlign w:val="superscript"/>
              </w:rPr>
              <w:t>(4)</w:t>
            </w:r>
          </w:p>
        </w:tc>
        <w:tc>
          <w:tcPr>
            <w:tcW w:w="1560" w:type="dxa"/>
            <w:vAlign w:val="bottom"/>
            <w:tcBorders>
              <w:bottom w:val="single" w:sz="8" w:color="A6A6A6"/>
            </w:tcBorders>
          </w:tcPr>
          <w:p>
            <w:pPr>
              <w:jc w:val="center"/>
              <w:ind w:left="219"/>
              <w:spacing w:after="0" w:line="193" w:lineRule="exact"/>
              <w:rPr>
                <w:sz w:val="20"/>
                <w:szCs w:val="20"/>
                <w:color w:val="auto"/>
              </w:rPr>
            </w:pPr>
            <w:r>
              <w:rPr>
                <w:rFonts w:ascii="Calibri" w:cs="Calibri" w:eastAsia="Calibri" w:hAnsi="Calibri"/>
                <w:sz w:val="16"/>
                <w:szCs w:val="16"/>
                <w:color w:val="auto"/>
              </w:rPr>
              <w:t>5.2%</w:t>
            </w:r>
          </w:p>
        </w:tc>
        <w:tc>
          <w:tcPr>
            <w:tcW w:w="1220" w:type="dxa"/>
            <w:vAlign w:val="bottom"/>
            <w:tcBorders>
              <w:bottom w:val="single" w:sz="8" w:color="A6A6A6"/>
            </w:tcBorders>
          </w:tcPr>
          <w:p>
            <w:pPr>
              <w:jc w:val="center"/>
              <w:spacing w:after="0" w:line="193" w:lineRule="exact"/>
              <w:rPr>
                <w:sz w:val="20"/>
                <w:szCs w:val="20"/>
                <w:color w:val="auto"/>
              </w:rPr>
            </w:pPr>
            <w:r>
              <w:rPr>
                <w:rFonts w:ascii="Calibri" w:cs="Calibri" w:eastAsia="Calibri" w:hAnsi="Calibri"/>
                <w:sz w:val="16"/>
                <w:szCs w:val="16"/>
                <w:color w:val="auto"/>
              </w:rPr>
              <w:t>5.6%</w:t>
            </w:r>
          </w:p>
        </w:tc>
        <w:tc>
          <w:tcPr>
            <w:tcW w:w="1220" w:type="dxa"/>
            <w:vAlign w:val="bottom"/>
            <w:tcBorders>
              <w:bottom w:val="single" w:sz="8" w:color="A6A6A6"/>
            </w:tcBorders>
          </w:tcPr>
          <w:p>
            <w:pPr>
              <w:jc w:val="center"/>
              <w:spacing w:after="0" w:line="193" w:lineRule="exact"/>
              <w:rPr>
                <w:sz w:val="20"/>
                <w:szCs w:val="20"/>
                <w:color w:val="auto"/>
              </w:rPr>
            </w:pPr>
            <w:r>
              <w:rPr>
                <w:rFonts w:ascii="Calibri" w:cs="Calibri" w:eastAsia="Calibri" w:hAnsi="Calibri"/>
                <w:sz w:val="16"/>
                <w:szCs w:val="16"/>
                <w:color w:val="auto"/>
              </w:rPr>
              <w:t>6.7%</w:t>
            </w:r>
          </w:p>
        </w:tc>
      </w:tr>
      <w:tr>
        <w:trPr>
          <w:trHeight w:val="183"/>
        </w:trPr>
        <w:tc>
          <w:tcPr>
            <w:tcW w:w="4580" w:type="dxa"/>
            <w:vAlign w:val="bottom"/>
            <w:tcBorders>
              <w:bottom w:val="single" w:sz="8" w:color="A6A6A6"/>
            </w:tcBorders>
          </w:tcPr>
          <w:p>
            <w:pPr>
              <w:ind w:left="80"/>
              <w:spacing w:after="0" w:line="183" w:lineRule="exact"/>
              <w:rPr>
                <w:sz w:val="20"/>
                <w:szCs w:val="20"/>
                <w:color w:val="auto"/>
              </w:rPr>
            </w:pPr>
            <w:r>
              <w:rPr>
                <w:rFonts w:ascii="Calibri" w:cs="Calibri" w:eastAsia="Calibri" w:hAnsi="Calibri"/>
                <w:sz w:val="16"/>
                <w:szCs w:val="16"/>
                <w:color w:val="auto"/>
              </w:rPr>
              <w:t>Potental shares issuable from optons and awards granted</w:t>
            </w:r>
          </w:p>
        </w:tc>
        <w:tc>
          <w:tcPr>
            <w:tcW w:w="1560" w:type="dxa"/>
            <w:vAlign w:val="bottom"/>
            <w:tcBorders>
              <w:bottom w:val="single" w:sz="8" w:color="A6A6A6"/>
            </w:tcBorders>
          </w:tcPr>
          <w:p>
            <w:pPr>
              <w:jc w:val="center"/>
              <w:ind w:left="219"/>
              <w:spacing w:after="0" w:line="183" w:lineRule="exact"/>
              <w:rPr>
                <w:sz w:val="20"/>
                <w:szCs w:val="20"/>
                <w:color w:val="auto"/>
              </w:rPr>
            </w:pPr>
            <w:r>
              <w:rPr>
                <w:rFonts w:ascii="Calibri" w:cs="Calibri" w:eastAsia="Calibri" w:hAnsi="Calibri"/>
                <w:sz w:val="16"/>
                <w:szCs w:val="16"/>
                <w:color w:val="auto"/>
              </w:rPr>
              <w:t>648,438</w:t>
            </w:r>
          </w:p>
        </w:tc>
        <w:tc>
          <w:tcPr>
            <w:tcW w:w="1220" w:type="dxa"/>
            <w:vAlign w:val="bottom"/>
            <w:tcBorders>
              <w:bottom w:val="single" w:sz="8" w:color="A6A6A6"/>
            </w:tcBorders>
          </w:tcPr>
          <w:p>
            <w:pPr>
              <w:jc w:val="center"/>
              <w:spacing w:after="0" w:line="183" w:lineRule="exact"/>
              <w:rPr>
                <w:sz w:val="20"/>
                <w:szCs w:val="20"/>
                <w:color w:val="auto"/>
              </w:rPr>
            </w:pPr>
            <w:r>
              <w:rPr>
                <w:rFonts w:ascii="Calibri" w:cs="Calibri" w:eastAsia="Calibri" w:hAnsi="Calibri"/>
                <w:sz w:val="16"/>
                <w:szCs w:val="16"/>
                <w:color w:val="auto"/>
              </w:rPr>
              <w:t>399,266</w:t>
            </w:r>
          </w:p>
        </w:tc>
        <w:tc>
          <w:tcPr>
            <w:tcW w:w="1220" w:type="dxa"/>
            <w:vAlign w:val="bottom"/>
            <w:tcBorders>
              <w:bottom w:val="single" w:sz="8" w:color="A6A6A6"/>
            </w:tcBorders>
          </w:tcPr>
          <w:p>
            <w:pPr>
              <w:jc w:val="center"/>
              <w:spacing w:after="0" w:line="183" w:lineRule="exact"/>
              <w:rPr>
                <w:sz w:val="20"/>
                <w:szCs w:val="20"/>
                <w:color w:val="auto"/>
              </w:rPr>
            </w:pPr>
            <w:r>
              <w:rPr>
                <w:rFonts w:ascii="Calibri" w:cs="Calibri" w:eastAsia="Calibri" w:hAnsi="Calibri"/>
                <w:sz w:val="16"/>
                <w:szCs w:val="16"/>
                <w:color w:val="auto"/>
              </w:rPr>
              <w:t>871,459</w:t>
            </w:r>
          </w:p>
        </w:tc>
      </w:tr>
      <w:tr>
        <w:trPr>
          <w:trHeight w:val="190"/>
        </w:trPr>
        <w:tc>
          <w:tcPr>
            <w:tcW w:w="4580" w:type="dxa"/>
            <w:vAlign w:val="bottom"/>
            <w:tcBorders>
              <w:bottom w:val="single" w:sz="8" w:color="AF0000"/>
            </w:tcBorders>
          </w:tcPr>
          <w:p>
            <w:pPr>
              <w:ind w:left="80"/>
              <w:spacing w:after="0" w:line="183" w:lineRule="exact"/>
              <w:rPr>
                <w:sz w:val="20"/>
                <w:szCs w:val="20"/>
                <w:color w:val="auto"/>
              </w:rPr>
            </w:pPr>
            <w:r>
              <w:rPr>
                <w:rFonts w:ascii="Calibri" w:cs="Calibri" w:eastAsia="Calibri" w:hAnsi="Calibri"/>
                <w:sz w:val="16"/>
                <w:szCs w:val="16"/>
                <w:color w:val="auto"/>
              </w:rPr>
              <w:t>Shares issued under stock opton exercises</w:t>
            </w:r>
          </w:p>
        </w:tc>
        <w:tc>
          <w:tcPr>
            <w:tcW w:w="1560" w:type="dxa"/>
            <w:vAlign w:val="bottom"/>
            <w:tcBorders>
              <w:bottom w:val="single" w:sz="8" w:color="AF0000"/>
            </w:tcBorders>
          </w:tcPr>
          <w:p>
            <w:pPr>
              <w:jc w:val="center"/>
              <w:ind w:left="219"/>
              <w:spacing w:after="0" w:line="183" w:lineRule="exact"/>
              <w:rPr>
                <w:sz w:val="20"/>
                <w:szCs w:val="20"/>
                <w:color w:val="auto"/>
              </w:rPr>
            </w:pPr>
            <w:r>
              <w:rPr>
                <w:rFonts w:ascii="Calibri" w:cs="Calibri" w:eastAsia="Calibri" w:hAnsi="Calibri"/>
                <w:sz w:val="16"/>
                <w:szCs w:val="16"/>
                <w:color w:val="auto"/>
              </w:rPr>
              <w:t>606,672</w:t>
            </w:r>
          </w:p>
        </w:tc>
        <w:tc>
          <w:tcPr>
            <w:tcW w:w="1220" w:type="dxa"/>
            <w:vAlign w:val="bottom"/>
            <w:tcBorders>
              <w:bottom w:val="single" w:sz="8" w:color="AF0000"/>
            </w:tcBorders>
          </w:tcPr>
          <w:p>
            <w:pPr>
              <w:jc w:val="center"/>
              <w:spacing w:after="0" w:line="183" w:lineRule="exact"/>
              <w:rPr>
                <w:sz w:val="20"/>
                <w:szCs w:val="20"/>
                <w:color w:val="auto"/>
              </w:rPr>
            </w:pPr>
            <w:r>
              <w:rPr>
                <w:rFonts w:ascii="Calibri" w:cs="Calibri" w:eastAsia="Calibri" w:hAnsi="Calibri"/>
                <w:sz w:val="16"/>
                <w:szCs w:val="16"/>
                <w:color w:val="auto"/>
              </w:rPr>
              <w:t>703,064</w:t>
            </w:r>
          </w:p>
        </w:tc>
        <w:tc>
          <w:tcPr>
            <w:tcW w:w="1220" w:type="dxa"/>
            <w:vAlign w:val="bottom"/>
            <w:tcBorders>
              <w:bottom w:val="single" w:sz="8" w:color="AF0000"/>
            </w:tcBorders>
          </w:tcPr>
          <w:p>
            <w:pPr>
              <w:jc w:val="center"/>
              <w:spacing w:after="0" w:line="183" w:lineRule="exact"/>
              <w:rPr>
                <w:sz w:val="20"/>
                <w:szCs w:val="20"/>
                <w:color w:val="auto"/>
              </w:rPr>
            </w:pPr>
            <w:r>
              <w:rPr>
                <w:rFonts w:ascii="Calibri" w:cs="Calibri" w:eastAsia="Calibri" w:hAnsi="Calibri"/>
                <w:sz w:val="16"/>
                <w:szCs w:val="16"/>
                <w:color w:val="auto"/>
              </w:rPr>
              <w:t>882,616</w:t>
            </w:r>
          </w:p>
        </w:tc>
      </w:tr>
    </w:tbl>
    <w:p>
      <w:pPr>
        <w:spacing w:after="0" w:line="89" w:lineRule="exact"/>
        <w:rPr>
          <w:sz w:val="20"/>
          <w:szCs w:val="20"/>
          <w:color w:val="auto"/>
        </w:rPr>
      </w:pPr>
    </w:p>
    <w:p>
      <w:pPr>
        <w:ind w:left="540" w:right="259" w:hanging="331"/>
        <w:spacing w:after="0" w:line="234" w:lineRule="auto"/>
        <w:tabs>
          <w:tab w:leader="none" w:pos="540" w:val="left"/>
        </w:tabs>
        <w:numPr>
          <w:ilvl w:val="0"/>
          <w:numId w:val="104"/>
        </w:numPr>
        <w:rPr>
          <w:rFonts w:ascii="Calibri" w:cs="Calibri" w:eastAsia="Calibri" w:hAnsi="Calibri"/>
          <w:sz w:val="16"/>
          <w:szCs w:val="16"/>
          <w:color w:val="AF0000"/>
        </w:rPr>
      </w:pPr>
      <w:r>
        <w:rPr>
          <w:rFonts w:ascii="Calibri" w:cs="Calibri" w:eastAsia="Calibri" w:hAnsi="Calibri"/>
          <w:sz w:val="16"/>
          <w:szCs w:val="16"/>
          <w:color w:val="auto"/>
        </w:rPr>
        <w:t>Percentage of equity awards granted to individuals who were named executve ofcers in the relevant year is calculated by dividing the number of shares that were issuable pursuant to equity awards that were granted to NEOs during the year by the number of shares issuable pursuant to all equity awards granted during the year.</w:t>
      </w:r>
    </w:p>
    <w:p>
      <w:pPr>
        <w:spacing w:after="0" w:line="9" w:lineRule="exact"/>
        <w:rPr>
          <w:rFonts w:ascii="Calibri" w:cs="Calibri" w:eastAsia="Calibri" w:hAnsi="Calibri"/>
          <w:sz w:val="16"/>
          <w:szCs w:val="16"/>
          <w:color w:val="AF0000"/>
        </w:rPr>
      </w:pPr>
    </w:p>
    <w:p>
      <w:pPr>
        <w:ind w:left="540" w:right="279" w:hanging="331"/>
        <w:spacing w:after="0" w:line="235" w:lineRule="auto"/>
        <w:tabs>
          <w:tab w:leader="none" w:pos="540" w:val="left"/>
        </w:tabs>
        <w:numPr>
          <w:ilvl w:val="0"/>
          <w:numId w:val="104"/>
        </w:numPr>
        <w:rPr>
          <w:rFonts w:ascii="Calibri" w:cs="Calibri" w:eastAsia="Calibri" w:hAnsi="Calibri"/>
          <w:sz w:val="16"/>
          <w:szCs w:val="16"/>
          <w:color w:val="AF0000"/>
        </w:rPr>
      </w:pPr>
      <w:r>
        <w:rPr>
          <w:rFonts w:ascii="Calibri" w:cs="Calibri" w:eastAsia="Calibri" w:hAnsi="Calibri"/>
          <w:sz w:val="16"/>
          <w:szCs w:val="16"/>
          <w:color w:val="auto"/>
        </w:rPr>
        <w:t>Equity burn rate is calculated by dividing the number of shares issuable pursuant to equity awards granted during the year by the weighted average number of shares outstanding during the year, as disclosed in our Annual Report on Form 10-K.</w:t>
      </w:r>
    </w:p>
    <w:p>
      <w:pPr>
        <w:spacing w:after="0" w:line="9" w:lineRule="exact"/>
        <w:rPr>
          <w:rFonts w:ascii="Calibri" w:cs="Calibri" w:eastAsia="Calibri" w:hAnsi="Calibri"/>
          <w:sz w:val="16"/>
          <w:szCs w:val="16"/>
          <w:color w:val="AF0000"/>
        </w:rPr>
      </w:pPr>
    </w:p>
    <w:p>
      <w:pPr>
        <w:ind w:left="540" w:right="259" w:hanging="331"/>
        <w:spacing w:after="0" w:line="236" w:lineRule="auto"/>
        <w:tabs>
          <w:tab w:leader="none" w:pos="540" w:val="left"/>
        </w:tabs>
        <w:numPr>
          <w:ilvl w:val="0"/>
          <w:numId w:val="104"/>
        </w:numPr>
        <w:rPr>
          <w:rFonts w:ascii="Calibri" w:cs="Calibri" w:eastAsia="Calibri" w:hAnsi="Calibri"/>
          <w:sz w:val="16"/>
          <w:szCs w:val="16"/>
          <w:color w:val="AF0000"/>
        </w:rPr>
      </w:pPr>
      <w:r>
        <w:rPr>
          <w:rFonts w:ascii="Calibri" w:cs="Calibri" w:eastAsia="Calibri" w:hAnsi="Calibri"/>
          <w:sz w:val="16"/>
          <w:szCs w:val="16"/>
          <w:color w:val="auto"/>
        </w:rPr>
        <w:t>Diluton is calculated by dividing the sum of (x) the number of shares issuable pursuant to equity awards outstanding at the end of the fscal year and (y) the number of shares available under the 2018 Incentve Plan for future grants by the number of shares outstanding at the end of the year. If the shares from the Incentve Plan Amendment are included in the number of shares issuable pursuant to equity awards outstanding at the end of the fscal year, this diluton metric would be approximately 13.4% in 2023.</w:t>
      </w:r>
    </w:p>
    <w:p>
      <w:pPr>
        <w:spacing w:after="0" w:line="2" w:lineRule="exact"/>
        <w:rPr>
          <w:rFonts w:ascii="Calibri" w:cs="Calibri" w:eastAsia="Calibri" w:hAnsi="Calibri"/>
          <w:sz w:val="16"/>
          <w:szCs w:val="16"/>
          <w:color w:val="AF0000"/>
        </w:rPr>
      </w:pPr>
    </w:p>
    <w:p>
      <w:pPr>
        <w:ind w:left="540" w:right="519" w:hanging="331"/>
        <w:spacing w:after="0" w:line="232" w:lineRule="auto"/>
        <w:tabs>
          <w:tab w:leader="none" w:pos="540" w:val="left"/>
        </w:tabs>
        <w:numPr>
          <w:ilvl w:val="0"/>
          <w:numId w:val="104"/>
        </w:numPr>
        <w:rPr>
          <w:rFonts w:ascii="Calibri" w:cs="Calibri" w:eastAsia="Calibri" w:hAnsi="Calibri"/>
          <w:sz w:val="16"/>
          <w:szCs w:val="16"/>
          <w:color w:val="AF0000"/>
        </w:rPr>
      </w:pPr>
      <w:r>
        <w:rPr>
          <w:rFonts w:ascii="Calibri" w:cs="Calibri" w:eastAsia="Calibri" w:hAnsi="Calibri"/>
          <w:sz w:val="16"/>
          <w:szCs w:val="16"/>
          <w:color w:val="auto"/>
        </w:rPr>
        <w:t>Overhang is calculated by dividing the number of shares issuable pursuant to equity awards outstanding at the end of the year by the number of shares outstanding at the end of the year.</w:t>
      </w:r>
    </w:p>
    <w:p>
      <w:pPr>
        <w:spacing w:after="0" w:line="176"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Incentve Plan Summary</w:t>
      </w:r>
    </w:p>
    <w:p>
      <w:pPr>
        <w:spacing w:after="0" w:line="186" w:lineRule="exact"/>
        <w:rPr>
          <w:sz w:val="20"/>
          <w:szCs w:val="20"/>
          <w:color w:val="auto"/>
        </w:rPr>
      </w:pPr>
    </w:p>
    <w:p>
      <w:pPr>
        <w:ind w:left="200" w:right="359"/>
        <w:spacing w:after="0" w:line="235" w:lineRule="auto"/>
        <w:rPr>
          <w:sz w:val="20"/>
          <w:szCs w:val="20"/>
          <w:color w:val="auto"/>
        </w:rPr>
      </w:pPr>
      <w:r>
        <w:rPr>
          <w:rFonts w:ascii="Calibri" w:cs="Calibri" w:eastAsia="Calibri" w:hAnsi="Calibri"/>
          <w:sz w:val="18"/>
          <w:szCs w:val="18"/>
          <w:color w:val="auto"/>
        </w:rPr>
        <w:t>The following is a brief descripton of the principal features of the 2018 Incentve Plan. This summary is qualifed in its entrety by reference to the full text of the 2018 Incentve Plan, which is included as an exhibit to our Annual Report on Form 10-K, and the full text of the Incentve Plan Amendment atached hereto as Appendix B.</w:t>
      </w: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74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78" w:name="page79"/>
    <w:bookmarkEnd w:id="78"/>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EXECUTIVE COMPENSATION AND RELATED MATTERS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Purpose</w:t>
      </w:r>
    </w:p>
    <w:p>
      <w:pPr>
        <w:spacing w:after="0" w:line="177" w:lineRule="exact"/>
        <w:rPr>
          <w:sz w:val="20"/>
          <w:szCs w:val="20"/>
          <w:color w:val="auto"/>
        </w:rPr>
      </w:pPr>
    </w:p>
    <w:p>
      <w:pPr>
        <w:jc w:val="both"/>
        <w:ind w:left="200" w:right="339"/>
        <w:spacing w:after="0" w:line="235" w:lineRule="auto"/>
        <w:rPr>
          <w:sz w:val="20"/>
          <w:szCs w:val="20"/>
          <w:color w:val="auto"/>
        </w:rPr>
      </w:pPr>
      <w:r>
        <w:rPr>
          <w:rFonts w:ascii="Calibri" w:cs="Calibri" w:eastAsia="Calibri" w:hAnsi="Calibri"/>
          <w:sz w:val="18"/>
          <w:szCs w:val="18"/>
          <w:color w:val="auto"/>
        </w:rPr>
        <w:t>The purpose of the 2018 Incentve Plan is to assist the Company and its subsidiaries in atractng and retaining qualifed individuals to serve as directors and employees of, and consultants and advisors to, the Company and our subsidiaries. The Board believes that the awards granted under the 2018 Incentve Plan align incentves of such individuals and help us achieve our long-term objectves, which in turn inure to the beneft of all our shareholders.</w:t>
      </w:r>
    </w:p>
    <w:p>
      <w:pPr>
        <w:spacing w:after="0" w:line="174"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Eligibility</w:t>
      </w:r>
    </w:p>
    <w:p>
      <w:pPr>
        <w:spacing w:after="0" w:line="177" w:lineRule="exact"/>
        <w:rPr>
          <w:sz w:val="20"/>
          <w:szCs w:val="20"/>
          <w:color w:val="auto"/>
        </w:rPr>
      </w:pPr>
    </w:p>
    <w:p>
      <w:pPr>
        <w:ind w:left="200" w:right="259"/>
        <w:spacing w:after="0" w:line="235" w:lineRule="auto"/>
        <w:rPr>
          <w:sz w:val="20"/>
          <w:szCs w:val="20"/>
          <w:color w:val="auto"/>
        </w:rPr>
      </w:pPr>
      <w:r>
        <w:rPr>
          <w:rFonts w:ascii="Calibri" w:cs="Calibri" w:eastAsia="Calibri" w:hAnsi="Calibri"/>
          <w:sz w:val="18"/>
          <w:szCs w:val="18"/>
          <w:color w:val="auto"/>
        </w:rPr>
        <w:t>Directors, employees, consultants and advisors of the Company and our subsidiaries are eligible to receive awards under the 2018 Incentve Plan to the extent designated by the Compensaton Commitee or its delegate. The Compensaton Commitee has not yet determined who will receive future awards under the 2018 Incentve Plan, but future grants consistent with the Company’s historical equity-based compensaton practces are likely.</w:t>
      </w:r>
    </w:p>
    <w:p>
      <w:pPr>
        <w:spacing w:after="0" w:line="174"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Administraton</w:t>
      </w:r>
    </w:p>
    <w:p>
      <w:pPr>
        <w:spacing w:after="0" w:line="177" w:lineRule="exact"/>
        <w:rPr>
          <w:sz w:val="20"/>
          <w:szCs w:val="20"/>
          <w:color w:val="auto"/>
        </w:rPr>
      </w:pPr>
    </w:p>
    <w:p>
      <w:pPr>
        <w:ind w:left="200" w:right="779"/>
        <w:spacing w:after="0" w:line="235" w:lineRule="auto"/>
        <w:rPr>
          <w:sz w:val="20"/>
          <w:szCs w:val="20"/>
          <w:color w:val="auto"/>
        </w:rPr>
      </w:pPr>
      <w:r>
        <w:rPr>
          <w:rFonts w:ascii="Calibri" w:cs="Calibri" w:eastAsia="Calibri" w:hAnsi="Calibri"/>
          <w:sz w:val="18"/>
          <w:szCs w:val="18"/>
          <w:color w:val="auto"/>
        </w:rPr>
        <w:t>The 2018 Incentve Plan is administered by the Compensaton Commitee. The Compensaton Commitee has the authority to interpret and construe the provisions of the 2018 Incentve Plan and to make all decisions and determinatons relatng to the operaton of the 2018 Incentve Plan, including the authority and discreton to:</w:t>
      </w:r>
    </w:p>
    <w:p>
      <w:pPr>
        <w:spacing w:after="0" w:line="173" w:lineRule="exact"/>
        <w:rPr>
          <w:sz w:val="20"/>
          <w:szCs w:val="20"/>
          <w:color w:val="auto"/>
        </w:rPr>
      </w:pPr>
    </w:p>
    <w:p>
      <w:pPr>
        <w:ind w:left="880" w:hanging="320"/>
        <w:spacing w:after="0"/>
        <w:tabs>
          <w:tab w:leader="none" w:pos="880" w:val="left"/>
        </w:tabs>
        <w:numPr>
          <w:ilvl w:val="0"/>
          <w:numId w:val="105"/>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select the individuals to receive stock opton grants or other awards;</w:t>
      </w:r>
    </w:p>
    <w:p>
      <w:pPr>
        <w:spacing w:after="0" w:line="23" w:lineRule="exact"/>
        <w:rPr>
          <w:rFonts w:ascii="Times New Roman" w:cs="Times New Roman" w:eastAsia="Times New Roman" w:hAnsi="Times New Roman"/>
          <w:sz w:val="18"/>
          <w:szCs w:val="18"/>
          <w:color w:val="auto"/>
        </w:rPr>
      </w:pPr>
    </w:p>
    <w:p>
      <w:pPr>
        <w:ind w:left="880" w:hanging="320"/>
        <w:spacing w:after="0" w:line="225" w:lineRule="auto"/>
        <w:tabs>
          <w:tab w:leader="none" w:pos="880" w:val="left"/>
        </w:tabs>
        <w:numPr>
          <w:ilvl w:val="0"/>
          <w:numId w:val="105"/>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determine the tme or tmes when stock opton grants or other awards will be granted and will vest; and</w:t>
      </w:r>
    </w:p>
    <w:p>
      <w:pPr>
        <w:spacing w:after="0" w:line="23" w:lineRule="exact"/>
        <w:rPr>
          <w:rFonts w:ascii="Times New Roman" w:cs="Times New Roman" w:eastAsia="Times New Roman" w:hAnsi="Times New Roman"/>
          <w:sz w:val="18"/>
          <w:szCs w:val="18"/>
          <w:color w:val="auto"/>
        </w:rPr>
      </w:pPr>
    </w:p>
    <w:p>
      <w:pPr>
        <w:ind w:left="880" w:hanging="320"/>
        <w:spacing w:after="0" w:line="225" w:lineRule="auto"/>
        <w:tabs>
          <w:tab w:leader="none" w:pos="880" w:val="left"/>
        </w:tabs>
        <w:numPr>
          <w:ilvl w:val="0"/>
          <w:numId w:val="105"/>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 the terms and conditons upon which awards may be exercised.</w:t>
      </w:r>
    </w:p>
    <w:p>
      <w:pPr>
        <w:spacing w:after="0" w:line="190" w:lineRule="exact"/>
        <w:rPr>
          <w:sz w:val="20"/>
          <w:szCs w:val="20"/>
          <w:color w:val="auto"/>
        </w:rPr>
      </w:pPr>
    </w:p>
    <w:p>
      <w:pPr>
        <w:ind w:left="200" w:right="519"/>
        <w:spacing w:after="0" w:line="235" w:lineRule="auto"/>
        <w:rPr>
          <w:sz w:val="20"/>
          <w:szCs w:val="20"/>
          <w:color w:val="auto"/>
        </w:rPr>
      </w:pPr>
      <w:r>
        <w:rPr>
          <w:rFonts w:ascii="Calibri" w:cs="Calibri" w:eastAsia="Calibri" w:hAnsi="Calibri"/>
          <w:sz w:val="18"/>
          <w:szCs w:val="18"/>
          <w:color w:val="auto"/>
        </w:rPr>
        <w:t>Subject to certain limitatons, the Compensaton Commitee may delegate to the CEO authority to make stock opton grants to employees other than executve ofcers and directors.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Duraton</w:t>
      </w:r>
    </w:p>
    <w:p>
      <w:pPr>
        <w:spacing w:after="0" w:line="177" w:lineRule="exact"/>
        <w:rPr>
          <w:sz w:val="20"/>
          <w:szCs w:val="20"/>
          <w:color w:val="auto"/>
        </w:rPr>
      </w:pPr>
    </w:p>
    <w:p>
      <w:pPr>
        <w:ind w:left="200" w:right="899"/>
        <w:spacing w:after="0" w:line="235" w:lineRule="auto"/>
        <w:rPr>
          <w:sz w:val="20"/>
          <w:szCs w:val="20"/>
          <w:color w:val="auto"/>
        </w:rPr>
      </w:pPr>
      <w:r>
        <w:rPr>
          <w:rFonts w:ascii="Calibri" w:cs="Calibri" w:eastAsia="Calibri" w:hAnsi="Calibri"/>
          <w:sz w:val="18"/>
          <w:szCs w:val="18"/>
          <w:color w:val="auto"/>
        </w:rPr>
        <w:t>The 2018 Incentve Plan became efectve on May 24, 2018 and shall contnue untl May 23, 2028 unless sooner terminated by the Board of Directors.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Shares Subject to Plan</w:t>
      </w:r>
    </w:p>
    <w:p>
      <w:pPr>
        <w:spacing w:after="0" w:line="190" w:lineRule="exact"/>
        <w:rPr>
          <w:sz w:val="20"/>
          <w:szCs w:val="20"/>
          <w:color w:val="auto"/>
        </w:rPr>
      </w:pPr>
    </w:p>
    <w:p>
      <w:pPr>
        <w:ind w:left="200" w:right="239"/>
        <w:spacing w:after="0" w:line="233" w:lineRule="auto"/>
        <w:rPr>
          <w:sz w:val="20"/>
          <w:szCs w:val="20"/>
          <w:color w:val="auto"/>
        </w:rPr>
      </w:pPr>
      <w:r>
        <w:rPr>
          <w:rFonts w:ascii="Calibri" w:cs="Calibri" w:eastAsia="Calibri" w:hAnsi="Calibri"/>
          <w:sz w:val="18"/>
          <w:szCs w:val="18"/>
          <w:color w:val="auto"/>
        </w:rPr>
        <w:t>A maximum of 6,100,000 shares of Common Stock are currently authorized for issuance under the 2018 Incentve Plan (including issuance pursuant to incentve stock optons). As of the Record Date, 1,746,011 shares were available for issuance under the 2018 Incentve Plan. If the Incentve Plan Amendment is approved, a maximum of 9,100,000 shares of Common Stock will be authorized for issuance and 4,746,011 shares will be available for issuance under the 2018 Incentve Plan. Any shares subject to optons or stock appreciaton rights are counted against the shares available for issuance under the 2018 Incentve Plan (</w:t>
      </w:r>
      <w:r>
        <w:rPr>
          <w:rFonts w:ascii="Calibri" w:cs="Calibri" w:eastAsia="Calibri" w:hAnsi="Calibri"/>
          <w:sz w:val="18"/>
          <w:szCs w:val="18"/>
          <w:u w:val="single" w:color="auto"/>
          <w:color w:val="AF0000"/>
        </w:rPr>
        <w:t>Share Reserve</w:t>
      </w:r>
      <w:r>
        <w:rPr>
          <w:rFonts w:ascii="Calibri" w:cs="Calibri" w:eastAsia="Calibri" w:hAnsi="Calibri"/>
          <w:sz w:val="18"/>
          <w:szCs w:val="18"/>
          <w:color w:val="auto"/>
        </w:rPr>
        <w:t xml:space="preserve">) as one share for every share subject thereto. Any shares subject to awards other than optons or stock appreciaton rights, e.g., restricted stock units and performance share units, are counted against the Share Reserve as two and one-half shares for every one share subject thereto. If an award under the 2018 Incentve Plan is forfeited or expires, the subject shares are again available for grant under the 2018 Incentve Plan (such forfeited or expired shares, </w:t>
      </w:r>
      <w:r>
        <w:rPr>
          <w:rFonts w:ascii="Calibri" w:cs="Calibri" w:eastAsia="Calibri" w:hAnsi="Calibri"/>
          <w:sz w:val="18"/>
          <w:szCs w:val="18"/>
          <w:u w:val="single" w:color="auto"/>
          <w:color w:val="AF0000"/>
        </w:rPr>
        <w:t>Recycled Shares</w:t>
      </w:r>
      <w:r>
        <w:rPr>
          <w:rFonts w:ascii="Calibri" w:cs="Calibri" w:eastAsia="Calibri" w:hAnsi="Calibri"/>
          <w:sz w:val="18"/>
          <w:szCs w:val="18"/>
          <w:color w:val="auto"/>
        </w:rPr>
        <w:t>). To the extent that a share that was subject to an award that counted as one share against the 2018 Incentve Plan Share Reserve becomes a Recycled Share, the Share Reserve would be credited with (increased by) one share. To the extent that a share that was subject to an award that counted as two and one-half shares against the 2018 Incentve Plan Share Reserve becomes a Recycled Share, the Share Reserve is credited with two and one-half shares. The following types of shares of Common Stock are not eligible to be granted again under the 2018 Incentve Plan:</w:t>
      </w:r>
    </w:p>
    <w:p>
      <w:pPr>
        <w:spacing w:after="0" w:line="189" w:lineRule="exact"/>
        <w:rPr>
          <w:sz w:val="20"/>
          <w:szCs w:val="20"/>
          <w:color w:val="auto"/>
        </w:rPr>
      </w:pPr>
    </w:p>
    <w:p>
      <w:pPr>
        <w:ind w:left="880" w:right="399" w:hanging="320"/>
        <w:spacing w:after="0" w:line="245" w:lineRule="auto"/>
        <w:tabs>
          <w:tab w:leader="none" w:pos="880" w:val="left"/>
        </w:tabs>
        <w:numPr>
          <w:ilvl w:val="0"/>
          <w:numId w:val="106"/>
        </w:numPr>
        <w:rPr>
          <w:rFonts w:ascii="Times New Roman" w:cs="Times New Roman" w:eastAsia="Times New Roman" w:hAnsi="Times New Roman"/>
          <w:sz w:val="18"/>
          <w:szCs w:val="18"/>
          <w:color w:val="auto"/>
        </w:rPr>
      </w:pPr>
      <w:r>
        <w:rPr>
          <w:rFonts w:ascii="Calibri" w:cs="Calibri" w:eastAsia="Calibri" w:hAnsi="Calibri"/>
          <w:sz w:val="18"/>
          <w:szCs w:val="18"/>
          <w:color w:val="auto"/>
        </w:rPr>
        <w:t>shares tendered by the partcipant, or withheld by the Company, to satsfy the purchase price of an opton or any tax withholding obligaton;</w:t>
      </w:r>
    </w:p>
    <w:p>
      <w:pPr>
        <w:spacing w:after="0" w:line="5"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106"/>
        </w:numPr>
        <w:rPr>
          <w:rFonts w:ascii="Times New Roman" w:cs="Times New Roman" w:eastAsia="Times New Roman" w:hAnsi="Times New Roman"/>
          <w:sz w:val="18"/>
          <w:szCs w:val="18"/>
          <w:color w:val="auto"/>
        </w:rPr>
      </w:pPr>
      <w:r>
        <w:rPr>
          <w:rFonts w:ascii="Calibri" w:cs="Calibri" w:eastAsia="Calibri" w:hAnsi="Calibri"/>
          <w:sz w:val="18"/>
          <w:szCs w:val="18"/>
          <w:color w:val="auto"/>
        </w:rPr>
        <w:t>shares which we repurchase with opton proceeds; or</w:t>
      </w:r>
    </w:p>
    <w:p>
      <w:pPr>
        <w:spacing w:after="0" w:line="200" w:lineRule="exact"/>
        <w:rPr>
          <w:sz w:val="20"/>
          <w:szCs w:val="20"/>
          <w:color w:val="auto"/>
        </w:rPr>
      </w:pPr>
    </w:p>
    <w:p>
      <w:pPr>
        <w:spacing w:after="0" w:line="247"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79" w:name="page80"/>
    <w:bookmarkEnd w:id="79"/>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36" w:lineRule="exact"/>
        <w:rPr>
          <w:sz w:val="20"/>
          <w:szCs w:val="20"/>
          <w:color w:val="auto"/>
        </w:rPr>
      </w:pPr>
    </w:p>
    <w:p>
      <w:pPr>
        <w:ind w:left="880" w:right="399" w:hanging="320"/>
        <w:spacing w:after="0" w:line="245" w:lineRule="auto"/>
        <w:tabs>
          <w:tab w:leader="none" w:pos="880" w:val="left"/>
        </w:tabs>
        <w:numPr>
          <w:ilvl w:val="0"/>
          <w:numId w:val="10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shares subject to a stock appreciaton right that are not issued in connecton with the stock setlement of the stock appreciaton right on exercise thereof.</w:t>
      </w:r>
    </w:p>
    <w:p>
      <w:pPr>
        <w:spacing w:after="0" w:line="199" w:lineRule="exact"/>
        <w:rPr>
          <w:sz w:val="20"/>
          <w:szCs w:val="20"/>
          <w:color w:val="auto"/>
        </w:rPr>
      </w:pPr>
    </w:p>
    <w:p>
      <w:pPr>
        <w:ind w:left="200" w:right="279"/>
        <w:spacing w:after="0" w:line="231" w:lineRule="auto"/>
        <w:rPr>
          <w:sz w:val="20"/>
          <w:szCs w:val="20"/>
          <w:color w:val="auto"/>
        </w:rPr>
      </w:pPr>
      <w:r>
        <w:rPr>
          <w:rFonts w:ascii="Calibri" w:cs="Calibri" w:eastAsia="Calibri" w:hAnsi="Calibri"/>
          <w:sz w:val="18"/>
          <w:szCs w:val="18"/>
          <w:color w:val="auto"/>
        </w:rPr>
        <w:t>In the event the outstanding shares of Common Stock are increased, decreased, changed into, or exchanged for a diferent number or kind of shares or securites through reorganizaton, merger, recapitalizaton, reclassifcaton, stock split, reverse stock split or similar transacton (</w:t>
      </w:r>
      <w:r>
        <w:rPr>
          <w:rFonts w:ascii="Calibri" w:cs="Calibri" w:eastAsia="Calibri" w:hAnsi="Calibri"/>
          <w:sz w:val="18"/>
          <w:szCs w:val="18"/>
          <w:u w:val="single" w:color="auto"/>
          <w:color w:val="AF0000"/>
        </w:rPr>
        <w:t>Recapitalizaton</w:t>
      </w:r>
      <w:r>
        <w:rPr>
          <w:rFonts w:ascii="Calibri" w:cs="Calibri" w:eastAsia="Calibri" w:hAnsi="Calibri"/>
          <w:sz w:val="18"/>
          <w:szCs w:val="18"/>
          <w:color w:val="auto"/>
        </w:rPr>
        <w:t>), the Share Reserve under the 2018 Incentve Plan will be proportonately adjusted.</w:t>
      </w:r>
    </w:p>
    <w:p>
      <w:pPr>
        <w:spacing w:after="0" w:line="180" w:lineRule="exact"/>
        <w:rPr>
          <w:sz w:val="20"/>
          <w:szCs w:val="20"/>
          <w:color w:val="auto"/>
        </w:rPr>
      </w:pPr>
    </w:p>
    <w:p>
      <w:pPr>
        <w:ind w:left="200" w:right="299"/>
        <w:spacing w:after="0" w:line="235" w:lineRule="auto"/>
        <w:rPr>
          <w:sz w:val="20"/>
          <w:szCs w:val="20"/>
          <w:color w:val="auto"/>
        </w:rPr>
      </w:pPr>
      <w:r>
        <w:rPr>
          <w:rFonts w:ascii="Calibri" w:cs="Calibri" w:eastAsia="Calibri" w:hAnsi="Calibri"/>
          <w:sz w:val="18"/>
          <w:szCs w:val="18"/>
          <w:color w:val="auto"/>
        </w:rPr>
        <w:t>We intend to register the new shares authorized for issuance under the 2018 Incentve Plan on a Registraton Statement on Form S-8 under the Securites Act, as soon as practcable afer receiving stockholder approval.</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Types of Awards under the 2018 Incentve Plan</w:t>
      </w:r>
    </w:p>
    <w:p>
      <w:pPr>
        <w:spacing w:after="0" w:line="190" w:lineRule="exact"/>
        <w:rPr>
          <w:sz w:val="20"/>
          <w:szCs w:val="20"/>
          <w:color w:val="auto"/>
        </w:rPr>
      </w:pPr>
    </w:p>
    <w:p>
      <w:pPr>
        <w:ind w:left="200" w:right="479"/>
        <w:spacing w:after="0" w:line="233" w:lineRule="auto"/>
        <w:rPr>
          <w:sz w:val="20"/>
          <w:szCs w:val="20"/>
          <w:color w:val="auto"/>
        </w:rPr>
      </w:pPr>
      <w:r>
        <w:rPr>
          <w:rFonts w:ascii="Calibri" w:cs="Calibri" w:eastAsia="Calibri" w:hAnsi="Calibri"/>
          <w:sz w:val="18"/>
          <w:szCs w:val="18"/>
          <w:color w:val="auto"/>
        </w:rPr>
        <w:t>The 2018 Incentve Plan provides for the following types of awards (Awards): (a) stock optons; (b) stock appreciaton rights; (c) restricted stock; (d) restricted stock units, including performance stock units; and (e) other share-based awards. Awards under the 2018 Incentve Plan may be granted as “performance awards” subject to conditons on exercise, vestng or payment that are ted to satsfacton of pre-determined fnancial or other performance goals designated by the Compensaton Commitee and set forth in the applicable award agreements. Except in the case of certain Changes in Control, as described below, all awards under the 2018 Incentve Plan will have a minimum vestng requirement of at least one year of contnuous service from the date of grant.</w:t>
      </w:r>
    </w:p>
    <w:p>
      <w:pPr>
        <w:spacing w:after="0" w:line="176"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Stock Optons</w:t>
      </w:r>
    </w:p>
    <w:p>
      <w:pPr>
        <w:spacing w:after="0" w:line="177" w:lineRule="exact"/>
        <w:rPr>
          <w:sz w:val="20"/>
          <w:szCs w:val="20"/>
          <w:color w:val="auto"/>
        </w:rPr>
      </w:pPr>
    </w:p>
    <w:p>
      <w:pPr>
        <w:ind w:left="200" w:right="299"/>
        <w:spacing w:after="0" w:line="248" w:lineRule="auto"/>
        <w:rPr>
          <w:sz w:val="20"/>
          <w:szCs w:val="20"/>
          <w:color w:val="auto"/>
        </w:rPr>
      </w:pPr>
      <w:r>
        <w:rPr>
          <w:rFonts w:ascii="Calibri" w:cs="Calibri" w:eastAsia="Calibri" w:hAnsi="Calibri"/>
          <w:sz w:val="17"/>
          <w:szCs w:val="17"/>
          <w:color w:val="auto"/>
        </w:rPr>
        <w:t>The Compensaton Commitee may from tme to tme award optons to any 2018 Incentve Plan partcipant subject to the limitatons described above. Stock optons give the holder the right to purchase shares of our Common Stock within a specifed tme at a specifed exercise price. Two types of stock optons may be granted under the 2018 Incentve Plan, namely: (a) incentve stock optons (</w:t>
      </w:r>
      <w:r>
        <w:rPr>
          <w:rFonts w:ascii="Calibri" w:cs="Calibri" w:eastAsia="Calibri" w:hAnsi="Calibri"/>
          <w:sz w:val="17"/>
          <w:szCs w:val="17"/>
          <w:u w:val="single" w:color="auto"/>
          <w:color w:val="AF0000"/>
        </w:rPr>
        <w:t>ISOs</w:t>
      </w:r>
      <w:r>
        <w:rPr>
          <w:rFonts w:ascii="Calibri" w:cs="Calibri" w:eastAsia="Calibri" w:hAnsi="Calibri"/>
          <w:sz w:val="17"/>
          <w:szCs w:val="17"/>
          <w:color w:val="auto"/>
        </w:rPr>
        <w:t>), which are subject to special tax treatment as described below and which are limited to employees of the Company and our subsidiaries; and (b) non-statutory optons (</w:t>
      </w:r>
      <w:r>
        <w:rPr>
          <w:rFonts w:ascii="Calibri" w:cs="Calibri" w:eastAsia="Calibri" w:hAnsi="Calibri"/>
          <w:sz w:val="17"/>
          <w:szCs w:val="17"/>
          <w:i w:val="1"/>
          <w:iCs w:val="1"/>
          <w:color w:val="AF0000"/>
        </w:rPr>
        <w:t>NSOs</w:t>
      </w:r>
      <w:r>
        <w:rPr>
          <w:rFonts w:ascii="Calibri" w:cs="Calibri" w:eastAsia="Calibri" w:hAnsi="Calibri"/>
          <w:sz w:val="17"/>
          <w:szCs w:val="17"/>
          <w:color w:val="auto"/>
        </w:rPr>
        <w:t>), which are available to all directors, employees, consultants and advisors of the Company and our subsidiaries. The exercise price of an opton cannot be less than the fair market value of a share of Common Stock at the tme of grant. A partcipant may pay the applicable Opton exercise price in cash, certfed check or by wire transfer, or if permited under the applicable award agreement or by the Compensaton Commitee by tendering previously acquired shares, by withholding of shares or through a cashless broker-assisted exercise program. The expiraton dates of optons cannot be more than seven years afer the date of the original grant. Other than appropriate adjustments as described above to refect a Recapitalizaton, the Compensaton Commitee may not without the approval of our shareholders: (i) lower the opton exercise price of an opton afer it is granted; (ii) cancel an opton when the opton exercise exceeds the fair market value of the underlying shares in exchange for another Award; or (iii) take any other acton with respect to an opton that may be treated as a repricing under the rules and regulatons of NASDAQ.</w:t>
      </w:r>
    </w:p>
    <w:p>
      <w:pPr>
        <w:spacing w:after="0" w:line="167"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Stock Appreciaton Rights</w:t>
      </w:r>
    </w:p>
    <w:p>
      <w:pPr>
        <w:spacing w:after="0" w:line="177" w:lineRule="exact"/>
        <w:rPr>
          <w:sz w:val="20"/>
          <w:szCs w:val="20"/>
          <w:color w:val="auto"/>
        </w:rPr>
      </w:pPr>
    </w:p>
    <w:p>
      <w:pPr>
        <w:ind w:left="200" w:right="259"/>
        <w:spacing w:after="0" w:line="235" w:lineRule="auto"/>
        <w:rPr>
          <w:sz w:val="20"/>
          <w:szCs w:val="20"/>
          <w:color w:val="auto"/>
        </w:rPr>
      </w:pPr>
      <w:r>
        <w:rPr>
          <w:rFonts w:ascii="Calibri" w:cs="Calibri" w:eastAsia="Calibri" w:hAnsi="Calibri"/>
          <w:sz w:val="18"/>
          <w:szCs w:val="18"/>
          <w:color w:val="auto"/>
        </w:rPr>
        <w:t>The Compensaton Commitee may grant stock appreciaton rights under the 2018 Incentve Plan to eligible partcipants. A stock appreciaton right enttles the holder upon exercise to receive an amount in cash, shares of Common Stock, other property, or a combinaton thereof (as determined by the Compensaton Commitee), computed by reference to appreciaton in the value of the Common Stock over its stated base value per share, which cannot be less than the fair market value of a share of Common Stock at the tme of grant. The expiraton dates of stock appreciaton rights cannot be more than seven years afer the date of the original grant.</w:t>
      </w:r>
    </w:p>
    <w:p>
      <w:pPr>
        <w:spacing w:after="0" w:line="176"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Restricted Stock</w:t>
      </w:r>
    </w:p>
    <w:p>
      <w:pPr>
        <w:spacing w:after="0" w:line="177" w:lineRule="exact"/>
        <w:rPr>
          <w:sz w:val="20"/>
          <w:szCs w:val="20"/>
          <w:color w:val="auto"/>
        </w:rPr>
      </w:pPr>
    </w:p>
    <w:p>
      <w:pPr>
        <w:ind w:left="200" w:right="639"/>
        <w:spacing w:after="0" w:line="235" w:lineRule="auto"/>
        <w:rPr>
          <w:sz w:val="20"/>
          <w:szCs w:val="20"/>
          <w:color w:val="auto"/>
        </w:rPr>
      </w:pPr>
      <w:r>
        <w:rPr>
          <w:rFonts w:ascii="Calibri" w:cs="Calibri" w:eastAsia="Calibri" w:hAnsi="Calibri"/>
          <w:sz w:val="18"/>
          <w:szCs w:val="18"/>
          <w:color w:val="auto"/>
        </w:rPr>
        <w:t>The Compensaton Commitee may grant restricted shares of Common Stock under the 2018 Incentve Plan to such eligible partcipants, in such amounts, and subject to such terms and conditons (including the atainment of performance criteria) as the Compensaton Commitee determines in its discreton. Awards of restricted shares of</w:t>
      </w: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76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80" w:name="page81"/>
    <w:bookmarkEnd w:id="80"/>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5080"/>
        <w:spacing w:after="0"/>
        <w:rPr>
          <w:sz w:val="20"/>
          <w:szCs w:val="20"/>
          <w:color w:val="auto"/>
        </w:rPr>
      </w:pPr>
      <w:r>
        <w:rPr>
          <w:rFonts w:ascii="Calibri" w:cs="Calibri" w:eastAsia="Calibri" w:hAnsi="Calibri"/>
          <w:sz w:val="17"/>
          <w:szCs w:val="17"/>
          <w:color w:val="auto"/>
        </w:rPr>
        <w:t>EXECUTIVE COMPENSATION AND RELATED MATTERS</w:t>
      </w:r>
    </w:p>
    <w:p>
      <w:pPr>
        <w:spacing w:after="0" w:line="184" w:lineRule="exact"/>
        <w:rPr>
          <w:sz w:val="20"/>
          <w:szCs w:val="20"/>
          <w:color w:val="auto"/>
        </w:rPr>
      </w:pPr>
    </w:p>
    <w:p>
      <w:pPr>
        <w:ind w:left="200" w:right="239"/>
        <w:spacing w:after="0" w:line="232" w:lineRule="auto"/>
        <w:rPr>
          <w:sz w:val="20"/>
          <w:szCs w:val="20"/>
          <w:color w:val="auto"/>
        </w:rPr>
      </w:pPr>
      <w:r>
        <w:rPr>
          <w:rFonts w:ascii="Calibri" w:cs="Calibri" w:eastAsia="Calibri" w:hAnsi="Calibri"/>
          <w:sz w:val="18"/>
          <w:szCs w:val="18"/>
          <w:color w:val="auto"/>
        </w:rPr>
        <w:t>the Common Stock may be made in exchange for services or other lawful consideraton. Generally, awards of restricted shares of Common Stock are subject to the requirement that the shares be forfeited to the Company unless specifed conditons are met. Subject to these restrictons, conditons and forfeiture provisions, any recipient of an award of restricted stock will have all the rights of a shareholder of the Company, including the right to vote the shares upon grant subject to these restrictons, conditons and forfeiture provisions.</w:t>
      </w:r>
    </w:p>
    <w:p>
      <w:pPr>
        <w:spacing w:after="0" w:line="175"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Restricted Stock Units</w:t>
      </w:r>
    </w:p>
    <w:p>
      <w:pPr>
        <w:spacing w:after="0" w:line="190" w:lineRule="exact"/>
        <w:rPr>
          <w:sz w:val="20"/>
          <w:szCs w:val="20"/>
          <w:color w:val="auto"/>
        </w:rPr>
      </w:pPr>
    </w:p>
    <w:p>
      <w:pPr>
        <w:ind w:left="200" w:right="259"/>
        <w:spacing w:after="0" w:line="233" w:lineRule="auto"/>
        <w:rPr>
          <w:sz w:val="20"/>
          <w:szCs w:val="20"/>
          <w:color w:val="auto"/>
        </w:rPr>
      </w:pPr>
      <w:r>
        <w:rPr>
          <w:rFonts w:ascii="Calibri" w:cs="Calibri" w:eastAsia="Calibri" w:hAnsi="Calibri"/>
          <w:sz w:val="18"/>
          <w:szCs w:val="18"/>
          <w:color w:val="auto"/>
        </w:rPr>
        <w:t>The Compensaton Commitee may grant restricted stock units under the 2018 Incentve Plan having a value equal to a designated number of shares of Common Stock to such eligible partcipants, in such amounts, and subject to such terms and conditons (including the atainment of performance criteria) as the Compensaton Commitee determines in its discreton. If the requirements specifed by the Compensaton Commitee are met, the grantee of such units will receive shares of Common Stock, cash, other property, or any combinaton thereof, equal to the fair market value of the designated number of shares of Common Stock. Restricted Stock Units may be granted in a manner under which the applicable payout (in shares, cash or a combinaton thereof) and vestng is linked to and contngent upon the atainment of designated performance measures, such as performance-based stock units (</w:t>
      </w:r>
      <w:r>
        <w:rPr>
          <w:rFonts w:ascii="Calibri" w:cs="Calibri" w:eastAsia="Calibri" w:hAnsi="Calibri"/>
          <w:sz w:val="18"/>
          <w:szCs w:val="18"/>
          <w:u w:val="single" w:color="auto"/>
          <w:color w:val="AF0000"/>
        </w:rPr>
        <w:t>PSUs</w:t>
      </w:r>
      <w:r>
        <w:rPr>
          <w:rFonts w:ascii="Calibri" w:cs="Calibri" w:eastAsia="Calibri" w:hAnsi="Calibri"/>
          <w:sz w:val="18"/>
          <w:szCs w:val="18"/>
          <w:color w:val="auto"/>
        </w:rPr>
        <w:t>).</w:t>
      </w:r>
    </w:p>
    <w:p>
      <w:pPr>
        <w:spacing w:after="0" w:line="179"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Other Share-Based Awards</w:t>
      </w:r>
    </w:p>
    <w:p>
      <w:pPr>
        <w:spacing w:after="0" w:line="177" w:lineRule="exact"/>
        <w:rPr>
          <w:sz w:val="20"/>
          <w:szCs w:val="20"/>
          <w:color w:val="auto"/>
        </w:rPr>
      </w:pPr>
    </w:p>
    <w:p>
      <w:pPr>
        <w:jc w:val="both"/>
        <w:ind w:left="200" w:right="399"/>
        <w:spacing w:after="0" w:line="235" w:lineRule="auto"/>
        <w:rPr>
          <w:sz w:val="20"/>
          <w:szCs w:val="20"/>
          <w:color w:val="auto"/>
        </w:rPr>
      </w:pPr>
      <w:r>
        <w:rPr>
          <w:rFonts w:ascii="Calibri" w:cs="Calibri" w:eastAsia="Calibri" w:hAnsi="Calibri"/>
          <w:sz w:val="18"/>
          <w:szCs w:val="18"/>
          <w:color w:val="auto"/>
        </w:rPr>
        <w:t>The Compensaton Commitee may also make other awards measured by the value of or payable in the form of shares under the 2018 Incentve Plan subject to the satsfacton of specifed performance or other criteria. Other share-based awards may be paid in shares of Common Stock, cash, other property, or any combinaton thereof.</w:t>
      </w:r>
    </w:p>
    <w:p>
      <w:pPr>
        <w:spacing w:after="0" w:line="17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Accelerated Exercisability and Vestng on a Change in Control</w:t>
      </w:r>
    </w:p>
    <w:p>
      <w:pPr>
        <w:spacing w:after="0" w:line="177" w:lineRule="exact"/>
        <w:rPr>
          <w:sz w:val="20"/>
          <w:szCs w:val="20"/>
          <w:color w:val="auto"/>
        </w:rPr>
      </w:pPr>
    </w:p>
    <w:p>
      <w:pPr>
        <w:ind w:left="200" w:right="259"/>
        <w:spacing w:after="0" w:line="234" w:lineRule="auto"/>
        <w:rPr>
          <w:sz w:val="20"/>
          <w:szCs w:val="20"/>
          <w:color w:val="auto"/>
        </w:rPr>
      </w:pPr>
      <w:r>
        <w:rPr>
          <w:rFonts w:ascii="Calibri" w:cs="Calibri" w:eastAsia="Calibri" w:hAnsi="Calibri"/>
          <w:sz w:val="18"/>
          <w:szCs w:val="18"/>
          <w:color w:val="auto"/>
        </w:rPr>
        <w:t>Under the 2018 Incentve Plan, all then outstanding awards will automatcally become fully exercisable, vested and earned upon a Change in Control. Additonally, upon a Change in Control, the Company may elect to cancel all or any porton of then outstanding awards under the 2018 Incentve Plan in exchange for a payment equal to the fair market value of the cancelled awards. For this purpose, a Change in Control means: (a) certain changes in the majority of the Board within a 12-month period; (b) the acquisiton by any person of 30% or more of the votng securites of the Company; (c) consummaton of a merger or reorganizaton of the Company in which neither the Company nor another entty controlled by our shareholders is the surviving entty; (d) a sale or other dispositon of all or substantally all of our assets to another entty that is not controlled by our shareholders; or (e) shareholder approval of a liquidaton of the Company.</w:t>
      </w:r>
    </w:p>
    <w:p>
      <w:pPr>
        <w:spacing w:after="0" w:line="17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Recoupment/Clawback</w:t>
      </w:r>
    </w:p>
    <w:p>
      <w:pPr>
        <w:spacing w:after="0" w:line="177" w:lineRule="exact"/>
        <w:rPr>
          <w:sz w:val="20"/>
          <w:szCs w:val="20"/>
          <w:color w:val="auto"/>
        </w:rPr>
      </w:pPr>
    </w:p>
    <w:p>
      <w:pPr>
        <w:ind w:left="200" w:right="259"/>
        <w:spacing w:after="0" w:line="235" w:lineRule="auto"/>
        <w:rPr>
          <w:sz w:val="20"/>
          <w:szCs w:val="20"/>
          <w:color w:val="auto"/>
        </w:rPr>
      </w:pPr>
      <w:r>
        <w:rPr>
          <w:rFonts w:ascii="Calibri" w:cs="Calibri" w:eastAsia="Calibri" w:hAnsi="Calibri"/>
          <w:sz w:val="18"/>
          <w:szCs w:val="18"/>
          <w:color w:val="auto"/>
        </w:rPr>
        <w:t>The Company is enttled to recoup compensaton of whatever kind paid under the 2018 Incentve Plan by the Company at any tme to the extent required by applicable securites or other law or as provided in any recoupment policy adopted by the Company. See “Return of Incentve Compensaton” on Page 52.</w:t>
      </w:r>
    </w:p>
    <w:p>
      <w:pPr>
        <w:spacing w:after="0" w:line="17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Provisions for Foreign Partcipants</w:t>
      </w:r>
    </w:p>
    <w:p>
      <w:pPr>
        <w:spacing w:after="0" w:line="177" w:lineRule="exact"/>
        <w:rPr>
          <w:sz w:val="20"/>
          <w:szCs w:val="20"/>
          <w:color w:val="auto"/>
        </w:rPr>
      </w:pPr>
    </w:p>
    <w:p>
      <w:pPr>
        <w:ind w:left="200" w:right="259"/>
        <w:spacing w:after="0" w:line="235" w:lineRule="auto"/>
        <w:rPr>
          <w:sz w:val="20"/>
          <w:szCs w:val="20"/>
          <w:color w:val="auto"/>
        </w:rPr>
      </w:pPr>
      <w:r>
        <w:rPr>
          <w:rFonts w:ascii="Calibri" w:cs="Calibri" w:eastAsia="Calibri" w:hAnsi="Calibri"/>
          <w:sz w:val="18"/>
          <w:szCs w:val="18"/>
          <w:color w:val="auto"/>
        </w:rPr>
        <w:t>The Compensaton Commitee may modify awards granted to partcipants who are foreign natonals or employed outside the United States or establish, amend or rescind rules, sub-plans or procedures under the 2018 Incentve Plan to recognize diferences in laws, rules, regulatons or customs of such foreign jurisdictons with respect to tax, securites, currency, employee benefts or other maters.</w:t>
      </w:r>
    </w:p>
    <w:p>
      <w:pPr>
        <w:spacing w:after="0" w:line="174"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General Provisions</w:t>
      </w:r>
    </w:p>
    <w:p>
      <w:pPr>
        <w:spacing w:after="0" w:line="177" w:lineRule="exact"/>
        <w:rPr>
          <w:sz w:val="20"/>
          <w:szCs w:val="20"/>
          <w:color w:val="auto"/>
        </w:rPr>
      </w:pPr>
    </w:p>
    <w:p>
      <w:pPr>
        <w:ind w:left="200" w:right="479"/>
        <w:spacing w:after="0" w:line="235" w:lineRule="auto"/>
        <w:rPr>
          <w:sz w:val="20"/>
          <w:szCs w:val="20"/>
          <w:color w:val="auto"/>
        </w:rPr>
      </w:pPr>
      <w:r>
        <w:rPr>
          <w:rFonts w:ascii="Calibri" w:cs="Calibri" w:eastAsia="Calibri" w:hAnsi="Calibri"/>
          <w:sz w:val="18"/>
          <w:szCs w:val="18"/>
          <w:color w:val="auto"/>
        </w:rPr>
        <w:t>Unless authorized by the Compensaton Commitee in the agreement evidencing an award granted under the 2018 Incentve Plan, awards may not be transferred other than by will or the laws of descent and distributon, and may be exercised during the partcipant’s lifetme only by the partcipant or the partcipant’s guardian or legal representatve. The Board may, from tme to tme, alter, amend, suspend or terminate the 2018 Incentve Plan.</w:t>
      </w:r>
    </w:p>
    <w:p>
      <w:pPr>
        <w:spacing w:after="0" w:line="200" w:lineRule="exact"/>
        <w:rPr>
          <w:sz w:val="20"/>
          <w:szCs w:val="20"/>
          <w:color w:val="auto"/>
        </w:rPr>
      </w:pPr>
    </w:p>
    <w:p>
      <w:pPr>
        <w:spacing w:after="0" w:line="235"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81" w:name="page82"/>
    <w:bookmarkEnd w:id="81"/>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EXECUTIVE COMPENSATION AND RELATED MATTERS</w:t>
      </w:r>
    </w:p>
    <w:p>
      <w:pPr>
        <w:spacing w:after="0" w:line="136" w:lineRule="exact"/>
        <w:rPr>
          <w:sz w:val="20"/>
          <w:szCs w:val="20"/>
          <w:color w:val="auto"/>
        </w:rPr>
      </w:pPr>
    </w:p>
    <w:p>
      <w:pPr>
        <w:ind w:left="200" w:right="279"/>
        <w:spacing w:after="0" w:line="254" w:lineRule="auto"/>
        <w:rPr>
          <w:sz w:val="20"/>
          <w:szCs w:val="20"/>
          <w:color w:val="auto"/>
        </w:rPr>
      </w:pPr>
      <w:r>
        <w:rPr>
          <w:rFonts w:ascii="Calibri" w:cs="Calibri" w:eastAsia="Calibri" w:hAnsi="Calibri"/>
          <w:sz w:val="17"/>
          <w:szCs w:val="17"/>
          <w:color w:val="auto"/>
        </w:rPr>
        <w:t>Unless sooner terminated by the Board of Directors, the 2018 Incentve Plan will automatcally terminate on May 23, 2028. No grants may be made under the plan following the date of terminaton, although grants made prior to that date may remain outstanding following the terminaton of the 2018 Incentve Plan untl their scheduled expiraton date.</w:t>
      </w:r>
    </w:p>
    <w:p>
      <w:pPr>
        <w:spacing w:after="0" w:line="160"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Certain Federal Income Tax Consequences</w:t>
      </w:r>
    </w:p>
    <w:p>
      <w:pPr>
        <w:spacing w:after="0" w:line="177" w:lineRule="exact"/>
        <w:rPr>
          <w:sz w:val="20"/>
          <w:szCs w:val="20"/>
          <w:color w:val="auto"/>
        </w:rPr>
      </w:pPr>
    </w:p>
    <w:p>
      <w:pPr>
        <w:ind w:left="200" w:right="259"/>
        <w:spacing w:after="0" w:line="251" w:lineRule="auto"/>
        <w:rPr>
          <w:sz w:val="20"/>
          <w:szCs w:val="20"/>
          <w:color w:val="auto"/>
        </w:rPr>
      </w:pPr>
      <w:r>
        <w:rPr>
          <w:rFonts w:ascii="Calibri" w:cs="Calibri" w:eastAsia="Calibri" w:hAnsi="Calibri"/>
          <w:sz w:val="17"/>
          <w:szCs w:val="17"/>
          <w:color w:val="auto"/>
        </w:rPr>
        <w:t>The following is a brief summary of certain U.S. federal income tax consequences relatng to awards under the 2018 Incentve Plan. This summary is made as of the date of this Proxy Statement, is not (and is not intended to be) complete, and does not describe state, local, foreign, or other tax consequences. The tax informaton summarized is not tax advice. The U.S. federal tax laws may change and the federal, state and local tax consequences for any partcipant will depend upon his or her individual circumstances. Tax consequences for any partcular individual may be diferent. We advise partcipants to consult with a tax advisor regarding the tax implicatons of their awards under the 2018 Incentve Plan.</w:t>
      </w:r>
    </w:p>
    <w:p>
      <w:pPr>
        <w:spacing w:after="0" w:line="165"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Tax Consequences to the Company</w:t>
      </w:r>
    </w:p>
    <w:p>
      <w:pPr>
        <w:spacing w:after="0" w:line="177" w:lineRule="exact"/>
        <w:rPr>
          <w:sz w:val="20"/>
          <w:szCs w:val="20"/>
          <w:color w:val="auto"/>
        </w:rPr>
      </w:pPr>
    </w:p>
    <w:p>
      <w:pPr>
        <w:ind w:left="200" w:right="419"/>
        <w:spacing w:after="0" w:line="233" w:lineRule="auto"/>
        <w:rPr>
          <w:sz w:val="20"/>
          <w:szCs w:val="20"/>
          <w:color w:val="auto"/>
        </w:rPr>
      </w:pPr>
      <w:r>
        <w:rPr>
          <w:rFonts w:ascii="Calibri" w:cs="Calibri" w:eastAsia="Calibri" w:hAnsi="Calibri"/>
          <w:sz w:val="18"/>
          <w:szCs w:val="18"/>
          <w:color w:val="auto"/>
        </w:rPr>
        <w:t>To the extent that a partcipant recognizes ordinary income in the circumstances described below, the Company or the subsidiary for which the partcipant performs services will be enttled to a corresponding deducton for income tax purposes, but only if, among other things, the expense: (a) meets the test of reasonableness; (b) is an ordinary and necessary business expense; (c) is not an “excess parachute payment” within the meaning of Secton 280G of the Internal Revenue Code of 1986 (as amended, the Code); and (d) is not disallowed by the $1 million limitaton on executve compensaton under Secton 162(m) of the Code.</w:t>
      </w:r>
    </w:p>
    <w:p>
      <w:pPr>
        <w:spacing w:after="0" w:line="173"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Tax Consequences to Partcipants</w:t>
      </w:r>
    </w:p>
    <w:p>
      <w:pPr>
        <w:spacing w:after="0" w:line="190" w:lineRule="exact"/>
        <w:rPr>
          <w:sz w:val="20"/>
          <w:szCs w:val="20"/>
          <w:color w:val="auto"/>
        </w:rPr>
      </w:pPr>
    </w:p>
    <w:p>
      <w:pPr>
        <w:ind w:left="200" w:right="519"/>
        <w:spacing w:after="0" w:line="227" w:lineRule="auto"/>
        <w:rPr>
          <w:sz w:val="20"/>
          <w:szCs w:val="20"/>
          <w:color w:val="auto"/>
        </w:rPr>
      </w:pPr>
      <w:r>
        <w:rPr>
          <w:rFonts w:ascii="Calibri" w:cs="Calibri" w:eastAsia="Calibri" w:hAnsi="Calibri"/>
          <w:sz w:val="18"/>
          <w:szCs w:val="18"/>
          <w:color w:val="auto"/>
        </w:rPr>
        <w:t>The U.S. federal income tax consequences to partcipants receiving various types of awards under the 2018 Incentve Plan are summarized below.</w:t>
      </w:r>
    </w:p>
    <w:p>
      <w:pPr>
        <w:spacing w:after="0" w:line="192" w:lineRule="exact"/>
        <w:rPr>
          <w:sz w:val="20"/>
          <w:szCs w:val="20"/>
          <w:color w:val="auto"/>
        </w:rPr>
      </w:pPr>
    </w:p>
    <w:p>
      <w:pPr>
        <w:ind w:left="200" w:right="239"/>
        <w:spacing w:after="0" w:line="233" w:lineRule="auto"/>
        <w:rPr>
          <w:sz w:val="20"/>
          <w:szCs w:val="20"/>
          <w:color w:val="auto"/>
        </w:rPr>
      </w:pPr>
      <w:r>
        <w:rPr>
          <w:rFonts w:ascii="Calibri" w:cs="Calibri" w:eastAsia="Calibri" w:hAnsi="Calibri"/>
          <w:sz w:val="18"/>
          <w:szCs w:val="18"/>
          <w:u w:val="single" w:color="auto"/>
          <w:color w:val="auto"/>
        </w:rPr>
        <w:t>Nonqualifed Stock Optons (</w:t>
      </w:r>
      <w:r>
        <w:rPr>
          <w:rFonts w:ascii="Calibri" w:cs="Calibri" w:eastAsia="Calibri" w:hAnsi="Calibri"/>
          <w:sz w:val="18"/>
          <w:szCs w:val="18"/>
          <w:u w:val="single" w:color="auto"/>
          <w:color w:val="AF0000"/>
        </w:rPr>
        <w:t>NSOs</w:t>
      </w:r>
      <w:r>
        <w:rPr>
          <w:rFonts w:ascii="Calibri" w:cs="Calibri" w:eastAsia="Calibri" w:hAnsi="Calibri"/>
          <w:sz w:val="18"/>
          <w:szCs w:val="18"/>
          <w:u w:val="single" w:color="auto"/>
          <w:color w:val="auto"/>
        </w:rPr>
        <w:t>)</w:t>
      </w:r>
      <w:r>
        <w:rPr>
          <w:rFonts w:ascii="Calibri" w:cs="Calibri" w:eastAsia="Calibri" w:hAnsi="Calibri"/>
          <w:sz w:val="18"/>
          <w:szCs w:val="18"/>
          <w:color w:val="auto"/>
        </w:rPr>
        <w:t>. In general, for recipients of NSOs: (a) no income will be recognized by the partcipant at the tme an NSO is granted; (b) at the tme of exercise of an NSO, ordinary income will be recognized by the partcipant in an amount equal to the diference between the opton exercise price paid for the shares of Common Stock and the fair market value of the shares, if unrestricted, on the date of exercise; and (c) at the tme of sale of shares of Common Stock acquired pursuant to the exercise of an NSO, appreciaton (or depreciaton) in value of the shares afer the date of exercise will be treated as either short-term or long-term capital gain (or loss) depending on how long the shares have been held. For postexercise appreciaton in share value to qualify for long-term capital gain treatment, the shares must be held for more than one year from their date of issuance.</w:t>
      </w:r>
    </w:p>
    <w:p>
      <w:pPr>
        <w:spacing w:after="0" w:line="183" w:lineRule="exact"/>
        <w:rPr>
          <w:sz w:val="20"/>
          <w:szCs w:val="20"/>
          <w:color w:val="auto"/>
        </w:rPr>
      </w:pPr>
    </w:p>
    <w:p>
      <w:pPr>
        <w:ind w:left="200" w:right="239"/>
        <w:spacing w:after="0" w:line="233" w:lineRule="auto"/>
        <w:rPr>
          <w:sz w:val="20"/>
          <w:szCs w:val="20"/>
          <w:color w:val="auto"/>
        </w:rPr>
      </w:pPr>
      <w:r>
        <w:rPr>
          <w:rFonts w:ascii="Calibri" w:cs="Calibri" w:eastAsia="Calibri" w:hAnsi="Calibri"/>
          <w:sz w:val="18"/>
          <w:szCs w:val="18"/>
          <w:u w:val="single" w:color="auto"/>
          <w:color w:val="auto"/>
        </w:rPr>
        <w:t>Incentve Stock Optons (</w:t>
      </w:r>
      <w:r>
        <w:rPr>
          <w:rFonts w:ascii="Calibri" w:cs="Calibri" w:eastAsia="Calibri" w:hAnsi="Calibri"/>
          <w:sz w:val="18"/>
          <w:szCs w:val="18"/>
          <w:u w:val="single" w:color="auto"/>
          <w:color w:val="AF0000"/>
        </w:rPr>
        <w:t>ISOs</w:t>
      </w:r>
      <w:r>
        <w:rPr>
          <w:rFonts w:ascii="Calibri" w:cs="Calibri" w:eastAsia="Calibri" w:hAnsi="Calibri"/>
          <w:sz w:val="18"/>
          <w:szCs w:val="18"/>
          <w:u w:val="single" w:color="auto"/>
          <w:color w:val="auto"/>
        </w:rPr>
        <w:t>)</w:t>
      </w:r>
      <w:r>
        <w:rPr>
          <w:rFonts w:ascii="Calibri" w:cs="Calibri" w:eastAsia="Calibri" w:hAnsi="Calibri"/>
          <w:sz w:val="18"/>
          <w:szCs w:val="18"/>
          <w:color w:val="auto"/>
        </w:rPr>
        <w:t>. No income will be recognized by a partcipant upon the grant to them of an ISO. In general, no income will be recognized by the partcipant upon the exercise of an ISO for regular income tax purposes. However, the diference between the opton price paid and the fair market value of the shares at exercise may consttute a preference item triggering alternatve minimum tax on the partcipant. If shares of Common Stock are issued to a partcipant pursuant to the exercise of an ISO, and if no disqualifying dispositon of such shares is made by such opton holder within two years afer the date of the grant or within one year afer the transfer of such shares to the opton holder, then upon later sale of such shares, any amount realized in excess of the opton price will be taxed to the partcipant as long-term capital gain and any loss sustained will be a long-term capital loss. If shares of Common Stock acquired upon the tmely exercise of an ISO are disposed of prior to the expiraton of either holding period described above, the partcipant generally will recognize ordinary income in the year of dispositon in an amount equal to the excess (if any) of the fair market value of such shares at the tme of exercise (or, if less, the amount realized on the dispositon of such shares if a sale or exchange) over the opton exercise price paid for such shares. Any further gain (or loss) realized by the partcipant generally will be taxed as short-term or long-term capital gain (or loss) depending on the holding period.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78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82" w:name="page83"/>
    <w:bookmarkEnd w:id="82"/>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5080"/>
        <w:spacing w:after="0"/>
        <w:rPr>
          <w:sz w:val="20"/>
          <w:szCs w:val="20"/>
          <w:color w:val="auto"/>
        </w:rPr>
      </w:pPr>
      <w:r>
        <w:rPr>
          <w:rFonts w:ascii="Calibri" w:cs="Calibri" w:eastAsia="Calibri" w:hAnsi="Calibri"/>
          <w:sz w:val="17"/>
          <w:szCs w:val="17"/>
          <w:color w:val="auto"/>
        </w:rPr>
        <w:t>EXECUTIVE COMPENSATION AND RELATED MATTERS</w:t>
      </w:r>
    </w:p>
    <w:p>
      <w:pPr>
        <w:spacing w:after="0" w:line="184" w:lineRule="exact"/>
        <w:rPr>
          <w:sz w:val="20"/>
          <w:szCs w:val="20"/>
          <w:color w:val="auto"/>
        </w:rPr>
      </w:pPr>
    </w:p>
    <w:p>
      <w:pPr>
        <w:ind w:left="200" w:right="579"/>
        <w:spacing w:after="0" w:line="231" w:lineRule="auto"/>
        <w:rPr>
          <w:sz w:val="20"/>
          <w:szCs w:val="20"/>
          <w:color w:val="auto"/>
        </w:rPr>
      </w:pPr>
      <w:r>
        <w:rPr>
          <w:rFonts w:ascii="Calibri" w:cs="Calibri" w:eastAsia="Calibri" w:hAnsi="Calibri"/>
          <w:sz w:val="18"/>
          <w:szCs w:val="18"/>
          <w:u w:val="single" w:color="auto"/>
          <w:color w:val="auto"/>
        </w:rPr>
        <w:t>Stock Appreciaton Rights</w:t>
      </w:r>
      <w:r>
        <w:rPr>
          <w:rFonts w:ascii="Calibri" w:cs="Calibri" w:eastAsia="Calibri" w:hAnsi="Calibri"/>
          <w:sz w:val="18"/>
          <w:szCs w:val="18"/>
          <w:color w:val="auto"/>
        </w:rPr>
        <w:t>. No income will be recognized by a partcipant in connecton with the grant of a stock appreciaton right. When the appreciaton right is exercised, the partcipant normally will be required to include as taxable ordinary income in the year of exercise an amount equal to the amount of cash received and the fair market value of any unrestricted shares of Common Stock or other property received on the exercise.</w:t>
      </w:r>
    </w:p>
    <w:p>
      <w:pPr>
        <w:spacing w:after="0" w:line="194" w:lineRule="exact"/>
        <w:rPr>
          <w:sz w:val="20"/>
          <w:szCs w:val="20"/>
          <w:color w:val="auto"/>
        </w:rPr>
      </w:pPr>
    </w:p>
    <w:p>
      <w:pPr>
        <w:ind w:left="200" w:right="279"/>
        <w:spacing w:after="0" w:line="247" w:lineRule="auto"/>
        <w:rPr>
          <w:sz w:val="20"/>
          <w:szCs w:val="20"/>
          <w:color w:val="auto"/>
        </w:rPr>
      </w:pPr>
      <w:r>
        <w:rPr>
          <w:rFonts w:ascii="Calibri" w:cs="Calibri" w:eastAsia="Calibri" w:hAnsi="Calibri"/>
          <w:sz w:val="17"/>
          <w:szCs w:val="17"/>
          <w:u w:val="single" w:color="auto"/>
          <w:color w:val="auto"/>
        </w:rPr>
        <w:t>Restricted Stock</w:t>
      </w:r>
      <w:r>
        <w:rPr>
          <w:rFonts w:ascii="Calibri" w:cs="Calibri" w:eastAsia="Calibri" w:hAnsi="Calibri"/>
          <w:sz w:val="17"/>
          <w:szCs w:val="17"/>
          <w:color w:val="auto"/>
        </w:rPr>
        <w:t>. The recipient of restricted shares of Common Stock generally will not be subject to tax untl the shares are no longer subject to forfeiture or restrictons on transfer for purposes of Secton 83 of the Code (Restrictons). At such tme, the partcipant will be subject to tax at ordinary income rates on the then fair market value of the restricted shares (reduced by any amount paid by the partcipant for such restricted shares). However, a partcipant who makes an electon under Secton 83(b) of the Code within 30 days of the date of transfer of the shares will have taxable ordinary income on the date of transfer of the shares equal to the excess of the fair market value of such shares (determined without regard to the Restrictons) over the purchase price, if any, of such restricted shares. Any appreciaton (or depreciaton) afer the date the value of the restricted shares initally becomes taxable to the partcipant which the partcipant later realizes upon a subsequent dispositon of such shares will be treated as long-term or short-term capital gain (or loss) depending upon how long the shares have been held. If a Code Secton 83(b) electon has not been made, any dividends received with respect to shares of restricted stock that are subject to the restrictons generally will be treated as deferred compensaton that is taxable as ordinary income to the partcipant.</w:t>
      </w:r>
    </w:p>
    <w:p>
      <w:pPr>
        <w:spacing w:after="0" w:line="178" w:lineRule="exact"/>
        <w:rPr>
          <w:sz w:val="20"/>
          <w:szCs w:val="20"/>
          <w:color w:val="auto"/>
        </w:rPr>
      </w:pPr>
    </w:p>
    <w:p>
      <w:pPr>
        <w:ind w:left="200" w:right="519"/>
        <w:spacing w:after="0" w:line="235" w:lineRule="auto"/>
        <w:rPr>
          <w:sz w:val="20"/>
          <w:szCs w:val="20"/>
          <w:color w:val="auto"/>
        </w:rPr>
      </w:pPr>
      <w:r>
        <w:rPr>
          <w:rFonts w:ascii="Calibri" w:cs="Calibri" w:eastAsia="Calibri" w:hAnsi="Calibri"/>
          <w:sz w:val="18"/>
          <w:szCs w:val="18"/>
          <w:u w:val="single" w:color="auto"/>
          <w:color w:val="auto"/>
        </w:rPr>
        <w:t>Restricted Stock Units (including PSUs)</w:t>
      </w:r>
      <w:r>
        <w:rPr>
          <w:rFonts w:ascii="Calibri" w:cs="Calibri" w:eastAsia="Calibri" w:hAnsi="Calibri"/>
          <w:sz w:val="18"/>
          <w:szCs w:val="18"/>
          <w:color w:val="auto"/>
        </w:rPr>
        <w:t>. Generally, no income will be recognized by a partcipant upon the award of restricted stock units, including PSUs. The recipient of a restricted stock unit award generally will be subject to tax at ordinary income rates on any cash received and the fair market value of any unrestricted shares of Common Stock or other property on the date that such amounts are transferred to the partcipant under the award (reduced by any amount paid, if any, by the partcipant for such restricted stock units).</w:t>
      </w:r>
    </w:p>
    <w:p>
      <w:pPr>
        <w:spacing w:after="0" w:line="180" w:lineRule="exact"/>
        <w:rPr>
          <w:sz w:val="20"/>
          <w:szCs w:val="20"/>
          <w:color w:val="auto"/>
        </w:rPr>
      </w:pPr>
    </w:p>
    <w:p>
      <w:pPr>
        <w:ind w:left="200" w:right="259"/>
        <w:spacing w:after="0" w:line="232" w:lineRule="auto"/>
        <w:rPr>
          <w:sz w:val="20"/>
          <w:szCs w:val="20"/>
          <w:color w:val="auto"/>
        </w:rPr>
      </w:pPr>
      <w:r>
        <w:rPr>
          <w:rFonts w:ascii="Calibri" w:cs="Calibri" w:eastAsia="Calibri" w:hAnsi="Calibri"/>
          <w:sz w:val="18"/>
          <w:szCs w:val="18"/>
          <w:u w:val="single" w:color="auto"/>
          <w:color w:val="auto"/>
        </w:rPr>
        <w:t>Other Share-Based Awards</w:t>
      </w:r>
      <w:r>
        <w:rPr>
          <w:rFonts w:ascii="Calibri" w:cs="Calibri" w:eastAsia="Calibri" w:hAnsi="Calibri"/>
          <w:sz w:val="18"/>
          <w:szCs w:val="18"/>
          <w:color w:val="auto"/>
        </w:rPr>
        <w:t>. No income generally will be recognized by a partcipant upon the grant of other Share-Based Awards untl such awards become vested and payable. Upon payment in respect of other Share-Based Awards, the recipient generally will be required to include as taxable ordinary income in the year of receipt an amount equal to the amount of cash received and the fair market value of any nonrestricted shares of Common Stock or other property received.</w:t>
      </w:r>
    </w:p>
    <w:p>
      <w:pPr>
        <w:spacing w:after="0" w:line="189"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Value of Benefts</w:t>
      </w:r>
    </w:p>
    <w:p>
      <w:pPr>
        <w:spacing w:after="0" w:line="177" w:lineRule="exact"/>
        <w:rPr>
          <w:sz w:val="20"/>
          <w:szCs w:val="20"/>
          <w:color w:val="auto"/>
        </w:rPr>
      </w:pPr>
    </w:p>
    <w:p>
      <w:pPr>
        <w:jc w:val="both"/>
        <w:ind w:left="200" w:right="299"/>
        <w:spacing w:after="0" w:line="230" w:lineRule="auto"/>
        <w:rPr>
          <w:sz w:val="20"/>
          <w:szCs w:val="20"/>
          <w:color w:val="auto"/>
        </w:rPr>
      </w:pPr>
      <w:r>
        <w:rPr>
          <w:rFonts w:ascii="Calibri" w:cs="Calibri" w:eastAsia="Calibri" w:hAnsi="Calibri"/>
          <w:sz w:val="18"/>
          <w:szCs w:val="18"/>
          <w:color w:val="auto"/>
        </w:rPr>
        <w:t>We are unable to determine the amount of benefts that may be received by partcipants under the 2018 Incentve Plan if the Incentve Plan Amendment is approved (or if it is not approved) as grants of awards under the 2018 Incentve Plan are discretonary with the Compensaton Commitee.</w:t>
      </w:r>
    </w:p>
    <w:p>
      <w:pPr>
        <w:spacing w:after="0" w:line="187"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Certain Interests of Directors</w:t>
      </w:r>
    </w:p>
    <w:p>
      <w:pPr>
        <w:spacing w:after="0" w:line="177" w:lineRule="exact"/>
        <w:rPr>
          <w:sz w:val="20"/>
          <w:szCs w:val="20"/>
          <w:color w:val="auto"/>
        </w:rPr>
      </w:pPr>
    </w:p>
    <w:p>
      <w:pPr>
        <w:ind w:left="200" w:right="219"/>
        <w:spacing w:after="0" w:line="233" w:lineRule="auto"/>
        <w:rPr>
          <w:sz w:val="20"/>
          <w:szCs w:val="20"/>
          <w:color w:val="auto"/>
        </w:rPr>
      </w:pPr>
      <w:r>
        <w:rPr>
          <w:rFonts w:ascii="Calibri" w:cs="Calibri" w:eastAsia="Calibri" w:hAnsi="Calibri"/>
          <w:sz w:val="18"/>
          <w:szCs w:val="18"/>
          <w:color w:val="auto"/>
        </w:rPr>
        <w:t>In considering the recommendaton of the Board with respect to the Incentve Plan Amendment, shareholders should be aware that our directors have certain interests which may present them with conficts of interest in connecton with such proposal. Specifcally, as discussed above, our directors are eligible to receive awards under the 2018 Incentve Plan. The Board recognizes that adopton of the 2018 Incentve Plan may beneft our directors and their successors but believes that approval of the amendment to the 2018 Incentve Plan will advance our interests and the interests of our shareholders by encouraging directors, employees, consultants and advisors to make signifcant contributons to our long-term success.</w:t>
      </w:r>
    </w:p>
    <w:p>
      <w:pPr>
        <w:spacing w:after="0" w:line="181" w:lineRule="exact"/>
        <w:rPr>
          <w:sz w:val="20"/>
          <w:szCs w:val="20"/>
          <w:color w:val="auto"/>
        </w:rPr>
      </w:pPr>
    </w:p>
    <w:p>
      <w:pPr>
        <w:ind w:left="200" w:right="439"/>
        <w:spacing w:after="0" w:line="235" w:lineRule="auto"/>
        <w:rPr>
          <w:sz w:val="20"/>
          <w:szCs w:val="20"/>
          <w:color w:val="auto"/>
        </w:rPr>
      </w:pPr>
      <w:r>
        <w:rPr>
          <w:rFonts w:ascii="Calibri" w:cs="Calibri" w:eastAsia="Calibri" w:hAnsi="Calibri"/>
          <w:sz w:val="18"/>
          <w:szCs w:val="18"/>
          <w:b w:val="1"/>
          <w:bCs w:val="1"/>
          <w:color w:val="auto"/>
        </w:rPr>
        <w:t>The Board believes the Incentve Plan Amendment is in the best interests of the Company and its shareholders, and therefore unanimously recommends that the shareholders vote FOR the proposal to approve the Incentve Plan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83" w:name="page84"/>
    <w:bookmarkEnd w:id="83"/>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AUDIT MATTERS</w:t>
      </w:r>
    </w:p>
    <w:p>
      <w:pPr>
        <w:spacing w:after="0" w:line="118" w:lineRule="exact"/>
        <w:rPr>
          <w:sz w:val="20"/>
          <w:szCs w:val="20"/>
          <w:color w:val="auto"/>
        </w:rPr>
      </w:pPr>
    </w:p>
    <w:p>
      <w:pPr>
        <w:ind w:left="200"/>
        <w:spacing w:after="0"/>
        <w:rPr>
          <w:sz w:val="20"/>
          <w:szCs w:val="20"/>
          <w:color w:val="auto"/>
        </w:rPr>
      </w:pPr>
      <w:r>
        <w:rPr>
          <w:rFonts w:ascii="Calibri" w:cs="Calibri" w:eastAsia="Calibri" w:hAnsi="Calibri"/>
          <w:sz w:val="32"/>
          <w:szCs w:val="32"/>
          <w:b w:val="1"/>
          <w:bCs w:val="1"/>
          <w:color w:val="FFFFFF"/>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-221615</wp:posOffset>
            </wp:positionV>
            <wp:extent cx="5452110" cy="2482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52110" cy="248285"/>
                    </a:xfrm>
                    <a:prstGeom prst="rect">
                      <a:avLst/>
                    </a:prstGeom>
                    <a:noFill/>
                  </pic:spPr>
                </pic:pic>
              </a:graphicData>
            </a:graphic>
          </wp:anchor>
        </w:drawing>
      </w:r>
    </w:p>
    <w:p>
      <w:pPr>
        <w:spacing w:after="0" w:line="210"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Audit Commitee Report</w:t>
      </w:r>
    </w:p>
    <w:p>
      <w:pPr>
        <w:spacing w:after="0" w:line="199" w:lineRule="exact"/>
        <w:rPr>
          <w:sz w:val="20"/>
          <w:szCs w:val="20"/>
          <w:color w:val="auto"/>
        </w:rPr>
      </w:pPr>
    </w:p>
    <w:p>
      <w:pPr>
        <w:ind w:left="200" w:right="519"/>
        <w:spacing w:after="0" w:line="232" w:lineRule="auto"/>
        <w:rPr>
          <w:sz w:val="20"/>
          <w:szCs w:val="20"/>
          <w:color w:val="auto"/>
        </w:rPr>
      </w:pPr>
      <w:r>
        <w:rPr>
          <w:rFonts w:ascii="Calibri" w:cs="Calibri" w:eastAsia="Calibri" w:hAnsi="Calibri"/>
          <w:sz w:val="18"/>
          <w:szCs w:val="18"/>
          <w:color w:val="auto"/>
        </w:rPr>
        <w:t>The Audit Commitee provides oversight of our accountng and fnancial reportng processes, systems of internal accountng and fnancial controls and the audits of our fnancial statements. The Audit Commitee reviewed with our independent registered public accountng frm and management the fnancial informaton included in our audited fnancial statements. All members of the Audit Commitee are “independent,” as defned in the Nasdaq Marketplace Rules.</w:t>
      </w:r>
    </w:p>
    <w:p>
      <w:pPr>
        <w:spacing w:after="0" w:line="180" w:lineRule="exact"/>
        <w:rPr>
          <w:sz w:val="20"/>
          <w:szCs w:val="20"/>
          <w:color w:val="auto"/>
        </w:rPr>
      </w:pPr>
    </w:p>
    <w:p>
      <w:pPr>
        <w:ind w:left="200" w:right="239"/>
        <w:spacing w:after="0" w:line="248" w:lineRule="auto"/>
        <w:rPr>
          <w:sz w:val="20"/>
          <w:szCs w:val="20"/>
          <w:color w:val="auto"/>
        </w:rPr>
      </w:pPr>
      <w:r>
        <w:rPr>
          <w:rFonts w:ascii="Calibri" w:cs="Calibri" w:eastAsia="Calibri" w:hAnsi="Calibri"/>
          <w:sz w:val="17"/>
          <w:szCs w:val="17"/>
          <w:color w:val="auto"/>
        </w:rPr>
        <w:t>Management is responsible for our internal controls and fnancial reportng process. Our independent registered public accountng frm is responsible for performing an audit of our fnancial statements in accordance with generally accepted auditng standards in the United States of America and for expressing an opinion on those fnancial statements based on its audit. The Audit Commitee reviews these processes on behalf of the Board. The Audit Commitee has reviewed and discussed with our management and our independent registered public accountng frm the audited fnancial statements contained in our Annual Report. The Audit Commitee has also reviewed and discussed management’s assessment of the efectveness of our internal control over fnancial reportng, and the opinion of our independent registered public accountng frm on the efectveness of our internal control over fnancial reportng.</w:t>
      </w:r>
    </w:p>
    <w:p>
      <w:pPr>
        <w:spacing w:after="0" w:line="188" w:lineRule="exact"/>
        <w:rPr>
          <w:sz w:val="20"/>
          <w:szCs w:val="20"/>
          <w:color w:val="auto"/>
        </w:rPr>
      </w:pPr>
    </w:p>
    <w:p>
      <w:pPr>
        <w:ind w:left="200" w:right="279"/>
        <w:spacing w:after="0" w:line="235" w:lineRule="auto"/>
        <w:rPr>
          <w:sz w:val="20"/>
          <w:szCs w:val="20"/>
          <w:color w:val="auto"/>
        </w:rPr>
      </w:pPr>
      <w:r>
        <w:rPr>
          <w:rFonts w:ascii="Calibri" w:cs="Calibri" w:eastAsia="Calibri" w:hAnsi="Calibri"/>
          <w:sz w:val="18"/>
          <w:szCs w:val="18"/>
          <w:color w:val="auto"/>
        </w:rPr>
        <w:t>The Audit Commitee also has discussed with our independent registered public accountng frm the maters required to be discussed by Auditng Standards 1301 (“AS 1301” Communicaton with Audit Commitee), as amended.</w:t>
      </w:r>
    </w:p>
    <w:p>
      <w:pPr>
        <w:spacing w:after="0" w:line="177" w:lineRule="exact"/>
        <w:rPr>
          <w:sz w:val="20"/>
          <w:szCs w:val="20"/>
          <w:color w:val="auto"/>
        </w:rPr>
      </w:pPr>
    </w:p>
    <w:p>
      <w:pPr>
        <w:ind w:left="200" w:right="359"/>
        <w:spacing w:after="0" w:line="233" w:lineRule="auto"/>
        <w:rPr>
          <w:sz w:val="20"/>
          <w:szCs w:val="20"/>
          <w:color w:val="auto"/>
        </w:rPr>
      </w:pPr>
      <w:r>
        <w:rPr>
          <w:rFonts w:ascii="Calibri" w:cs="Calibri" w:eastAsia="Calibri" w:hAnsi="Calibri"/>
          <w:sz w:val="18"/>
          <w:szCs w:val="18"/>
          <w:color w:val="auto"/>
        </w:rPr>
        <w:t>The Audit Commitee has received the writen disclosures and the leter from our independent registered public accountng frm required by AS 1301, as amended, as adopted by the Public Company Accountng Oversight Board, and has discussed with the independent registered public accountng frm its independence. The Audit Commitee has also considered whether the provision of the non-audit services described herein under the capton “Proposal No. 5 - Ratfcaton of Appointment of Independent Registered Public Accountng Firm” is compatble with maintaining the independence of the independent registered public accountng frm.</w:t>
      </w:r>
    </w:p>
    <w:p>
      <w:pPr>
        <w:spacing w:after="0" w:line="178" w:lineRule="exact"/>
        <w:rPr>
          <w:sz w:val="20"/>
          <w:szCs w:val="20"/>
          <w:color w:val="auto"/>
        </w:rPr>
      </w:pPr>
    </w:p>
    <w:p>
      <w:pPr>
        <w:ind w:left="200" w:right="739"/>
        <w:spacing w:after="0" w:line="235" w:lineRule="auto"/>
        <w:rPr>
          <w:sz w:val="20"/>
          <w:szCs w:val="20"/>
          <w:color w:val="auto"/>
        </w:rPr>
      </w:pPr>
      <w:r>
        <w:rPr>
          <w:rFonts w:ascii="Calibri" w:cs="Calibri" w:eastAsia="Calibri" w:hAnsi="Calibri"/>
          <w:sz w:val="18"/>
          <w:szCs w:val="18"/>
          <w:color w:val="auto"/>
        </w:rPr>
        <w:t>Based on the review and discussions referred to above, the Audit Commitee recommended to the Board that the audited fnancial statements be included in our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127000</wp:posOffset>
            </wp:positionV>
            <wp:extent cx="2717165" cy="13373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17165" cy="133731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F0000"/>
        </w:rPr>
        <w:t>AUDIT COMMITTEE</w:t>
      </w:r>
    </w:p>
    <w:p>
      <w:pPr>
        <w:spacing w:after="0" w:line="1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Lynne N. Ward (Chair)</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Stephen C. Evans</w:t>
      </w:r>
    </w:p>
    <w:p>
      <w:pPr>
        <w:spacing w:after="0" w:line="13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Thomas J. Gunderson</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Michael R. McDonnell</w:t>
      </w:r>
    </w:p>
    <w:p>
      <w:pPr>
        <w:spacing w:after="0" w:line="379" w:lineRule="exact"/>
        <w:rPr>
          <w:sz w:val="20"/>
          <w:szCs w:val="20"/>
          <w:color w:val="auto"/>
        </w:rPr>
      </w:pPr>
    </w:p>
    <w:p>
      <w:pPr>
        <w:ind w:left="200" w:right="299"/>
        <w:spacing w:after="0" w:line="235" w:lineRule="auto"/>
        <w:rPr>
          <w:sz w:val="20"/>
          <w:szCs w:val="20"/>
          <w:color w:val="auto"/>
        </w:rPr>
      </w:pPr>
      <w:r>
        <w:rPr>
          <w:rFonts w:ascii="Calibri" w:cs="Calibri" w:eastAsia="Calibri" w:hAnsi="Calibri"/>
          <w:sz w:val="18"/>
          <w:szCs w:val="18"/>
          <w:i w:val="1"/>
          <w:iCs w:val="1"/>
          <w:color w:val="auto"/>
        </w:rPr>
        <w:t>The informaton contained in this Audit Commitee Report shall not be deemed to be “solicitng material,” to be “fled” with the SEC or be subject to Regulaton 14A or Regulaton 14C or to the liabilites of Secton 18 of the Exchange Act, and shall not be deemed to be incorporated by reference into any fling of the Company, except to the extent that the Company specifcally incorporates it by reference into a document fled under the Securites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80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84" w:name="page85"/>
    <w:bookmarkEnd w:id="84"/>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AUDIT MATTERS</w:t>
      </w:r>
    </w:p>
    <w:p>
      <w:pPr>
        <w:spacing w:after="0" w:line="179" w:lineRule="exact"/>
        <w:rPr>
          <w:sz w:val="20"/>
          <w:szCs w:val="20"/>
          <w:color w:val="auto"/>
        </w:rPr>
      </w:pPr>
    </w:p>
    <w:tbl>
      <w:tblPr>
        <w:tblLayout w:type="fixed"/>
        <w:tblInd w:w="230" w:type="dxa"/>
        <w:tblCellMar>
          <w:top w:w="0" w:type="dxa"/>
          <w:left w:w="0" w:type="dxa"/>
          <w:bottom w:w="0" w:type="dxa"/>
          <w:right w:w="0" w:type="dxa"/>
        </w:tblCellMar>
      </w:tblPr>
      <w:tr>
        <w:trPr>
          <w:trHeight w:val="221"/>
        </w:trPr>
        <w:tc>
          <w:tcPr>
            <w:tcW w:w="4840" w:type="dxa"/>
            <w:vAlign w:val="bottom"/>
            <w:tcBorders>
              <w:top w:val="single" w:sz="8" w:color="AF0000"/>
              <w:left w:val="single" w:sz="8" w:color="AF0000"/>
            </w:tcBorders>
          </w:tcPr>
          <w:p>
            <w:pPr>
              <w:ind w:left="140"/>
              <w:spacing w:after="0" w:line="221" w:lineRule="exact"/>
              <w:rPr>
                <w:sz w:val="20"/>
                <w:szCs w:val="20"/>
                <w:color w:val="auto"/>
              </w:rPr>
            </w:pPr>
            <w:r>
              <w:rPr>
                <w:rFonts w:ascii="Calibri" w:cs="Calibri" w:eastAsia="Calibri" w:hAnsi="Calibri"/>
                <w:sz w:val="22"/>
                <w:szCs w:val="22"/>
                <w:b w:val="1"/>
                <w:bCs w:val="1"/>
                <w:color w:val="AF0000"/>
              </w:rPr>
              <w:t xml:space="preserve">Proposal No. 4: </w:t>
            </w:r>
            <w:r>
              <w:rPr>
                <w:rFonts w:ascii="Calibri" w:cs="Calibri" w:eastAsia="Calibri" w:hAnsi="Calibri"/>
                <w:sz w:val="22"/>
                <w:szCs w:val="22"/>
                <w:b w:val="1"/>
                <w:bCs w:val="1"/>
                <w:color w:val="000000"/>
              </w:rPr>
              <w:t>Ratfcaton of Appointment of</w:t>
            </w:r>
          </w:p>
        </w:tc>
        <w:tc>
          <w:tcPr>
            <w:tcW w:w="3740" w:type="dxa"/>
            <w:vAlign w:val="bottom"/>
            <w:tcBorders>
              <w:top w:val="single" w:sz="8" w:color="AF0000"/>
              <w:right w:val="single" w:sz="8" w:color="AF0000"/>
            </w:tcBorders>
          </w:tcPr>
          <w:p>
            <w:pPr>
              <w:ind w:left="440"/>
              <w:spacing w:after="0"/>
              <w:rPr>
                <w:sz w:val="20"/>
                <w:szCs w:val="20"/>
                <w:color w:val="auto"/>
              </w:rPr>
            </w:pPr>
            <w:r>
              <w:rPr>
                <w:rFonts w:ascii="Calibri" w:cs="Calibri" w:eastAsia="Calibri" w:hAnsi="Calibri"/>
                <w:sz w:val="18"/>
                <w:szCs w:val="18"/>
                <w:b w:val="1"/>
                <w:bCs w:val="1"/>
                <w:color w:val="AF0000"/>
              </w:rPr>
              <w:t>The Board unanimously</w:t>
            </w:r>
          </w:p>
        </w:tc>
      </w:tr>
      <w:tr>
        <w:trPr>
          <w:trHeight w:val="238"/>
        </w:trPr>
        <w:tc>
          <w:tcPr>
            <w:tcW w:w="4840" w:type="dxa"/>
            <w:vAlign w:val="bottom"/>
            <w:tcBorders>
              <w:left w:val="single" w:sz="8" w:color="AF0000"/>
            </w:tcBorders>
          </w:tcPr>
          <w:p>
            <w:pPr>
              <w:ind w:left="140"/>
              <w:spacing w:after="0" w:line="239" w:lineRule="exact"/>
              <w:rPr>
                <w:sz w:val="20"/>
                <w:szCs w:val="20"/>
                <w:color w:val="auto"/>
              </w:rPr>
            </w:pPr>
            <w:r>
              <w:rPr>
                <w:rFonts w:ascii="Calibri" w:cs="Calibri" w:eastAsia="Calibri" w:hAnsi="Calibri"/>
                <w:sz w:val="22"/>
                <w:szCs w:val="22"/>
                <w:b w:val="1"/>
                <w:bCs w:val="1"/>
                <w:color w:val="auto"/>
              </w:rPr>
              <w:t>Independent Registered Public Accountng Firm</w:t>
            </w:r>
          </w:p>
        </w:tc>
        <w:tc>
          <w:tcPr>
            <w:tcW w:w="3740" w:type="dxa"/>
            <w:vAlign w:val="bottom"/>
            <w:tcBorders>
              <w:right w:val="single" w:sz="8" w:color="AF0000"/>
            </w:tcBorders>
          </w:tcPr>
          <w:p>
            <w:pPr>
              <w:ind w:left="440"/>
              <w:spacing w:after="0" w:line="215" w:lineRule="exact"/>
              <w:rPr>
                <w:sz w:val="20"/>
                <w:szCs w:val="20"/>
                <w:color w:val="auto"/>
              </w:rPr>
            </w:pPr>
            <w:r>
              <w:rPr>
                <w:rFonts w:ascii="Calibri" w:cs="Calibri" w:eastAsia="Calibri" w:hAnsi="Calibri"/>
                <w:sz w:val="18"/>
                <w:szCs w:val="18"/>
                <w:b w:val="1"/>
                <w:bCs w:val="1"/>
                <w:color w:val="AF0000"/>
              </w:rPr>
              <w:t>recommends a vote FOR this</w:t>
            </w:r>
          </w:p>
        </w:tc>
      </w:tr>
      <w:tr>
        <w:trPr>
          <w:trHeight w:val="215"/>
        </w:trPr>
        <w:tc>
          <w:tcPr>
            <w:tcW w:w="4840" w:type="dxa"/>
            <w:vAlign w:val="bottom"/>
            <w:tcBorders>
              <w:left w:val="single" w:sz="8" w:color="AF0000"/>
            </w:tcBorders>
          </w:tcPr>
          <w:p>
            <w:pPr>
              <w:spacing w:after="0"/>
              <w:rPr>
                <w:sz w:val="18"/>
                <w:szCs w:val="18"/>
                <w:color w:val="auto"/>
              </w:rPr>
            </w:pPr>
          </w:p>
        </w:tc>
        <w:tc>
          <w:tcPr>
            <w:tcW w:w="3740" w:type="dxa"/>
            <w:vAlign w:val="bottom"/>
            <w:tcBorders>
              <w:right w:val="single" w:sz="8" w:color="AF0000"/>
            </w:tcBorders>
          </w:tcPr>
          <w:p>
            <w:pPr>
              <w:ind w:left="440"/>
              <w:spacing w:after="0" w:line="215" w:lineRule="exact"/>
              <w:rPr>
                <w:sz w:val="20"/>
                <w:szCs w:val="20"/>
                <w:color w:val="auto"/>
              </w:rPr>
            </w:pPr>
            <w:r>
              <w:rPr>
                <w:rFonts w:ascii="Calibri" w:cs="Calibri" w:eastAsia="Calibri" w:hAnsi="Calibri"/>
                <w:sz w:val="18"/>
                <w:szCs w:val="18"/>
                <w:b w:val="1"/>
                <w:bCs w:val="1"/>
                <w:color w:val="AF0000"/>
              </w:rPr>
              <w:t>proposal</w:t>
            </w:r>
          </w:p>
        </w:tc>
      </w:tr>
      <w:tr>
        <w:trPr>
          <w:trHeight w:val="116"/>
        </w:trPr>
        <w:tc>
          <w:tcPr>
            <w:tcW w:w="4840" w:type="dxa"/>
            <w:vAlign w:val="bottom"/>
            <w:tcBorders>
              <w:left w:val="single" w:sz="8" w:color="AF0000"/>
              <w:bottom w:val="single" w:sz="8" w:color="AF0000"/>
            </w:tcBorders>
          </w:tcPr>
          <w:p>
            <w:pPr>
              <w:spacing w:after="0"/>
              <w:rPr>
                <w:sz w:val="10"/>
                <w:szCs w:val="10"/>
                <w:color w:val="auto"/>
              </w:rPr>
            </w:pPr>
          </w:p>
        </w:tc>
        <w:tc>
          <w:tcPr>
            <w:tcW w:w="3740" w:type="dxa"/>
            <w:vAlign w:val="bottom"/>
            <w:tcBorders>
              <w:bottom w:val="single" w:sz="8" w:color="AF0000"/>
              <w:right w:val="single" w:sz="8" w:color="AF000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-385445</wp:posOffset>
            </wp:positionV>
            <wp:extent cx="265430" cy="2400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5430" cy="240030"/>
                    </a:xfrm>
                    <a:prstGeom prst="rect">
                      <a:avLst/>
                    </a:prstGeom>
                    <a:noFill/>
                  </pic:spPr>
                </pic:pic>
              </a:graphicData>
            </a:graphic>
          </wp:anchor>
        </w:drawing>
      </w:r>
    </w:p>
    <w:p>
      <w:pPr>
        <w:spacing w:after="0" w:line="174" w:lineRule="exact"/>
        <w:rPr>
          <w:sz w:val="20"/>
          <w:szCs w:val="20"/>
          <w:color w:val="auto"/>
        </w:rPr>
      </w:pPr>
    </w:p>
    <w:p>
      <w:pPr>
        <w:ind w:left="200" w:right="499"/>
        <w:spacing w:after="0" w:line="230" w:lineRule="auto"/>
        <w:rPr>
          <w:sz w:val="20"/>
          <w:szCs w:val="20"/>
          <w:color w:val="auto"/>
        </w:rPr>
      </w:pPr>
      <w:r>
        <w:rPr>
          <w:rFonts w:ascii="Calibri" w:cs="Calibri" w:eastAsia="Calibri" w:hAnsi="Calibri"/>
          <w:sz w:val="18"/>
          <w:szCs w:val="18"/>
          <w:color w:val="auto"/>
        </w:rPr>
        <w:t>Subject to shareholder ratfcaton, the Audit Commitee has recommended, and the Board has appointed Deloite to audit the fnancial statements of the Company for the year ending December 31, 2024. Deloite has acted as the independent public accountng frm for the Company since 1988.</w:t>
      </w:r>
    </w:p>
    <w:p>
      <w:pPr>
        <w:spacing w:after="0" w:line="192" w:lineRule="exact"/>
        <w:rPr>
          <w:sz w:val="20"/>
          <w:szCs w:val="20"/>
          <w:color w:val="auto"/>
        </w:rPr>
      </w:pPr>
    </w:p>
    <w:p>
      <w:pPr>
        <w:ind w:left="200" w:right="999"/>
        <w:spacing w:after="0" w:line="242" w:lineRule="auto"/>
        <w:rPr>
          <w:sz w:val="20"/>
          <w:szCs w:val="20"/>
          <w:color w:val="auto"/>
        </w:rPr>
      </w:pPr>
      <w:r>
        <w:rPr>
          <w:rFonts w:ascii="Calibri" w:cs="Calibri" w:eastAsia="Calibri" w:hAnsi="Calibri"/>
          <w:sz w:val="17"/>
          <w:szCs w:val="17"/>
          <w:color w:val="auto"/>
        </w:rPr>
        <w:t>The Board antcipates that representatves of Deloite will be partcipatng in the Annual Meetng, will have an opportunity to make a statement if they so desire, and will be available to respond to appropriate questons.</w:t>
      </w:r>
    </w:p>
    <w:p>
      <w:pPr>
        <w:spacing w:after="0" w:line="177"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Fees Paid to Our Independent Certfed Public Accountng Firm</w:t>
      </w:r>
    </w:p>
    <w:p>
      <w:pPr>
        <w:spacing w:after="0" w:line="146" w:lineRule="exact"/>
        <w:rPr>
          <w:sz w:val="20"/>
          <w:szCs w:val="20"/>
          <w:color w:val="auto"/>
        </w:rPr>
      </w:pPr>
    </w:p>
    <w:p>
      <w:pPr>
        <w:ind w:left="200" w:right="359"/>
        <w:spacing w:after="0" w:line="235" w:lineRule="auto"/>
        <w:rPr>
          <w:sz w:val="20"/>
          <w:szCs w:val="20"/>
          <w:color w:val="auto"/>
        </w:rPr>
      </w:pPr>
      <w:r>
        <w:rPr>
          <w:rFonts w:ascii="Calibri" w:cs="Calibri" w:eastAsia="Calibri" w:hAnsi="Calibri"/>
          <w:sz w:val="18"/>
          <w:szCs w:val="18"/>
          <w:color w:val="auto"/>
        </w:rPr>
        <w:t>The following table presents aggregate fees for audits of our consolidated fnancial statements and fees billed for other services rendered by Deloite for the years ended December 31, 2023 and 2022.</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250"/>
        </w:trPr>
        <w:tc>
          <w:tcPr>
            <w:tcW w:w="2780" w:type="dxa"/>
            <w:vAlign w:val="bottom"/>
            <w:tcBorders>
              <w:top w:val="single" w:sz="8" w:color="AF0000"/>
              <w:bottom w:val="single" w:sz="8" w:color="AF0000"/>
            </w:tcBorders>
          </w:tcPr>
          <w:p>
            <w:pPr>
              <w:spacing w:after="0"/>
              <w:rPr>
                <w:sz w:val="21"/>
                <w:szCs w:val="21"/>
                <w:color w:val="auto"/>
              </w:rPr>
            </w:pPr>
          </w:p>
        </w:tc>
        <w:tc>
          <w:tcPr>
            <w:tcW w:w="2940" w:type="dxa"/>
            <w:vAlign w:val="bottom"/>
            <w:tcBorders>
              <w:top w:val="single" w:sz="8" w:color="AF0000"/>
              <w:bottom w:val="single" w:sz="8" w:color="AF0000"/>
            </w:tcBorders>
          </w:tcPr>
          <w:p>
            <w:pPr>
              <w:jc w:val="center"/>
              <w:spacing w:after="0"/>
              <w:rPr>
                <w:sz w:val="20"/>
                <w:szCs w:val="20"/>
                <w:color w:val="auto"/>
              </w:rPr>
            </w:pPr>
            <w:r>
              <w:rPr>
                <w:rFonts w:ascii="Calibri" w:cs="Calibri" w:eastAsia="Calibri" w:hAnsi="Calibri"/>
                <w:sz w:val="18"/>
                <w:szCs w:val="18"/>
                <w:b w:val="1"/>
                <w:bCs w:val="1"/>
                <w:color w:val="auto"/>
                <w:w w:val="98"/>
              </w:rPr>
              <w:t>2023 ($)</w:t>
            </w:r>
          </w:p>
        </w:tc>
        <w:tc>
          <w:tcPr>
            <w:tcW w:w="2860" w:type="dxa"/>
            <w:vAlign w:val="bottom"/>
            <w:tcBorders>
              <w:top w:val="single" w:sz="8" w:color="AF0000"/>
              <w:bottom w:val="single" w:sz="8" w:color="AF0000"/>
            </w:tcBorders>
          </w:tcPr>
          <w:p>
            <w:pPr>
              <w:jc w:val="center"/>
              <w:spacing w:after="0"/>
              <w:rPr>
                <w:sz w:val="20"/>
                <w:szCs w:val="20"/>
                <w:color w:val="auto"/>
              </w:rPr>
            </w:pPr>
            <w:r>
              <w:rPr>
                <w:rFonts w:ascii="Calibri" w:cs="Calibri" w:eastAsia="Calibri" w:hAnsi="Calibri"/>
                <w:sz w:val="18"/>
                <w:szCs w:val="18"/>
                <w:b w:val="1"/>
                <w:bCs w:val="1"/>
                <w:color w:val="auto"/>
                <w:w w:val="98"/>
              </w:rPr>
              <w:t>2022 ($)</w:t>
            </w:r>
          </w:p>
        </w:tc>
      </w:tr>
      <w:tr>
        <w:trPr>
          <w:trHeight w:val="216"/>
        </w:trPr>
        <w:tc>
          <w:tcPr>
            <w:tcW w:w="2780" w:type="dxa"/>
            <w:vAlign w:val="bottom"/>
            <w:tcBorders>
              <w:bottom w:val="single" w:sz="8" w:color="A6A6A6"/>
            </w:tcBorders>
          </w:tcPr>
          <w:p>
            <w:pPr>
              <w:ind w:left="80"/>
              <w:spacing w:after="0" w:line="216" w:lineRule="exact"/>
              <w:rPr>
                <w:sz w:val="20"/>
                <w:szCs w:val="20"/>
                <w:color w:val="auto"/>
              </w:rPr>
            </w:pPr>
            <w:r>
              <w:rPr>
                <w:rFonts w:ascii="Calibri" w:cs="Calibri" w:eastAsia="Calibri" w:hAnsi="Calibri"/>
                <w:sz w:val="16"/>
                <w:szCs w:val="16"/>
                <w:color w:val="auto"/>
              </w:rPr>
              <w:t xml:space="preserve">Audit Fees </w:t>
            </w:r>
            <w:r>
              <w:rPr>
                <w:rFonts w:ascii="Calibri" w:cs="Calibri" w:eastAsia="Calibri" w:hAnsi="Calibri"/>
                <w:sz w:val="23"/>
                <w:szCs w:val="23"/>
                <w:b w:val="1"/>
                <w:bCs w:val="1"/>
                <w:color w:val="AF0000"/>
                <w:vertAlign w:val="superscript"/>
              </w:rPr>
              <w:t>(1)</w:t>
            </w:r>
          </w:p>
        </w:tc>
        <w:tc>
          <w:tcPr>
            <w:tcW w:w="2940" w:type="dxa"/>
            <w:vAlign w:val="bottom"/>
            <w:tcBorders>
              <w:bottom w:val="single" w:sz="8" w:color="A6A6A6"/>
            </w:tcBorders>
          </w:tcPr>
          <w:p>
            <w:pPr>
              <w:jc w:val="center"/>
              <w:spacing w:after="0" w:line="215" w:lineRule="exact"/>
              <w:rPr>
                <w:sz w:val="20"/>
                <w:szCs w:val="20"/>
                <w:color w:val="auto"/>
              </w:rPr>
            </w:pPr>
            <w:r>
              <w:rPr>
                <w:rFonts w:ascii="Calibri" w:cs="Calibri" w:eastAsia="Calibri" w:hAnsi="Calibri"/>
                <w:sz w:val="18"/>
                <w:szCs w:val="18"/>
                <w:color w:val="auto"/>
                <w:w w:val="98"/>
              </w:rPr>
              <w:t>1,830,292</w:t>
            </w:r>
          </w:p>
        </w:tc>
        <w:tc>
          <w:tcPr>
            <w:tcW w:w="2860" w:type="dxa"/>
            <w:vAlign w:val="bottom"/>
            <w:tcBorders>
              <w:bottom w:val="single" w:sz="8" w:color="A6A6A6"/>
            </w:tcBorders>
          </w:tcPr>
          <w:p>
            <w:pPr>
              <w:jc w:val="center"/>
              <w:spacing w:after="0" w:line="215" w:lineRule="exact"/>
              <w:rPr>
                <w:sz w:val="20"/>
                <w:szCs w:val="20"/>
                <w:color w:val="auto"/>
              </w:rPr>
            </w:pPr>
            <w:r>
              <w:rPr>
                <w:rFonts w:ascii="Calibri" w:cs="Calibri" w:eastAsia="Calibri" w:hAnsi="Calibri"/>
                <w:sz w:val="18"/>
                <w:szCs w:val="18"/>
                <w:color w:val="auto"/>
                <w:w w:val="95"/>
              </w:rPr>
              <w:t>1,442,940</w:t>
            </w:r>
          </w:p>
        </w:tc>
      </w:tr>
      <w:tr>
        <w:trPr>
          <w:trHeight w:val="210"/>
        </w:trPr>
        <w:tc>
          <w:tcPr>
            <w:tcW w:w="2780" w:type="dxa"/>
            <w:vAlign w:val="bottom"/>
            <w:tcBorders>
              <w:bottom w:val="single" w:sz="8" w:color="A6A6A6"/>
            </w:tcBorders>
          </w:tcPr>
          <w:p>
            <w:pPr>
              <w:ind w:left="80"/>
              <w:spacing w:after="0" w:line="210" w:lineRule="exact"/>
              <w:rPr>
                <w:sz w:val="20"/>
                <w:szCs w:val="20"/>
                <w:color w:val="auto"/>
              </w:rPr>
            </w:pPr>
            <w:r>
              <w:rPr>
                <w:rFonts w:ascii="Calibri" w:cs="Calibri" w:eastAsia="Calibri" w:hAnsi="Calibri"/>
                <w:sz w:val="16"/>
                <w:szCs w:val="16"/>
                <w:color w:val="auto"/>
              </w:rPr>
              <w:t xml:space="preserve">Audit-Related Fees </w:t>
            </w:r>
            <w:r>
              <w:rPr>
                <w:rFonts w:ascii="Calibri" w:cs="Calibri" w:eastAsia="Calibri" w:hAnsi="Calibri"/>
                <w:sz w:val="22"/>
                <w:szCs w:val="22"/>
                <w:b w:val="1"/>
                <w:bCs w:val="1"/>
                <w:color w:val="AF0000"/>
                <w:vertAlign w:val="superscript"/>
              </w:rPr>
              <w:t>(2)</w:t>
            </w:r>
          </w:p>
        </w:tc>
        <w:tc>
          <w:tcPr>
            <w:tcW w:w="294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428,480</w:t>
            </w:r>
          </w:p>
        </w:tc>
        <w:tc>
          <w:tcPr>
            <w:tcW w:w="286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9"/>
              </w:rPr>
              <w:t>66,630</w:t>
            </w:r>
          </w:p>
        </w:tc>
      </w:tr>
      <w:tr>
        <w:trPr>
          <w:trHeight w:val="209"/>
        </w:trPr>
        <w:tc>
          <w:tcPr>
            <w:tcW w:w="2780" w:type="dxa"/>
            <w:vAlign w:val="bottom"/>
            <w:tcBorders>
              <w:bottom w:val="single" w:sz="8" w:color="A6A6A6"/>
            </w:tcBorders>
          </w:tcPr>
          <w:p>
            <w:pPr>
              <w:ind w:left="80"/>
              <w:spacing w:after="0" w:line="210" w:lineRule="exact"/>
              <w:rPr>
                <w:sz w:val="20"/>
                <w:szCs w:val="20"/>
                <w:color w:val="auto"/>
              </w:rPr>
            </w:pPr>
            <w:r>
              <w:rPr>
                <w:rFonts w:ascii="Calibri" w:cs="Calibri" w:eastAsia="Calibri" w:hAnsi="Calibri"/>
                <w:sz w:val="16"/>
                <w:szCs w:val="16"/>
                <w:color w:val="auto"/>
              </w:rPr>
              <w:t xml:space="preserve">Tax Fees </w:t>
            </w:r>
            <w:r>
              <w:rPr>
                <w:rFonts w:ascii="Calibri" w:cs="Calibri" w:eastAsia="Calibri" w:hAnsi="Calibri"/>
                <w:sz w:val="22"/>
                <w:szCs w:val="22"/>
                <w:b w:val="1"/>
                <w:bCs w:val="1"/>
                <w:color w:val="AF0000"/>
                <w:vertAlign w:val="superscript"/>
              </w:rPr>
              <w:t>(3)</w:t>
            </w:r>
          </w:p>
        </w:tc>
        <w:tc>
          <w:tcPr>
            <w:tcW w:w="294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648,935</w:t>
            </w:r>
          </w:p>
        </w:tc>
        <w:tc>
          <w:tcPr>
            <w:tcW w:w="286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385,472</w:t>
            </w:r>
          </w:p>
        </w:tc>
      </w:tr>
      <w:tr>
        <w:trPr>
          <w:trHeight w:val="209"/>
        </w:trPr>
        <w:tc>
          <w:tcPr>
            <w:tcW w:w="278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All Other Fees</w:t>
            </w:r>
          </w:p>
        </w:tc>
        <w:tc>
          <w:tcPr>
            <w:tcW w:w="294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w:t>
            </w:r>
          </w:p>
        </w:tc>
        <w:tc>
          <w:tcPr>
            <w:tcW w:w="2860" w:type="dxa"/>
            <w:vAlign w:val="bottom"/>
            <w:tcBorders>
              <w:bottom w:val="single" w:sz="8" w:color="A6A6A6"/>
            </w:tcBorders>
          </w:tcPr>
          <w:p>
            <w:pPr>
              <w:jc w:val="center"/>
              <w:spacing w:after="0" w:line="209" w:lineRule="exact"/>
              <w:rPr>
                <w:sz w:val="20"/>
                <w:szCs w:val="20"/>
                <w:color w:val="auto"/>
              </w:rPr>
            </w:pPr>
            <w:r>
              <w:rPr>
                <w:rFonts w:ascii="Calibri" w:cs="Calibri" w:eastAsia="Calibri" w:hAnsi="Calibri"/>
                <w:sz w:val="18"/>
                <w:szCs w:val="18"/>
                <w:color w:val="auto"/>
                <w:w w:val="97"/>
              </w:rPr>
              <w:t>—</w:t>
            </w:r>
          </w:p>
        </w:tc>
      </w:tr>
      <w:tr>
        <w:trPr>
          <w:trHeight w:val="217"/>
        </w:trPr>
        <w:tc>
          <w:tcPr>
            <w:tcW w:w="2780" w:type="dxa"/>
            <w:vAlign w:val="bottom"/>
            <w:tcBorders>
              <w:bottom w:val="single" w:sz="8" w:color="AF0000"/>
            </w:tcBorders>
          </w:tcPr>
          <w:p>
            <w:pPr>
              <w:ind w:left="560"/>
              <w:spacing w:after="0" w:line="209" w:lineRule="exact"/>
              <w:rPr>
                <w:sz w:val="20"/>
                <w:szCs w:val="20"/>
                <w:color w:val="auto"/>
              </w:rPr>
            </w:pPr>
            <w:r>
              <w:rPr>
                <w:rFonts w:ascii="Calibri" w:cs="Calibri" w:eastAsia="Calibri" w:hAnsi="Calibri"/>
                <w:sz w:val="18"/>
                <w:szCs w:val="18"/>
                <w:b w:val="1"/>
                <w:bCs w:val="1"/>
                <w:color w:val="auto"/>
              </w:rPr>
              <w:t>Total</w:t>
            </w:r>
          </w:p>
        </w:tc>
        <w:tc>
          <w:tcPr>
            <w:tcW w:w="2940" w:type="dxa"/>
            <w:vAlign w:val="bottom"/>
            <w:tcBorders>
              <w:bottom w:val="single" w:sz="8" w:color="AF0000"/>
            </w:tcBorders>
          </w:tcPr>
          <w:p>
            <w:pPr>
              <w:jc w:val="center"/>
              <w:spacing w:after="0" w:line="209" w:lineRule="exact"/>
              <w:rPr>
                <w:sz w:val="20"/>
                <w:szCs w:val="20"/>
                <w:color w:val="auto"/>
              </w:rPr>
            </w:pPr>
            <w:r>
              <w:rPr>
                <w:rFonts w:ascii="Calibri" w:cs="Calibri" w:eastAsia="Calibri" w:hAnsi="Calibri"/>
                <w:sz w:val="18"/>
                <w:szCs w:val="18"/>
                <w:color w:val="auto"/>
                <w:w w:val="98"/>
              </w:rPr>
              <w:t>2,907,707</w:t>
            </w:r>
          </w:p>
        </w:tc>
        <w:tc>
          <w:tcPr>
            <w:tcW w:w="2860" w:type="dxa"/>
            <w:vAlign w:val="bottom"/>
            <w:tcBorders>
              <w:bottom w:val="single" w:sz="8" w:color="AF0000"/>
            </w:tcBorders>
          </w:tcPr>
          <w:p>
            <w:pPr>
              <w:jc w:val="center"/>
              <w:spacing w:after="0" w:line="209" w:lineRule="exact"/>
              <w:rPr>
                <w:sz w:val="20"/>
                <w:szCs w:val="20"/>
                <w:color w:val="auto"/>
              </w:rPr>
            </w:pPr>
            <w:r>
              <w:rPr>
                <w:rFonts w:ascii="Calibri" w:cs="Calibri" w:eastAsia="Calibri" w:hAnsi="Calibri"/>
                <w:sz w:val="18"/>
                <w:szCs w:val="18"/>
                <w:color w:val="auto"/>
                <w:w w:val="95"/>
              </w:rPr>
              <w:t>1,895,042</w:t>
            </w:r>
          </w:p>
        </w:tc>
      </w:tr>
    </w:tbl>
    <w:p>
      <w:pPr>
        <w:spacing w:after="0" w:line="90" w:lineRule="exact"/>
        <w:rPr>
          <w:sz w:val="20"/>
          <w:szCs w:val="20"/>
          <w:color w:val="auto"/>
        </w:rPr>
      </w:pPr>
    </w:p>
    <w:p>
      <w:pPr>
        <w:ind w:left="540" w:right="439" w:hanging="331"/>
        <w:spacing w:after="0" w:line="236" w:lineRule="auto"/>
        <w:tabs>
          <w:tab w:leader="none" w:pos="540" w:val="left"/>
        </w:tabs>
        <w:numPr>
          <w:ilvl w:val="0"/>
          <w:numId w:val="108"/>
        </w:numPr>
        <w:rPr>
          <w:rFonts w:ascii="Calibri" w:cs="Calibri" w:eastAsia="Calibri" w:hAnsi="Calibri"/>
          <w:sz w:val="16"/>
          <w:szCs w:val="16"/>
          <w:color w:val="AF0000"/>
        </w:rPr>
      </w:pPr>
      <w:r>
        <w:rPr>
          <w:rFonts w:ascii="Calibri" w:cs="Calibri" w:eastAsia="Calibri" w:hAnsi="Calibri"/>
          <w:sz w:val="16"/>
          <w:szCs w:val="16"/>
          <w:b w:val="1"/>
          <w:bCs w:val="1"/>
          <w:color w:val="auto"/>
        </w:rPr>
        <w:t>Audit Fees</w:t>
      </w:r>
      <w:r>
        <w:rPr>
          <w:rFonts w:ascii="Calibri" w:cs="Calibri" w:eastAsia="Calibri" w:hAnsi="Calibri"/>
          <w:sz w:val="16"/>
          <w:szCs w:val="16"/>
          <w:color w:val="auto"/>
        </w:rPr>
        <w:t>: The aggregate fees billed by Deloite, the member frms of Deloite Touche Tohmatsu, and their respectve</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 xml:space="preserve">afliates (collectvely, the </w:t>
      </w:r>
      <w:r>
        <w:rPr>
          <w:rFonts w:ascii="Calibri" w:cs="Calibri" w:eastAsia="Calibri" w:hAnsi="Calibri"/>
          <w:sz w:val="16"/>
          <w:szCs w:val="16"/>
          <w:u w:val="single" w:color="auto"/>
          <w:color w:val="AF0000"/>
        </w:rPr>
        <w:t>Deloite Firms</w:t>
      </w:r>
      <w:r>
        <w:rPr>
          <w:rFonts w:ascii="Calibri" w:cs="Calibri" w:eastAsia="Calibri" w:hAnsi="Calibri"/>
          <w:sz w:val="16"/>
          <w:szCs w:val="16"/>
          <w:color w:val="auto"/>
        </w:rPr>
        <w:t>) for professional services rendered for the audits and reviews of our fnancial statements fled with the SEC on Forms 10-K, 10-Q and 8-K, for the audit of the efectveness of our internal control over fnancial reportng under Secton 404 of the Sarbanes-Oxley Act of 2002, for services provided in connecton with statutory and regulatory flings or engagements, and for services provided in connecton with our registraton statements.</w:t>
      </w:r>
    </w:p>
    <w:p>
      <w:pPr>
        <w:spacing w:after="0" w:line="2" w:lineRule="exact"/>
        <w:rPr>
          <w:rFonts w:ascii="Calibri" w:cs="Calibri" w:eastAsia="Calibri" w:hAnsi="Calibri"/>
          <w:sz w:val="16"/>
          <w:szCs w:val="16"/>
          <w:color w:val="AF0000"/>
        </w:rPr>
      </w:pPr>
    </w:p>
    <w:p>
      <w:pPr>
        <w:ind w:left="540" w:right="699" w:hanging="331"/>
        <w:spacing w:after="0" w:line="232" w:lineRule="auto"/>
        <w:tabs>
          <w:tab w:leader="none" w:pos="540" w:val="left"/>
        </w:tabs>
        <w:numPr>
          <w:ilvl w:val="0"/>
          <w:numId w:val="108"/>
        </w:numPr>
        <w:rPr>
          <w:rFonts w:ascii="Calibri" w:cs="Calibri" w:eastAsia="Calibri" w:hAnsi="Calibri"/>
          <w:sz w:val="16"/>
          <w:szCs w:val="16"/>
          <w:color w:val="AF0000"/>
        </w:rPr>
      </w:pPr>
      <w:r>
        <w:rPr>
          <w:rFonts w:ascii="Calibri" w:cs="Calibri" w:eastAsia="Calibri" w:hAnsi="Calibri"/>
          <w:sz w:val="16"/>
          <w:szCs w:val="16"/>
          <w:b w:val="1"/>
          <w:bCs w:val="1"/>
          <w:color w:val="auto"/>
        </w:rPr>
        <w:t>Audit-Related Fees</w:t>
      </w:r>
      <w:r>
        <w:rPr>
          <w:rFonts w:ascii="Calibri" w:cs="Calibri" w:eastAsia="Calibri" w:hAnsi="Calibri"/>
          <w:sz w:val="16"/>
          <w:szCs w:val="16"/>
          <w:color w:val="auto"/>
        </w:rPr>
        <w:t>: The aggregate fees billed by the Deloite Firms for all audit-related services, including audits of our</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employee beneft plan, due diligence services, and certain accountng consultaton services.</w:t>
      </w:r>
    </w:p>
    <w:p>
      <w:pPr>
        <w:spacing w:after="0" w:line="7" w:lineRule="exact"/>
        <w:rPr>
          <w:rFonts w:ascii="Calibri" w:cs="Calibri" w:eastAsia="Calibri" w:hAnsi="Calibri"/>
          <w:sz w:val="16"/>
          <w:szCs w:val="16"/>
          <w:color w:val="AF0000"/>
        </w:rPr>
      </w:pPr>
    </w:p>
    <w:p>
      <w:pPr>
        <w:ind w:left="540" w:hanging="331"/>
        <w:spacing w:after="0"/>
        <w:tabs>
          <w:tab w:leader="none" w:pos="540" w:val="left"/>
        </w:tabs>
        <w:numPr>
          <w:ilvl w:val="0"/>
          <w:numId w:val="108"/>
        </w:numPr>
        <w:rPr>
          <w:rFonts w:ascii="Calibri" w:cs="Calibri" w:eastAsia="Calibri" w:hAnsi="Calibri"/>
          <w:sz w:val="16"/>
          <w:szCs w:val="16"/>
          <w:color w:val="AF0000"/>
        </w:rPr>
      </w:pPr>
      <w:r>
        <w:rPr>
          <w:rFonts w:ascii="Calibri" w:cs="Calibri" w:eastAsia="Calibri" w:hAnsi="Calibri"/>
          <w:sz w:val="16"/>
          <w:szCs w:val="16"/>
          <w:b w:val="1"/>
          <w:bCs w:val="1"/>
          <w:color w:val="auto"/>
        </w:rPr>
        <w:t>Tax Fees</w:t>
      </w:r>
      <w:r>
        <w:rPr>
          <w:rFonts w:ascii="Calibri" w:cs="Calibri" w:eastAsia="Calibri" w:hAnsi="Calibri"/>
          <w:sz w:val="16"/>
          <w:szCs w:val="16"/>
          <w:color w:val="auto"/>
        </w:rPr>
        <w:t>: The aggregate fees billed by the Deloite Firms for tax compliance, tax advice and tax planning.</w:t>
      </w:r>
    </w:p>
    <w:p>
      <w:pPr>
        <w:spacing w:after="0" w:line="20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Pre-Approval Policies and Procedures</w:t>
      </w:r>
    </w:p>
    <w:p>
      <w:pPr>
        <w:spacing w:after="0" w:line="177" w:lineRule="exact"/>
        <w:rPr>
          <w:sz w:val="20"/>
          <w:szCs w:val="20"/>
          <w:color w:val="auto"/>
        </w:rPr>
      </w:pPr>
    </w:p>
    <w:p>
      <w:pPr>
        <w:ind w:left="200" w:right="239"/>
        <w:spacing w:after="0" w:line="248" w:lineRule="auto"/>
        <w:rPr>
          <w:sz w:val="20"/>
          <w:szCs w:val="20"/>
          <w:color w:val="auto"/>
        </w:rPr>
      </w:pPr>
      <w:r>
        <w:rPr>
          <w:rFonts w:ascii="Calibri" w:cs="Calibri" w:eastAsia="Calibri" w:hAnsi="Calibri"/>
          <w:sz w:val="17"/>
          <w:szCs w:val="17"/>
          <w:color w:val="auto"/>
        </w:rPr>
        <w:t>The Audit Commitee ensures that the Company engages its independent registered public accountng frm to provide only audit and non-audit services that are compatble with maintaining the independence of its public accountants. The Audit Commitee approves or pre-approves all services provided by our public accountants. Permited services include audit and audit-related services, tax and other non-audit related services. Certain services are identfed as restricted. Restricted services are those services that may not be provided by our external public accountants, whether identfed in statute or determined in our opinion to be incompatble with the role of an independent auditor. All fees identfed in the preceding table were approved by the Audit Commitee. During 2023, the Audit Commitee reviewed all non-audit services provided by our independent registered public accountng frm and concluded that the provision of such non-audit services was compatble with maintaining the independence of the external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85" w:name="page86"/>
    <w:bookmarkEnd w:id="85"/>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STOCK OWNERSHIP AND TRADING</w:t>
      </w:r>
    </w:p>
    <w:p>
      <w:pPr>
        <w:spacing w:after="0" w:line="118" w:lineRule="exact"/>
        <w:rPr>
          <w:sz w:val="20"/>
          <w:szCs w:val="20"/>
          <w:color w:val="auto"/>
        </w:rPr>
      </w:pPr>
    </w:p>
    <w:p>
      <w:pPr>
        <w:ind w:left="200"/>
        <w:spacing w:after="0"/>
        <w:rPr>
          <w:sz w:val="20"/>
          <w:szCs w:val="20"/>
          <w:color w:val="auto"/>
        </w:rPr>
      </w:pPr>
      <w:r>
        <w:rPr>
          <w:rFonts w:ascii="Calibri" w:cs="Calibri" w:eastAsia="Calibri" w:hAnsi="Calibri"/>
          <w:sz w:val="32"/>
          <w:szCs w:val="32"/>
          <w:b w:val="1"/>
          <w:bCs w:val="1"/>
          <w:color w:val="FFFFFF"/>
        </w:rPr>
        <w:t>STOCK OWNERSHIP AND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-221615</wp:posOffset>
            </wp:positionV>
            <wp:extent cx="5452110" cy="2482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52110" cy="248285"/>
                    </a:xfrm>
                    <a:prstGeom prst="rect">
                      <a:avLst/>
                    </a:prstGeom>
                    <a:noFill/>
                  </pic:spPr>
                </pic:pic>
              </a:graphicData>
            </a:graphic>
          </wp:anchor>
        </w:drawing>
      </w:r>
    </w:p>
    <w:p>
      <w:pPr>
        <w:spacing w:after="0" w:line="210"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Principal Holders of Votng Securites</w:t>
      </w:r>
    </w:p>
    <w:p>
      <w:pPr>
        <w:spacing w:after="0" w:line="199" w:lineRule="exact"/>
        <w:rPr>
          <w:sz w:val="20"/>
          <w:szCs w:val="20"/>
          <w:color w:val="auto"/>
        </w:rPr>
      </w:pPr>
    </w:p>
    <w:p>
      <w:pPr>
        <w:ind w:left="200" w:right="499"/>
        <w:spacing w:after="0" w:line="254" w:lineRule="auto"/>
        <w:rPr>
          <w:sz w:val="20"/>
          <w:szCs w:val="20"/>
          <w:color w:val="auto"/>
        </w:rPr>
      </w:pPr>
      <w:r>
        <w:rPr>
          <w:rFonts w:ascii="Calibri" w:cs="Calibri" w:eastAsia="Calibri" w:hAnsi="Calibri"/>
          <w:sz w:val="17"/>
          <w:szCs w:val="17"/>
          <w:color w:val="auto"/>
        </w:rPr>
        <w:t>The following table sets forth informaton as of March 18, 2024, with respect to the benefcial ownership of shares of Common Stock by each person known by the Company to be the benefcial owner of more than 5% of the Common Stock, by each director, by each director nominee, by each NEO and by all directors and executve ofcers as a group.</w:t>
      </w:r>
    </w:p>
    <w:p>
      <w:pPr>
        <w:spacing w:after="0" w:line="165" w:lineRule="exact"/>
        <w:rPr>
          <w:sz w:val="20"/>
          <w:szCs w:val="20"/>
          <w:color w:val="auto"/>
        </w:rPr>
      </w:pPr>
    </w:p>
    <w:p>
      <w:pPr>
        <w:ind w:left="200" w:right="239"/>
        <w:spacing w:after="0" w:line="231" w:lineRule="auto"/>
        <w:rPr>
          <w:sz w:val="20"/>
          <w:szCs w:val="20"/>
          <w:color w:val="auto"/>
        </w:rPr>
      </w:pPr>
      <w:r>
        <w:rPr>
          <w:rFonts w:ascii="Calibri" w:cs="Calibri" w:eastAsia="Calibri" w:hAnsi="Calibri"/>
          <w:sz w:val="18"/>
          <w:szCs w:val="18"/>
          <w:color w:val="auto"/>
        </w:rPr>
        <w:t>For each individual and group included in the table below, percentage ownership is calculated by dividing the number of shares benefcially owned by such person or group by the sum of the 58,064,556 shares of Common Stock outstanding as of March 18, 2024, plus the number of shares of Common Stock that such person or group had the right to acquire on or within 60 days afer March 18, 2024.</w:t>
      </w:r>
    </w:p>
    <w:p>
      <w:pPr>
        <w:spacing w:after="0" w:line="180"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Unless otherwise noted, each person named has sole votng and investment power with respect to the shares indicated.</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4700" w:type="dxa"/>
            <w:vAlign w:val="bottom"/>
            <w:tcBorders>
              <w:top w:val="single" w:sz="8" w:color="AF0000"/>
            </w:tcBorders>
          </w:tcPr>
          <w:p>
            <w:pPr>
              <w:spacing w:after="0"/>
              <w:rPr>
                <w:sz w:val="19"/>
                <w:szCs w:val="19"/>
                <w:color w:val="auto"/>
              </w:rPr>
            </w:pPr>
          </w:p>
        </w:tc>
        <w:tc>
          <w:tcPr>
            <w:tcW w:w="1600" w:type="dxa"/>
            <w:vAlign w:val="bottom"/>
            <w:tcBorders>
              <w:top w:val="single" w:sz="8" w:color="AF0000"/>
            </w:tcBorders>
          </w:tcPr>
          <w:p>
            <w:pPr>
              <w:jc w:val="right"/>
              <w:ind w:right="230"/>
              <w:spacing w:after="0"/>
              <w:rPr>
                <w:sz w:val="20"/>
                <w:szCs w:val="20"/>
                <w:color w:val="auto"/>
              </w:rPr>
            </w:pPr>
            <w:r>
              <w:rPr>
                <w:rFonts w:ascii="Calibri" w:cs="Calibri" w:eastAsia="Calibri" w:hAnsi="Calibri"/>
                <w:sz w:val="18"/>
                <w:szCs w:val="18"/>
                <w:b w:val="1"/>
                <w:bCs w:val="1"/>
                <w:color w:val="auto"/>
              </w:rPr>
              <w:t>Number</w:t>
            </w:r>
          </w:p>
        </w:tc>
        <w:tc>
          <w:tcPr>
            <w:tcW w:w="2280" w:type="dxa"/>
            <w:vAlign w:val="bottom"/>
            <w:tcBorders>
              <w:top w:val="single" w:sz="8" w:color="AF0000"/>
            </w:tcBorders>
          </w:tcPr>
          <w:p>
            <w:pPr>
              <w:jc w:val="right"/>
              <w:ind w:right="110"/>
              <w:spacing w:after="0"/>
              <w:rPr>
                <w:sz w:val="20"/>
                <w:szCs w:val="20"/>
                <w:color w:val="auto"/>
              </w:rPr>
            </w:pPr>
            <w:r>
              <w:rPr>
                <w:rFonts w:ascii="Calibri" w:cs="Calibri" w:eastAsia="Calibri" w:hAnsi="Calibri"/>
                <w:sz w:val="18"/>
                <w:szCs w:val="18"/>
                <w:b w:val="1"/>
                <w:bCs w:val="1"/>
                <w:color w:val="auto"/>
              </w:rPr>
              <w:t>Percentage of Outstanding</w:t>
            </w:r>
          </w:p>
        </w:tc>
      </w:tr>
      <w:tr>
        <w:trPr>
          <w:trHeight w:val="215"/>
        </w:trPr>
        <w:tc>
          <w:tcPr>
            <w:tcW w:w="4700" w:type="dxa"/>
            <w:vAlign w:val="bottom"/>
          </w:tcPr>
          <w:p>
            <w:pPr>
              <w:ind w:left="80"/>
              <w:spacing w:after="0" w:line="215" w:lineRule="exact"/>
              <w:rPr>
                <w:sz w:val="20"/>
                <w:szCs w:val="20"/>
                <w:color w:val="auto"/>
              </w:rPr>
            </w:pPr>
            <w:r>
              <w:rPr>
                <w:rFonts w:ascii="Calibri" w:cs="Calibri" w:eastAsia="Calibri" w:hAnsi="Calibri"/>
                <w:sz w:val="18"/>
                <w:szCs w:val="18"/>
                <w:b w:val="1"/>
                <w:bCs w:val="1"/>
                <w:color w:val="auto"/>
              </w:rPr>
              <w:t>Principal Shareholders</w:t>
            </w:r>
          </w:p>
        </w:tc>
        <w:tc>
          <w:tcPr>
            <w:tcW w:w="160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of Shares</w:t>
            </w:r>
          </w:p>
        </w:tc>
        <w:tc>
          <w:tcPr>
            <w:tcW w:w="2280" w:type="dxa"/>
            <w:vAlign w:val="bottom"/>
          </w:tcPr>
          <w:p>
            <w:pPr>
              <w:jc w:val="right"/>
              <w:ind w:right="530"/>
              <w:spacing w:after="0" w:line="215" w:lineRule="exact"/>
              <w:rPr>
                <w:sz w:val="20"/>
                <w:szCs w:val="20"/>
                <w:color w:val="auto"/>
              </w:rPr>
            </w:pPr>
            <w:r>
              <w:rPr>
                <w:rFonts w:ascii="Calibri" w:cs="Calibri" w:eastAsia="Calibri" w:hAnsi="Calibri"/>
                <w:sz w:val="18"/>
                <w:szCs w:val="18"/>
                <w:b w:val="1"/>
                <w:bCs w:val="1"/>
                <w:color w:val="auto"/>
              </w:rPr>
              <w:t>Common Stock</w:t>
            </w:r>
          </w:p>
        </w:tc>
      </w:tr>
      <w:tr>
        <w:trPr>
          <w:trHeight w:val="30"/>
        </w:trPr>
        <w:tc>
          <w:tcPr>
            <w:tcW w:w="4700" w:type="dxa"/>
            <w:vAlign w:val="bottom"/>
            <w:tcBorders>
              <w:bottom w:val="single" w:sz="8" w:color="AF0000"/>
            </w:tcBorders>
          </w:tcPr>
          <w:p>
            <w:pPr>
              <w:spacing w:after="0"/>
              <w:rPr>
                <w:sz w:val="2"/>
                <w:szCs w:val="2"/>
                <w:color w:val="auto"/>
              </w:rPr>
            </w:pPr>
          </w:p>
        </w:tc>
        <w:tc>
          <w:tcPr>
            <w:tcW w:w="1600" w:type="dxa"/>
            <w:vAlign w:val="bottom"/>
            <w:tcBorders>
              <w:bottom w:val="single" w:sz="8" w:color="AF0000"/>
            </w:tcBorders>
          </w:tcPr>
          <w:p>
            <w:pPr>
              <w:spacing w:after="0"/>
              <w:rPr>
                <w:sz w:val="2"/>
                <w:szCs w:val="2"/>
                <w:color w:val="auto"/>
              </w:rPr>
            </w:pPr>
          </w:p>
        </w:tc>
        <w:tc>
          <w:tcPr>
            <w:tcW w:w="2280" w:type="dxa"/>
            <w:vAlign w:val="bottom"/>
            <w:tcBorders>
              <w:bottom w:val="single" w:sz="8" w:color="AF0000"/>
            </w:tcBorders>
          </w:tcPr>
          <w:p>
            <w:pPr>
              <w:spacing w:after="0"/>
              <w:rPr>
                <w:sz w:val="2"/>
                <w:szCs w:val="2"/>
                <w:color w:val="auto"/>
              </w:rPr>
            </w:pPr>
          </w:p>
        </w:tc>
      </w:tr>
      <w:tr>
        <w:trPr>
          <w:trHeight w:val="183"/>
        </w:trPr>
        <w:tc>
          <w:tcPr>
            <w:tcW w:w="4700" w:type="dxa"/>
            <w:vAlign w:val="bottom"/>
          </w:tcPr>
          <w:p>
            <w:pPr>
              <w:ind w:left="80"/>
              <w:spacing w:after="0" w:line="184" w:lineRule="exact"/>
              <w:rPr>
                <w:sz w:val="20"/>
                <w:szCs w:val="20"/>
                <w:color w:val="auto"/>
              </w:rPr>
            </w:pPr>
            <w:r>
              <w:rPr>
                <w:rFonts w:ascii="Calibri" w:cs="Calibri" w:eastAsia="Calibri" w:hAnsi="Calibri"/>
                <w:sz w:val="14"/>
                <w:szCs w:val="14"/>
                <w:color w:val="auto"/>
              </w:rPr>
              <w:t xml:space="preserve">Blackrock, Inc. </w:t>
            </w:r>
            <w:r>
              <w:rPr>
                <w:rFonts w:ascii="Calibri" w:cs="Calibri" w:eastAsia="Calibri" w:hAnsi="Calibri"/>
                <w:sz w:val="20"/>
                <w:szCs w:val="20"/>
                <w:b w:val="1"/>
                <w:bCs w:val="1"/>
                <w:color w:val="AF0000"/>
                <w:vertAlign w:val="superscript"/>
              </w:rPr>
              <w:t>(1)</w:t>
            </w:r>
          </w:p>
        </w:tc>
        <w:tc>
          <w:tcPr>
            <w:tcW w:w="1600" w:type="dxa"/>
            <w:vAlign w:val="bottom"/>
          </w:tcPr>
          <w:p>
            <w:pPr>
              <w:jc w:val="right"/>
              <w:ind w:right="50"/>
              <w:spacing w:after="0" w:line="184" w:lineRule="exact"/>
              <w:rPr>
                <w:sz w:val="20"/>
                <w:szCs w:val="20"/>
                <w:color w:val="auto"/>
              </w:rPr>
            </w:pPr>
            <w:r>
              <w:rPr>
                <w:rFonts w:ascii="Calibri" w:cs="Calibri" w:eastAsia="Calibri" w:hAnsi="Calibri"/>
                <w:sz w:val="18"/>
                <w:szCs w:val="18"/>
                <w:color w:val="auto"/>
              </w:rPr>
              <w:t>10,067,008</w:t>
            </w:r>
          </w:p>
        </w:tc>
        <w:tc>
          <w:tcPr>
            <w:tcW w:w="2280" w:type="dxa"/>
            <w:vAlign w:val="bottom"/>
          </w:tcPr>
          <w:p>
            <w:pPr>
              <w:jc w:val="right"/>
              <w:ind w:right="10"/>
              <w:spacing w:after="0" w:line="184" w:lineRule="exact"/>
              <w:rPr>
                <w:sz w:val="20"/>
                <w:szCs w:val="20"/>
                <w:color w:val="auto"/>
              </w:rPr>
            </w:pPr>
            <w:r>
              <w:rPr>
                <w:rFonts w:ascii="Calibri" w:cs="Calibri" w:eastAsia="Calibri" w:hAnsi="Calibri"/>
                <w:sz w:val="18"/>
                <w:szCs w:val="18"/>
                <w:color w:val="auto"/>
              </w:rPr>
              <w:t>17.3%</w:t>
            </w:r>
          </w:p>
        </w:tc>
      </w:tr>
      <w:tr>
        <w:trPr>
          <w:trHeight w:val="226"/>
        </w:trPr>
        <w:tc>
          <w:tcPr>
            <w:tcW w:w="4700" w:type="dxa"/>
            <w:vAlign w:val="bottom"/>
          </w:tcPr>
          <w:p>
            <w:pPr>
              <w:ind w:left="80"/>
              <w:spacing w:after="0" w:line="226" w:lineRule="exact"/>
              <w:rPr>
                <w:sz w:val="20"/>
                <w:szCs w:val="20"/>
                <w:color w:val="auto"/>
              </w:rPr>
            </w:pPr>
            <w:r>
              <w:rPr>
                <w:rFonts w:ascii="Calibri" w:cs="Calibri" w:eastAsia="Calibri" w:hAnsi="Calibri"/>
                <w:sz w:val="17"/>
                <w:szCs w:val="17"/>
                <w:color w:val="auto"/>
              </w:rPr>
              <w:t>55 East 52</w:t>
            </w:r>
            <w:r>
              <w:rPr>
                <w:rFonts w:ascii="Calibri" w:cs="Calibri" w:eastAsia="Calibri" w:hAnsi="Calibri"/>
                <w:sz w:val="24"/>
                <w:szCs w:val="24"/>
                <w:color w:val="auto"/>
                <w:vertAlign w:val="superscript"/>
              </w:rPr>
              <w:t>nd</w:t>
            </w:r>
            <w:r>
              <w:rPr>
                <w:rFonts w:ascii="Calibri" w:cs="Calibri" w:eastAsia="Calibri" w:hAnsi="Calibri"/>
                <w:sz w:val="17"/>
                <w:szCs w:val="17"/>
                <w:color w:val="auto"/>
              </w:rPr>
              <w:t xml:space="preserve"> Street</w:t>
            </w:r>
          </w:p>
        </w:tc>
        <w:tc>
          <w:tcPr>
            <w:tcW w:w="16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5"/>
        </w:trPr>
        <w:tc>
          <w:tcPr>
            <w:tcW w:w="4700" w:type="dxa"/>
            <w:vAlign w:val="bottom"/>
          </w:tcPr>
          <w:p>
            <w:pPr>
              <w:ind w:left="80"/>
              <w:spacing w:after="0" w:line="215" w:lineRule="exact"/>
              <w:rPr>
                <w:sz w:val="20"/>
                <w:szCs w:val="20"/>
                <w:color w:val="auto"/>
              </w:rPr>
            </w:pPr>
            <w:r>
              <w:rPr>
                <w:rFonts w:ascii="Calibri" w:cs="Calibri" w:eastAsia="Calibri" w:hAnsi="Calibri"/>
                <w:sz w:val="18"/>
                <w:szCs w:val="18"/>
                <w:color w:val="auto"/>
              </w:rPr>
              <w:t>New York, NY 10055</w:t>
            </w:r>
          </w:p>
        </w:tc>
        <w:tc>
          <w:tcPr>
            <w:tcW w:w="16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
        </w:trPr>
        <w:tc>
          <w:tcPr>
            <w:tcW w:w="4700" w:type="dxa"/>
            <w:vAlign w:val="bottom"/>
            <w:tcBorders>
              <w:bottom w:val="single" w:sz="8" w:color="A6A6A6"/>
            </w:tcBorders>
          </w:tcPr>
          <w:p>
            <w:pPr>
              <w:spacing w:after="0"/>
              <w:rPr>
                <w:sz w:val="2"/>
                <w:szCs w:val="2"/>
                <w:color w:val="auto"/>
              </w:rPr>
            </w:pPr>
          </w:p>
        </w:tc>
        <w:tc>
          <w:tcPr>
            <w:tcW w:w="1600" w:type="dxa"/>
            <w:vAlign w:val="bottom"/>
            <w:tcBorders>
              <w:bottom w:val="single" w:sz="8" w:color="A6A6A6"/>
            </w:tcBorders>
          </w:tcPr>
          <w:p>
            <w:pPr>
              <w:spacing w:after="0"/>
              <w:rPr>
                <w:sz w:val="2"/>
                <w:szCs w:val="2"/>
                <w:color w:val="auto"/>
              </w:rPr>
            </w:pPr>
          </w:p>
        </w:tc>
        <w:tc>
          <w:tcPr>
            <w:tcW w:w="2280" w:type="dxa"/>
            <w:vAlign w:val="bottom"/>
            <w:tcBorders>
              <w:bottom w:val="single" w:sz="8" w:color="A6A6A6"/>
            </w:tcBorders>
          </w:tcPr>
          <w:p>
            <w:pPr>
              <w:spacing w:after="0"/>
              <w:rPr>
                <w:sz w:val="2"/>
                <w:szCs w:val="2"/>
                <w:color w:val="auto"/>
              </w:rPr>
            </w:pPr>
          </w:p>
        </w:tc>
      </w:tr>
      <w:tr>
        <w:trPr>
          <w:trHeight w:val="187"/>
        </w:trPr>
        <w:tc>
          <w:tcPr>
            <w:tcW w:w="4700" w:type="dxa"/>
            <w:vAlign w:val="bottom"/>
          </w:tcPr>
          <w:p>
            <w:pPr>
              <w:ind w:left="80"/>
              <w:spacing w:after="0" w:line="187" w:lineRule="exact"/>
              <w:rPr>
                <w:sz w:val="20"/>
                <w:szCs w:val="20"/>
                <w:color w:val="auto"/>
              </w:rPr>
            </w:pPr>
            <w:r>
              <w:rPr>
                <w:rFonts w:ascii="Calibri" w:cs="Calibri" w:eastAsia="Calibri" w:hAnsi="Calibri"/>
                <w:sz w:val="14"/>
                <w:szCs w:val="14"/>
                <w:color w:val="auto"/>
              </w:rPr>
              <w:t xml:space="preserve">The Vanguard Group, Inc. </w:t>
            </w:r>
            <w:r>
              <w:rPr>
                <w:rFonts w:ascii="Calibri" w:cs="Calibri" w:eastAsia="Calibri" w:hAnsi="Calibri"/>
                <w:sz w:val="20"/>
                <w:szCs w:val="20"/>
                <w:b w:val="1"/>
                <w:bCs w:val="1"/>
                <w:color w:val="AF0000"/>
                <w:vertAlign w:val="superscript"/>
              </w:rPr>
              <w:t>(1)</w:t>
            </w:r>
          </w:p>
        </w:tc>
        <w:tc>
          <w:tcPr>
            <w:tcW w:w="1600" w:type="dxa"/>
            <w:vAlign w:val="bottom"/>
          </w:tcPr>
          <w:p>
            <w:pPr>
              <w:jc w:val="right"/>
              <w:ind w:right="50"/>
              <w:spacing w:after="0" w:line="187" w:lineRule="exact"/>
              <w:rPr>
                <w:sz w:val="20"/>
                <w:szCs w:val="20"/>
                <w:color w:val="auto"/>
              </w:rPr>
            </w:pPr>
            <w:r>
              <w:rPr>
                <w:rFonts w:ascii="Calibri" w:cs="Calibri" w:eastAsia="Calibri" w:hAnsi="Calibri"/>
                <w:sz w:val="18"/>
                <w:szCs w:val="18"/>
                <w:color w:val="auto"/>
              </w:rPr>
              <w:t>6,884,723</w:t>
            </w:r>
          </w:p>
        </w:tc>
        <w:tc>
          <w:tcPr>
            <w:tcW w:w="2280" w:type="dxa"/>
            <w:vAlign w:val="bottom"/>
          </w:tcPr>
          <w:p>
            <w:pPr>
              <w:jc w:val="right"/>
              <w:ind w:right="10"/>
              <w:spacing w:after="0" w:line="187" w:lineRule="exact"/>
              <w:rPr>
                <w:sz w:val="20"/>
                <w:szCs w:val="20"/>
                <w:color w:val="auto"/>
              </w:rPr>
            </w:pPr>
            <w:r>
              <w:rPr>
                <w:rFonts w:ascii="Calibri" w:cs="Calibri" w:eastAsia="Calibri" w:hAnsi="Calibri"/>
                <w:sz w:val="18"/>
                <w:szCs w:val="18"/>
                <w:color w:val="auto"/>
              </w:rPr>
              <w:t>11.9%</w:t>
            </w:r>
          </w:p>
        </w:tc>
      </w:tr>
      <w:tr>
        <w:trPr>
          <w:trHeight w:val="215"/>
        </w:trPr>
        <w:tc>
          <w:tcPr>
            <w:tcW w:w="4700" w:type="dxa"/>
            <w:vAlign w:val="bottom"/>
          </w:tcPr>
          <w:p>
            <w:pPr>
              <w:ind w:left="80"/>
              <w:spacing w:after="0" w:line="215" w:lineRule="exact"/>
              <w:rPr>
                <w:sz w:val="20"/>
                <w:szCs w:val="20"/>
                <w:color w:val="auto"/>
              </w:rPr>
            </w:pPr>
            <w:r>
              <w:rPr>
                <w:rFonts w:ascii="Calibri" w:cs="Calibri" w:eastAsia="Calibri" w:hAnsi="Calibri"/>
                <w:sz w:val="18"/>
                <w:szCs w:val="18"/>
                <w:color w:val="auto"/>
              </w:rPr>
              <w:t>100 Vanguard Blvd.</w:t>
            </w:r>
          </w:p>
        </w:tc>
        <w:tc>
          <w:tcPr>
            <w:tcW w:w="16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700" w:type="dxa"/>
            <w:vAlign w:val="bottom"/>
          </w:tcPr>
          <w:p>
            <w:pPr>
              <w:ind w:left="80"/>
              <w:spacing w:after="0" w:line="216" w:lineRule="exact"/>
              <w:rPr>
                <w:sz w:val="20"/>
                <w:szCs w:val="20"/>
                <w:color w:val="auto"/>
              </w:rPr>
            </w:pPr>
            <w:r>
              <w:rPr>
                <w:rFonts w:ascii="Calibri" w:cs="Calibri" w:eastAsia="Calibri" w:hAnsi="Calibri"/>
                <w:sz w:val="18"/>
                <w:szCs w:val="18"/>
                <w:color w:val="auto"/>
              </w:rPr>
              <w:t>Malvern, PA 19355</w:t>
            </w:r>
          </w:p>
        </w:tc>
        <w:tc>
          <w:tcPr>
            <w:tcW w:w="16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
        </w:trPr>
        <w:tc>
          <w:tcPr>
            <w:tcW w:w="4700" w:type="dxa"/>
            <w:vAlign w:val="bottom"/>
            <w:tcBorders>
              <w:bottom w:val="single" w:sz="8" w:color="A6A6A6"/>
            </w:tcBorders>
          </w:tcPr>
          <w:p>
            <w:pPr>
              <w:spacing w:after="0"/>
              <w:rPr>
                <w:sz w:val="2"/>
                <w:szCs w:val="2"/>
                <w:color w:val="auto"/>
              </w:rPr>
            </w:pPr>
          </w:p>
        </w:tc>
        <w:tc>
          <w:tcPr>
            <w:tcW w:w="1600" w:type="dxa"/>
            <w:vAlign w:val="bottom"/>
            <w:tcBorders>
              <w:bottom w:val="single" w:sz="8" w:color="A6A6A6"/>
            </w:tcBorders>
          </w:tcPr>
          <w:p>
            <w:pPr>
              <w:spacing w:after="0"/>
              <w:rPr>
                <w:sz w:val="2"/>
                <w:szCs w:val="2"/>
                <w:color w:val="auto"/>
              </w:rPr>
            </w:pPr>
          </w:p>
        </w:tc>
        <w:tc>
          <w:tcPr>
            <w:tcW w:w="2280" w:type="dxa"/>
            <w:vAlign w:val="bottom"/>
            <w:tcBorders>
              <w:bottom w:val="single" w:sz="8" w:color="A6A6A6"/>
            </w:tcBorders>
          </w:tcPr>
          <w:p>
            <w:pPr>
              <w:spacing w:after="0"/>
              <w:rPr>
                <w:sz w:val="2"/>
                <w:szCs w:val="2"/>
                <w:color w:val="auto"/>
              </w:rPr>
            </w:pPr>
          </w:p>
        </w:tc>
      </w:tr>
      <w:tr>
        <w:trPr>
          <w:trHeight w:val="187"/>
        </w:trPr>
        <w:tc>
          <w:tcPr>
            <w:tcW w:w="4700" w:type="dxa"/>
            <w:vAlign w:val="bottom"/>
          </w:tcPr>
          <w:p>
            <w:pPr>
              <w:ind w:left="80"/>
              <w:spacing w:after="0" w:line="187" w:lineRule="exact"/>
              <w:rPr>
                <w:sz w:val="20"/>
                <w:szCs w:val="20"/>
                <w:color w:val="auto"/>
              </w:rPr>
            </w:pPr>
            <w:r>
              <w:rPr>
                <w:rFonts w:ascii="Calibri" w:cs="Calibri" w:eastAsia="Calibri" w:hAnsi="Calibri"/>
                <w:sz w:val="14"/>
                <w:szCs w:val="14"/>
                <w:color w:val="auto"/>
              </w:rPr>
              <w:t xml:space="preserve">William Blair Investment Management, LLC </w:t>
            </w:r>
            <w:r>
              <w:rPr>
                <w:rFonts w:ascii="Calibri" w:cs="Calibri" w:eastAsia="Calibri" w:hAnsi="Calibri"/>
                <w:sz w:val="20"/>
                <w:szCs w:val="20"/>
                <w:b w:val="1"/>
                <w:bCs w:val="1"/>
                <w:color w:val="AF0000"/>
                <w:vertAlign w:val="superscript"/>
              </w:rPr>
              <w:t>(1)</w:t>
            </w:r>
          </w:p>
        </w:tc>
        <w:tc>
          <w:tcPr>
            <w:tcW w:w="1600" w:type="dxa"/>
            <w:vAlign w:val="bottom"/>
          </w:tcPr>
          <w:p>
            <w:pPr>
              <w:jc w:val="right"/>
              <w:ind w:right="50"/>
              <w:spacing w:after="0" w:line="187" w:lineRule="exact"/>
              <w:rPr>
                <w:sz w:val="20"/>
                <w:szCs w:val="20"/>
                <w:color w:val="auto"/>
              </w:rPr>
            </w:pPr>
            <w:r>
              <w:rPr>
                <w:rFonts w:ascii="Calibri" w:cs="Calibri" w:eastAsia="Calibri" w:hAnsi="Calibri"/>
                <w:sz w:val="18"/>
                <w:szCs w:val="18"/>
                <w:color w:val="auto"/>
              </w:rPr>
              <w:t>3,791,089</w:t>
            </w:r>
          </w:p>
        </w:tc>
        <w:tc>
          <w:tcPr>
            <w:tcW w:w="2280" w:type="dxa"/>
            <w:vAlign w:val="bottom"/>
          </w:tcPr>
          <w:p>
            <w:pPr>
              <w:jc w:val="right"/>
              <w:ind w:right="10"/>
              <w:spacing w:after="0" w:line="187" w:lineRule="exact"/>
              <w:rPr>
                <w:sz w:val="20"/>
                <w:szCs w:val="20"/>
                <w:color w:val="auto"/>
              </w:rPr>
            </w:pPr>
            <w:r>
              <w:rPr>
                <w:rFonts w:ascii="Calibri" w:cs="Calibri" w:eastAsia="Calibri" w:hAnsi="Calibri"/>
                <w:sz w:val="18"/>
                <w:szCs w:val="18"/>
                <w:color w:val="auto"/>
              </w:rPr>
              <w:t>6.5%</w:t>
            </w:r>
          </w:p>
        </w:tc>
      </w:tr>
      <w:tr>
        <w:trPr>
          <w:trHeight w:val="215"/>
        </w:trPr>
        <w:tc>
          <w:tcPr>
            <w:tcW w:w="4700" w:type="dxa"/>
            <w:vAlign w:val="bottom"/>
          </w:tcPr>
          <w:p>
            <w:pPr>
              <w:ind w:left="80"/>
              <w:spacing w:after="0" w:line="215" w:lineRule="exact"/>
              <w:rPr>
                <w:sz w:val="20"/>
                <w:szCs w:val="20"/>
                <w:color w:val="auto"/>
              </w:rPr>
            </w:pPr>
            <w:r>
              <w:rPr>
                <w:rFonts w:ascii="Calibri" w:cs="Calibri" w:eastAsia="Calibri" w:hAnsi="Calibri"/>
                <w:sz w:val="18"/>
                <w:szCs w:val="18"/>
                <w:color w:val="auto"/>
              </w:rPr>
              <w:t>William Blair Building</w:t>
            </w:r>
          </w:p>
        </w:tc>
        <w:tc>
          <w:tcPr>
            <w:tcW w:w="16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4"/>
        </w:trPr>
        <w:tc>
          <w:tcPr>
            <w:tcW w:w="4700" w:type="dxa"/>
            <w:vAlign w:val="bottom"/>
          </w:tcPr>
          <w:p>
            <w:pPr>
              <w:ind w:left="80"/>
              <w:spacing w:after="0" w:line="204" w:lineRule="exact"/>
              <w:rPr>
                <w:sz w:val="20"/>
                <w:szCs w:val="20"/>
                <w:color w:val="auto"/>
              </w:rPr>
            </w:pPr>
            <w:r>
              <w:rPr>
                <w:rFonts w:ascii="Calibri" w:cs="Calibri" w:eastAsia="Calibri" w:hAnsi="Calibri"/>
                <w:sz w:val="18"/>
                <w:szCs w:val="18"/>
                <w:color w:val="auto"/>
              </w:rPr>
              <w:t>150 North Riverside Plaza</w:t>
            </w:r>
          </w:p>
        </w:tc>
        <w:tc>
          <w:tcPr>
            <w:tcW w:w="16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5"/>
        </w:trPr>
        <w:tc>
          <w:tcPr>
            <w:tcW w:w="4700" w:type="dxa"/>
            <w:vAlign w:val="bottom"/>
          </w:tcPr>
          <w:p>
            <w:pPr>
              <w:ind w:left="80"/>
              <w:spacing w:after="0" w:line="215" w:lineRule="exact"/>
              <w:rPr>
                <w:sz w:val="20"/>
                <w:szCs w:val="20"/>
                <w:color w:val="auto"/>
              </w:rPr>
            </w:pPr>
            <w:r>
              <w:rPr>
                <w:rFonts w:ascii="Calibri" w:cs="Calibri" w:eastAsia="Calibri" w:hAnsi="Calibri"/>
                <w:sz w:val="18"/>
                <w:szCs w:val="18"/>
                <w:color w:val="auto"/>
              </w:rPr>
              <w:t>Chicago, IL 60606</w:t>
            </w:r>
          </w:p>
        </w:tc>
        <w:tc>
          <w:tcPr>
            <w:tcW w:w="16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7"/>
        </w:trPr>
        <w:tc>
          <w:tcPr>
            <w:tcW w:w="4700" w:type="dxa"/>
            <w:vAlign w:val="bottom"/>
            <w:tcBorders>
              <w:bottom w:val="single" w:sz="8" w:color="A6A6A6"/>
            </w:tcBorders>
          </w:tcPr>
          <w:p>
            <w:pPr>
              <w:spacing w:after="0"/>
              <w:rPr>
                <w:sz w:val="3"/>
                <w:szCs w:val="3"/>
                <w:color w:val="auto"/>
              </w:rPr>
            </w:pPr>
          </w:p>
        </w:tc>
        <w:tc>
          <w:tcPr>
            <w:tcW w:w="1600" w:type="dxa"/>
            <w:vAlign w:val="bottom"/>
            <w:tcBorders>
              <w:bottom w:val="single" w:sz="8" w:color="A6A6A6"/>
            </w:tcBorders>
          </w:tcPr>
          <w:p>
            <w:pPr>
              <w:spacing w:after="0"/>
              <w:rPr>
                <w:sz w:val="3"/>
                <w:szCs w:val="3"/>
                <w:color w:val="auto"/>
              </w:rPr>
            </w:pPr>
          </w:p>
        </w:tc>
        <w:tc>
          <w:tcPr>
            <w:tcW w:w="2280" w:type="dxa"/>
            <w:vAlign w:val="bottom"/>
            <w:tcBorders>
              <w:bottom w:val="single" w:sz="8" w:color="A6A6A6"/>
            </w:tcBorders>
          </w:tcPr>
          <w:p>
            <w:pPr>
              <w:spacing w:after="0"/>
              <w:rPr>
                <w:sz w:val="3"/>
                <w:szCs w:val="3"/>
                <w:color w:val="auto"/>
              </w:rPr>
            </w:pPr>
          </w:p>
        </w:tc>
      </w:tr>
      <w:tr>
        <w:trPr>
          <w:trHeight w:val="210"/>
        </w:trPr>
        <w:tc>
          <w:tcPr>
            <w:tcW w:w="4700" w:type="dxa"/>
            <w:vAlign w:val="bottom"/>
            <w:tcBorders>
              <w:bottom w:val="single" w:sz="8" w:color="A6A6A6"/>
            </w:tcBorders>
          </w:tcPr>
          <w:p>
            <w:pPr>
              <w:spacing w:after="0"/>
              <w:rPr>
                <w:sz w:val="18"/>
                <w:szCs w:val="18"/>
                <w:color w:val="auto"/>
              </w:rPr>
            </w:pPr>
          </w:p>
        </w:tc>
        <w:tc>
          <w:tcPr>
            <w:tcW w:w="1600" w:type="dxa"/>
            <w:vAlign w:val="bottom"/>
            <w:tcBorders>
              <w:bottom w:val="single" w:sz="8" w:color="A6A6A6"/>
            </w:tcBorders>
          </w:tcPr>
          <w:p>
            <w:pPr>
              <w:spacing w:after="0"/>
              <w:rPr>
                <w:sz w:val="18"/>
                <w:szCs w:val="18"/>
                <w:color w:val="auto"/>
              </w:rPr>
            </w:pPr>
          </w:p>
        </w:tc>
        <w:tc>
          <w:tcPr>
            <w:tcW w:w="2280" w:type="dxa"/>
            <w:vAlign w:val="bottom"/>
            <w:tcBorders>
              <w:bottom w:val="single" w:sz="8" w:color="A6A6A6"/>
            </w:tcBorders>
          </w:tcPr>
          <w:p>
            <w:pPr>
              <w:spacing w:after="0"/>
              <w:rPr>
                <w:sz w:val="18"/>
                <w:szCs w:val="18"/>
                <w:color w:val="auto"/>
              </w:rPr>
            </w:pPr>
          </w:p>
        </w:tc>
      </w:tr>
      <w:tr>
        <w:trPr>
          <w:trHeight w:val="209"/>
        </w:trPr>
        <w:tc>
          <w:tcPr>
            <w:tcW w:w="470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b w:val="1"/>
                <w:bCs w:val="1"/>
                <w:color w:val="auto"/>
              </w:rPr>
              <w:t>Ofcers, Directors and Nominees</w:t>
            </w:r>
          </w:p>
        </w:tc>
        <w:tc>
          <w:tcPr>
            <w:tcW w:w="1600" w:type="dxa"/>
            <w:vAlign w:val="bottom"/>
            <w:tcBorders>
              <w:bottom w:val="single" w:sz="8" w:color="A6A6A6"/>
            </w:tcBorders>
          </w:tcPr>
          <w:p>
            <w:pPr>
              <w:spacing w:after="0"/>
              <w:rPr>
                <w:sz w:val="18"/>
                <w:szCs w:val="18"/>
                <w:color w:val="auto"/>
              </w:rPr>
            </w:pPr>
          </w:p>
        </w:tc>
        <w:tc>
          <w:tcPr>
            <w:tcW w:w="2280" w:type="dxa"/>
            <w:vAlign w:val="bottom"/>
            <w:tcBorders>
              <w:bottom w:val="single" w:sz="8" w:color="A6A6A6"/>
            </w:tcBorders>
          </w:tcPr>
          <w:p>
            <w:pPr>
              <w:spacing w:after="0"/>
              <w:rPr>
                <w:sz w:val="18"/>
                <w:szCs w:val="18"/>
                <w:color w:val="auto"/>
              </w:rPr>
            </w:pPr>
          </w:p>
        </w:tc>
      </w:tr>
      <w:tr>
        <w:trPr>
          <w:trHeight w:val="210"/>
        </w:trPr>
        <w:tc>
          <w:tcPr>
            <w:tcW w:w="4700" w:type="dxa"/>
            <w:vAlign w:val="bottom"/>
            <w:tcBorders>
              <w:bottom w:val="single" w:sz="8" w:color="A6A6A6"/>
            </w:tcBorders>
          </w:tcPr>
          <w:p>
            <w:pPr>
              <w:ind w:left="80"/>
              <w:spacing w:after="0" w:line="210" w:lineRule="exact"/>
              <w:rPr>
                <w:sz w:val="20"/>
                <w:szCs w:val="20"/>
                <w:color w:val="auto"/>
              </w:rPr>
            </w:pPr>
            <w:r>
              <w:rPr>
                <w:rFonts w:ascii="Calibri" w:cs="Calibri" w:eastAsia="Calibri" w:hAnsi="Calibri"/>
                <w:sz w:val="16"/>
                <w:szCs w:val="16"/>
                <w:color w:val="auto"/>
              </w:rPr>
              <w:t xml:space="preserve">Fred P. Lampropoulos </w:t>
            </w:r>
            <w:r>
              <w:rPr>
                <w:rFonts w:ascii="Calibri" w:cs="Calibri" w:eastAsia="Calibri" w:hAnsi="Calibri"/>
                <w:sz w:val="22"/>
                <w:szCs w:val="22"/>
                <w:b w:val="1"/>
                <w:bCs w:val="1"/>
                <w:color w:val="AF0000"/>
                <w:vertAlign w:val="superscript"/>
              </w:rPr>
              <w:t>(2) (3)</w:t>
            </w:r>
          </w:p>
        </w:tc>
        <w:tc>
          <w:tcPr>
            <w:tcW w:w="1600" w:type="dxa"/>
            <w:vAlign w:val="bottom"/>
            <w:tcBorders>
              <w:bottom w:val="single" w:sz="8" w:color="A6A6A6"/>
            </w:tcBorders>
          </w:tcPr>
          <w:p>
            <w:pPr>
              <w:jc w:val="right"/>
              <w:ind w:right="50"/>
              <w:spacing w:after="0" w:line="210" w:lineRule="exact"/>
              <w:rPr>
                <w:sz w:val="20"/>
                <w:szCs w:val="20"/>
                <w:color w:val="auto"/>
              </w:rPr>
            </w:pPr>
            <w:r>
              <w:rPr>
                <w:rFonts w:ascii="Calibri" w:cs="Calibri" w:eastAsia="Calibri" w:hAnsi="Calibri"/>
                <w:sz w:val="18"/>
                <w:szCs w:val="18"/>
                <w:color w:val="auto"/>
              </w:rPr>
              <w:t>1,553,525</w:t>
            </w:r>
          </w:p>
        </w:tc>
        <w:tc>
          <w:tcPr>
            <w:tcW w:w="2280" w:type="dxa"/>
            <w:vAlign w:val="bottom"/>
            <w:tcBorders>
              <w:bottom w:val="single" w:sz="8" w:color="A6A6A6"/>
            </w:tcBorders>
          </w:tcPr>
          <w:p>
            <w:pPr>
              <w:jc w:val="right"/>
              <w:ind w:right="10"/>
              <w:spacing w:after="0" w:line="210" w:lineRule="exact"/>
              <w:rPr>
                <w:sz w:val="20"/>
                <w:szCs w:val="20"/>
                <w:color w:val="auto"/>
              </w:rPr>
            </w:pPr>
            <w:r>
              <w:rPr>
                <w:rFonts w:ascii="Calibri" w:cs="Calibri" w:eastAsia="Calibri" w:hAnsi="Calibri"/>
                <w:sz w:val="18"/>
                <w:szCs w:val="18"/>
                <w:color w:val="auto"/>
              </w:rPr>
              <w:t>2.7%</w:t>
            </w:r>
          </w:p>
        </w:tc>
      </w:tr>
      <w:tr>
        <w:trPr>
          <w:trHeight w:val="209"/>
        </w:trPr>
        <w:tc>
          <w:tcPr>
            <w:tcW w:w="4700" w:type="dxa"/>
            <w:vAlign w:val="bottom"/>
            <w:tcBorders>
              <w:bottom w:val="single" w:sz="8" w:color="A6A6A6"/>
            </w:tcBorders>
          </w:tcPr>
          <w:p>
            <w:pPr>
              <w:ind w:left="80"/>
              <w:spacing w:after="0" w:line="210" w:lineRule="exact"/>
              <w:rPr>
                <w:sz w:val="20"/>
                <w:szCs w:val="20"/>
                <w:color w:val="auto"/>
              </w:rPr>
            </w:pPr>
            <w:r>
              <w:rPr>
                <w:rFonts w:ascii="Calibri" w:cs="Calibri" w:eastAsia="Calibri" w:hAnsi="Calibri"/>
                <w:sz w:val="16"/>
                <w:szCs w:val="16"/>
                <w:color w:val="auto"/>
              </w:rPr>
              <w:t xml:space="preserve">Joseph C. Wright </w:t>
            </w:r>
            <w:r>
              <w:rPr>
                <w:rFonts w:ascii="Calibri" w:cs="Calibri" w:eastAsia="Calibri" w:hAnsi="Calibri"/>
                <w:sz w:val="22"/>
                <w:szCs w:val="22"/>
                <w:b w:val="1"/>
                <w:bCs w:val="1"/>
                <w:color w:val="AF0000"/>
                <w:vertAlign w:val="superscript"/>
              </w:rPr>
              <w:t>(3)</w:t>
            </w:r>
          </w:p>
        </w:tc>
        <w:tc>
          <w:tcPr>
            <w:tcW w:w="1600" w:type="dxa"/>
            <w:vAlign w:val="bottom"/>
            <w:tcBorders>
              <w:bottom w:val="single" w:sz="8" w:color="A6A6A6"/>
            </w:tcBorders>
          </w:tcPr>
          <w:p>
            <w:pPr>
              <w:jc w:val="right"/>
              <w:ind w:right="50"/>
              <w:spacing w:after="0" w:line="209" w:lineRule="exact"/>
              <w:rPr>
                <w:sz w:val="20"/>
                <w:szCs w:val="20"/>
                <w:color w:val="auto"/>
              </w:rPr>
            </w:pPr>
            <w:r>
              <w:rPr>
                <w:rFonts w:ascii="Calibri" w:cs="Calibri" w:eastAsia="Calibri" w:hAnsi="Calibri"/>
                <w:sz w:val="18"/>
                <w:szCs w:val="18"/>
                <w:color w:val="auto"/>
              </w:rPr>
              <w:t>134,648</w:t>
            </w:r>
          </w:p>
        </w:tc>
        <w:tc>
          <w:tcPr>
            <w:tcW w:w="2280" w:type="dxa"/>
            <w:vAlign w:val="bottom"/>
            <w:tcBorders>
              <w:bottom w:val="single" w:sz="8" w:color="A6A6A6"/>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r>
      <w:tr>
        <w:trPr>
          <w:trHeight w:val="210"/>
        </w:trPr>
        <w:tc>
          <w:tcPr>
            <w:tcW w:w="4700" w:type="dxa"/>
            <w:vAlign w:val="bottom"/>
            <w:tcBorders>
              <w:bottom w:val="single" w:sz="8" w:color="A6A6A6"/>
            </w:tcBorders>
          </w:tcPr>
          <w:p>
            <w:pPr>
              <w:ind w:left="80"/>
              <w:spacing w:after="0" w:line="210" w:lineRule="exact"/>
              <w:rPr>
                <w:sz w:val="20"/>
                <w:szCs w:val="20"/>
                <w:color w:val="auto"/>
              </w:rPr>
            </w:pPr>
            <w:r>
              <w:rPr>
                <w:rFonts w:ascii="Calibri" w:cs="Calibri" w:eastAsia="Calibri" w:hAnsi="Calibri"/>
                <w:sz w:val="16"/>
                <w:szCs w:val="16"/>
                <w:color w:val="auto"/>
              </w:rPr>
              <w:t xml:space="preserve">Brian G. Lloyd </w:t>
            </w:r>
            <w:r>
              <w:rPr>
                <w:rFonts w:ascii="Calibri" w:cs="Calibri" w:eastAsia="Calibri" w:hAnsi="Calibri"/>
                <w:sz w:val="22"/>
                <w:szCs w:val="22"/>
                <w:b w:val="1"/>
                <w:bCs w:val="1"/>
                <w:color w:val="AF0000"/>
                <w:vertAlign w:val="superscript"/>
              </w:rPr>
              <w:t>(3)</w:t>
            </w:r>
          </w:p>
        </w:tc>
        <w:tc>
          <w:tcPr>
            <w:tcW w:w="1600" w:type="dxa"/>
            <w:vAlign w:val="bottom"/>
            <w:tcBorders>
              <w:bottom w:val="single" w:sz="8" w:color="A6A6A6"/>
            </w:tcBorders>
          </w:tcPr>
          <w:p>
            <w:pPr>
              <w:jc w:val="right"/>
              <w:ind w:right="50"/>
              <w:spacing w:after="0" w:line="209" w:lineRule="exact"/>
              <w:rPr>
                <w:sz w:val="20"/>
                <w:szCs w:val="20"/>
                <w:color w:val="auto"/>
              </w:rPr>
            </w:pPr>
            <w:r>
              <w:rPr>
                <w:rFonts w:ascii="Calibri" w:cs="Calibri" w:eastAsia="Calibri" w:hAnsi="Calibri"/>
                <w:sz w:val="18"/>
                <w:szCs w:val="18"/>
                <w:color w:val="auto"/>
              </w:rPr>
              <w:t>111,027</w:t>
            </w:r>
          </w:p>
        </w:tc>
        <w:tc>
          <w:tcPr>
            <w:tcW w:w="2280" w:type="dxa"/>
            <w:vAlign w:val="bottom"/>
            <w:tcBorders>
              <w:bottom w:val="single" w:sz="8" w:color="A6A6A6"/>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r>
      <w:tr>
        <w:trPr>
          <w:trHeight w:val="210"/>
        </w:trPr>
        <w:tc>
          <w:tcPr>
            <w:tcW w:w="4700" w:type="dxa"/>
            <w:vAlign w:val="bottom"/>
            <w:tcBorders>
              <w:bottom w:val="single" w:sz="8" w:color="A6A6A6"/>
            </w:tcBorders>
          </w:tcPr>
          <w:p>
            <w:pPr>
              <w:ind w:left="80"/>
              <w:spacing w:after="0" w:line="210" w:lineRule="exact"/>
              <w:rPr>
                <w:sz w:val="20"/>
                <w:szCs w:val="20"/>
                <w:color w:val="auto"/>
              </w:rPr>
            </w:pPr>
            <w:r>
              <w:rPr>
                <w:rFonts w:ascii="Calibri" w:cs="Calibri" w:eastAsia="Calibri" w:hAnsi="Calibri"/>
                <w:sz w:val="16"/>
                <w:szCs w:val="16"/>
                <w:color w:val="auto"/>
              </w:rPr>
              <w:t xml:space="preserve">Raul Parra </w:t>
            </w:r>
            <w:r>
              <w:rPr>
                <w:rFonts w:ascii="Calibri" w:cs="Calibri" w:eastAsia="Calibri" w:hAnsi="Calibri"/>
                <w:sz w:val="22"/>
                <w:szCs w:val="22"/>
                <w:b w:val="1"/>
                <w:bCs w:val="1"/>
                <w:color w:val="AF0000"/>
                <w:vertAlign w:val="superscript"/>
              </w:rPr>
              <w:t>(2) (3)</w:t>
            </w:r>
          </w:p>
        </w:tc>
        <w:tc>
          <w:tcPr>
            <w:tcW w:w="1600" w:type="dxa"/>
            <w:vAlign w:val="bottom"/>
            <w:tcBorders>
              <w:bottom w:val="single" w:sz="8" w:color="A6A6A6"/>
            </w:tcBorders>
          </w:tcPr>
          <w:p>
            <w:pPr>
              <w:jc w:val="right"/>
              <w:ind w:right="50"/>
              <w:spacing w:after="0" w:line="209" w:lineRule="exact"/>
              <w:rPr>
                <w:sz w:val="20"/>
                <w:szCs w:val="20"/>
                <w:color w:val="auto"/>
              </w:rPr>
            </w:pPr>
            <w:r>
              <w:rPr>
                <w:rFonts w:ascii="Calibri" w:cs="Calibri" w:eastAsia="Calibri" w:hAnsi="Calibri"/>
                <w:sz w:val="18"/>
                <w:szCs w:val="18"/>
                <w:color w:val="auto"/>
              </w:rPr>
              <w:t>77,440</w:t>
            </w:r>
          </w:p>
        </w:tc>
        <w:tc>
          <w:tcPr>
            <w:tcW w:w="2280" w:type="dxa"/>
            <w:vAlign w:val="bottom"/>
            <w:tcBorders>
              <w:bottom w:val="single" w:sz="8" w:color="A6A6A6"/>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r>
      <w:tr>
        <w:trPr>
          <w:trHeight w:val="210"/>
        </w:trPr>
        <w:tc>
          <w:tcPr>
            <w:tcW w:w="4700" w:type="dxa"/>
            <w:vAlign w:val="bottom"/>
            <w:tcBorders>
              <w:bottom w:val="single" w:sz="8" w:color="A6A6A6"/>
            </w:tcBorders>
          </w:tcPr>
          <w:p>
            <w:pPr>
              <w:ind w:left="80"/>
              <w:spacing w:after="0" w:line="210" w:lineRule="exact"/>
              <w:rPr>
                <w:sz w:val="20"/>
                <w:szCs w:val="20"/>
                <w:color w:val="auto"/>
              </w:rPr>
            </w:pPr>
            <w:r>
              <w:rPr>
                <w:rFonts w:ascii="Calibri" w:cs="Calibri" w:eastAsia="Calibri" w:hAnsi="Calibri"/>
                <w:sz w:val="16"/>
                <w:szCs w:val="16"/>
                <w:color w:val="auto"/>
              </w:rPr>
              <w:t xml:space="preserve">Neil W. Peterson </w:t>
            </w:r>
            <w:r>
              <w:rPr>
                <w:rFonts w:ascii="Calibri" w:cs="Calibri" w:eastAsia="Calibri" w:hAnsi="Calibri"/>
                <w:sz w:val="22"/>
                <w:szCs w:val="22"/>
                <w:b w:val="1"/>
                <w:bCs w:val="1"/>
                <w:color w:val="AF0000"/>
                <w:vertAlign w:val="superscript"/>
              </w:rPr>
              <w:t>(3)</w:t>
            </w:r>
          </w:p>
        </w:tc>
        <w:tc>
          <w:tcPr>
            <w:tcW w:w="1600" w:type="dxa"/>
            <w:vAlign w:val="bottom"/>
            <w:tcBorders>
              <w:bottom w:val="single" w:sz="8" w:color="A6A6A6"/>
            </w:tcBorders>
          </w:tcPr>
          <w:p>
            <w:pPr>
              <w:jc w:val="right"/>
              <w:ind w:right="50"/>
              <w:spacing w:after="0" w:line="209" w:lineRule="exact"/>
              <w:rPr>
                <w:sz w:val="20"/>
                <w:szCs w:val="20"/>
                <w:color w:val="auto"/>
              </w:rPr>
            </w:pPr>
            <w:r>
              <w:rPr>
                <w:rFonts w:ascii="Calibri" w:cs="Calibri" w:eastAsia="Calibri" w:hAnsi="Calibri"/>
                <w:sz w:val="18"/>
                <w:szCs w:val="18"/>
                <w:color w:val="auto"/>
              </w:rPr>
              <w:t>58,213</w:t>
            </w:r>
          </w:p>
        </w:tc>
        <w:tc>
          <w:tcPr>
            <w:tcW w:w="2280" w:type="dxa"/>
            <w:vAlign w:val="bottom"/>
            <w:tcBorders>
              <w:bottom w:val="single" w:sz="8" w:color="A6A6A6"/>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r>
      <w:tr>
        <w:trPr>
          <w:trHeight w:val="209"/>
        </w:trPr>
        <w:tc>
          <w:tcPr>
            <w:tcW w:w="4700" w:type="dxa"/>
            <w:vAlign w:val="bottom"/>
            <w:tcBorders>
              <w:bottom w:val="single" w:sz="8" w:color="A6A6A6"/>
            </w:tcBorders>
          </w:tcPr>
          <w:p>
            <w:pPr>
              <w:ind w:left="80"/>
              <w:spacing w:after="0" w:line="210" w:lineRule="exact"/>
              <w:rPr>
                <w:sz w:val="20"/>
                <w:szCs w:val="20"/>
                <w:color w:val="auto"/>
              </w:rPr>
            </w:pPr>
            <w:r>
              <w:rPr>
                <w:rFonts w:ascii="Calibri" w:cs="Calibri" w:eastAsia="Calibri" w:hAnsi="Calibri"/>
                <w:sz w:val="16"/>
                <w:szCs w:val="16"/>
                <w:color w:val="auto"/>
              </w:rPr>
              <w:t xml:space="preserve">F. Ann Millner, Ed.D. </w:t>
            </w:r>
            <w:r>
              <w:rPr>
                <w:rFonts w:ascii="Calibri" w:cs="Calibri" w:eastAsia="Calibri" w:hAnsi="Calibri"/>
                <w:sz w:val="22"/>
                <w:szCs w:val="22"/>
                <w:b w:val="1"/>
                <w:bCs w:val="1"/>
                <w:color w:val="AF0000"/>
                <w:vertAlign w:val="superscript"/>
              </w:rPr>
              <w:t>(3)</w:t>
            </w:r>
          </w:p>
        </w:tc>
        <w:tc>
          <w:tcPr>
            <w:tcW w:w="1600" w:type="dxa"/>
            <w:vAlign w:val="bottom"/>
            <w:tcBorders>
              <w:bottom w:val="single" w:sz="8" w:color="A6A6A6"/>
            </w:tcBorders>
          </w:tcPr>
          <w:p>
            <w:pPr>
              <w:jc w:val="right"/>
              <w:ind w:right="50"/>
              <w:spacing w:after="0" w:line="209" w:lineRule="exact"/>
              <w:rPr>
                <w:sz w:val="20"/>
                <w:szCs w:val="20"/>
                <w:color w:val="auto"/>
              </w:rPr>
            </w:pPr>
            <w:r>
              <w:rPr>
                <w:rFonts w:ascii="Calibri" w:cs="Calibri" w:eastAsia="Calibri" w:hAnsi="Calibri"/>
                <w:sz w:val="18"/>
                <w:szCs w:val="18"/>
                <w:color w:val="auto"/>
              </w:rPr>
              <w:t>73,948</w:t>
            </w:r>
          </w:p>
        </w:tc>
        <w:tc>
          <w:tcPr>
            <w:tcW w:w="2280" w:type="dxa"/>
            <w:vAlign w:val="bottom"/>
            <w:tcBorders>
              <w:bottom w:val="single" w:sz="8" w:color="A6A6A6"/>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r>
      <w:tr>
        <w:trPr>
          <w:trHeight w:val="210"/>
        </w:trPr>
        <w:tc>
          <w:tcPr>
            <w:tcW w:w="4700" w:type="dxa"/>
            <w:vAlign w:val="bottom"/>
            <w:tcBorders>
              <w:bottom w:val="single" w:sz="8" w:color="A6A6A6"/>
            </w:tcBorders>
          </w:tcPr>
          <w:p>
            <w:pPr>
              <w:ind w:left="80"/>
              <w:spacing w:after="0" w:line="210" w:lineRule="exact"/>
              <w:rPr>
                <w:sz w:val="20"/>
                <w:szCs w:val="20"/>
                <w:color w:val="auto"/>
              </w:rPr>
            </w:pPr>
            <w:r>
              <w:rPr>
                <w:rFonts w:ascii="Calibri" w:cs="Calibri" w:eastAsia="Calibri" w:hAnsi="Calibri"/>
                <w:sz w:val="16"/>
                <w:szCs w:val="16"/>
                <w:color w:val="auto"/>
              </w:rPr>
              <w:t xml:space="preserve">A. Scot Anderson </w:t>
            </w:r>
            <w:r>
              <w:rPr>
                <w:rFonts w:ascii="Calibri" w:cs="Calibri" w:eastAsia="Calibri" w:hAnsi="Calibri"/>
                <w:sz w:val="22"/>
                <w:szCs w:val="22"/>
                <w:b w:val="1"/>
                <w:bCs w:val="1"/>
                <w:color w:val="AF0000"/>
                <w:vertAlign w:val="superscript"/>
              </w:rPr>
              <w:t>(3)</w:t>
            </w:r>
          </w:p>
        </w:tc>
        <w:tc>
          <w:tcPr>
            <w:tcW w:w="1600" w:type="dxa"/>
            <w:vAlign w:val="bottom"/>
            <w:tcBorders>
              <w:bottom w:val="single" w:sz="8" w:color="A6A6A6"/>
            </w:tcBorders>
          </w:tcPr>
          <w:p>
            <w:pPr>
              <w:jc w:val="right"/>
              <w:ind w:right="50"/>
              <w:spacing w:after="0" w:line="209" w:lineRule="exact"/>
              <w:rPr>
                <w:sz w:val="20"/>
                <w:szCs w:val="20"/>
                <w:color w:val="auto"/>
              </w:rPr>
            </w:pPr>
            <w:r>
              <w:rPr>
                <w:rFonts w:ascii="Calibri" w:cs="Calibri" w:eastAsia="Calibri" w:hAnsi="Calibri"/>
                <w:sz w:val="18"/>
                <w:szCs w:val="18"/>
                <w:color w:val="auto"/>
              </w:rPr>
              <w:t>65,385</w:t>
            </w:r>
          </w:p>
        </w:tc>
        <w:tc>
          <w:tcPr>
            <w:tcW w:w="2280" w:type="dxa"/>
            <w:vAlign w:val="bottom"/>
            <w:tcBorders>
              <w:bottom w:val="single" w:sz="8" w:color="A6A6A6"/>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r>
      <w:tr>
        <w:trPr>
          <w:trHeight w:val="210"/>
        </w:trPr>
        <w:tc>
          <w:tcPr>
            <w:tcW w:w="4700" w:type="dxa"/>
            <w:vAlign w:val="bottom"/>
            <w:tcBorders>
              <w:bottom w:val="single" w:sz="8" w:color="A6A6A6"/>
            </w:tcBorders>
          </w:tcPr>
          <w:p>
            <w:pPr>
              <w:ind w:left="80"/>
              <w:spacing w:after="0" w:line="210" w:lineRule="exact"/>
              <w:rPr>
                <w:sz w:val="20"/>
                <w:szCs w:val="20"/>
                <w:color w:val="auto"/>
              </w:rPr>
            </w:pPr>
            <w:r>
              <w:rPr>
                <w:rFonts w:ascii="Calibri" w:cs="Calibri" w:eastAsia="Calibri" w:hAnsi="Calibri"/>
                <w:sz w:val="16"/>
                <w:szCs w:val="16"/>
                <w:color w:val="auto"/>
              </w:rPr>
              <w:t xml:space="preserve">Thomas J. Gunderson </w:t>
            </w:r>
            <w:r>
              <w:rPr>
                <w:rFonts w:ascii="Calibri" w:cs="Calibri" w:eastAsia="Calibri" w:hAnsi="Calibri"/>
                <w:sz w:val="22"/>
                <w:szCs w:val="22"/>
                <w:b w:val="1"/>
                <w:bCs w:val="1"/>
                <w:color w:val="AF0000"/>
                <w:vertAlign w:val="superscript"/>
              </w:rPr>
              <w:t>(3)</w:t>
            </w:r>
          </w:p>
        </w:tc>
        <w:tc>
          <w:tcPr>
            <w:tcW w:w="1600" w:type="dxa"/>
            <w:vAlign w:val="bottom"/>
            <w:tcBorders>
              <w:bottom w:val="single" w:sz="8" w:color="A6A6A6"/>
            </w:tcBorders>
          </w:tcPr>
          <w:p>
            <w:pPr>
              <w:jc w:val="right"/>
              <w:ind w:right="50"/>
              <w:spacing w:after="0" w:line="209" w:lineRule="exact"/>
              <w:rPr>
                <w:sz w:val="20"/>
                <w:szCs w:val="20"/>
                <w:color w:val="auto"/>
              </w:rPr>
            </w:pPr>
            <w:r>
              <w:rPr>
                <w:rFonts w:ascii="Calibri" w:cs="Calibri" w:eastAsia="Calibri" w:hAnsi="Calibri"/>
                <w:sz w:val="18"/>
                <w:szCs w:val="18"/>
                <w:color w:val="auto"/>
              </w:rPr>
              <w:t>63,245</w:t>
            </w:r>
          </w:p>
        </w:tc>
        <w:tc>
          <w:tcPr>
            <w:tcW w:w="2280" w:type="dxa"/>
            <w:vAlign w:val="bottom"/>
            <w:tcBorders>
              <w:bottom w:val="single" w:sz="8" w:color="A6A6A6"/>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r>
      <w:tr>
        <w:trPr>
          <w:trHeight w:val="209"/>
        </w:trPr>
        <w:tc>
          <w:tcPr>
            <w:tcW w:w="470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David K. Floyd</w:t>
            </w:r>
          </w:p>
        </w:tc>
        <w:tc>
          <w:tcPr>
            <w:tcW w:w="1600" w:type="dxa"/>
            <w:vAlign w:val="bottom"/>
            <w:tcBorders>
              <w:bottom w:val="single" w:sz="8" w:color="A6A6A6"/>
            </w:tcBorders>
          </w:tcPr>
          <w:p>
            <w:pPr>
              <w:jc w:val="right"/>
              <w:ind w:right="50"/>
              <w:spacing w:after="0" w:line="209" w:lineRule="exact"/>
              <w:rPr>
                <w:sz w:val="20"/>
                <w:szCs w:val="20"/>
                <w:color w:val="auto"/>
              </w:rPr>
            </w:pPr>
            <w:r>
              <w:rPr>
                <w:rFonts w:ascii="Calibri" w:cs="Calibri" w:eastAsia="Calibri" w:hAnsi="Calibri"/>
                <w:sz w:val="18"/>
                <w:szCs w:val="18"/>
                <w:color w:val="auto"/>
              </w:rPr>
              <w:t>11,736</w:t>
            </w:r>
          </w:p>
        </w:tc>
        <w:tc>
          <w:tcPr>
            <w:tcW w:w="2280" w:type="dxa"/>
            <w:vAlign w:val="bottom"/>
            <w:tcBorders>
              <w:bottom w:val="single" w:sz="8" w:color="A6A6A6"/>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r>
      <w:tr>
        <w:trPr>
          <w:trHeight w:val="210"/>
        </w:trPr>
        <w:tc>
          <w:tcPr>
            <w:tcW w:w="4700" w:type="dxa"/>
            <w:vAlign w:val="bottom"/>
            <w:tcBorders>
              <w:bottom w:val="single" w:sz="8" w:color="A6A6A6"/>
            </w:tcBorders>
          </w:tcPr>
          <w:p>
            <w:pPr>
              <w:ind w:left="80"/>
              <w:spacing w:after="0" w:line="210" w:lineRule="exact"/>
              <w:rPr>
                <w:sz w:val="20"/>
                <w:szCs w:val="20"/>
                <w:color w:val="auto"/>
              </w:rPr>
            </w:pPr>
            <w:r>
              <w:rPr>
                <w:rFonts w:ascii="Calibri" w:cs="Calibri" w:eastAsia="Calibri" w:hAnsi="Calibri"/>
                <w:sz w:val="16"/>
                <w:szCs w:val="16"/>
                <w:color w:val="auto"/>
              </w:rPr>
              <w:t xml:space="preserve">Lynne N. Ward </w:t>
            </w:r>
            <w:r>
              <w:rPr>
                <w:rFonts w:ascii="Calibri" w:cs="Calibri" w:eastAsia="Calibri" w:hAnsi="Calibri"/>
                <w:sz w:val="22"/>
                <w:szCs w:val="22"/>
                <w:b w:val="1"/>
                <w:bCs w:val="1"/>
                <w:color w:val="AF0000"/>
                <w:vertAlign w:val="superscript"/>
              </w:rPr>
              <w:t>(3)</w:t>
            </w:r>
          </w:p>
        </w:tc>
        <w:tc>
          <w:tcPr>
            <w:tcW w:w="1600" w:type="dxa"/>
            <w:vAlign w:val="bottom"/>
            <w:tcBorders>
              <w:bottom w:val="single" w:sz="8" w:color="A6A6A6"/>
            </w:tcBorders>
          </w:tcPr>
          <w:p>
            <w:pPr>
              <w:jc w:val="right"/>
              <w:ind w:right="50"/>
              <w:spacing w:after="0" w:line="210" w:lineRule="exact"/>
              <w:rPr>
                <w:sz w:val="20"/>
                <w:szCs w:val="20"/>
                <w:color w:val="auto"/>
              </w:rPr>
            </w:pPr>
            <w:r>
              <w:rPr>
                <w:rFonts w:ascii="Calibri" w:cs="Calibri" w:eastAsia="Calibri" w:hAnsi="Calibri"/>
                <w:sz w:val="18"/>
                <w:szCs w:val="18"/>
                <w:color w:val="auto"/>
              </w:rPr>
              <w:t>11,397</w:t>
            </w:r>
          </w:p>
        </w:tc>
        <w:tc>
          <w:tcPr>
            <w:tcW w:w="2280" w:type="dxa"/>
            <w:vAlign w:val="bottom"/>
            <w:tcBorders>
              <w:bottom w:val="single" w:sz="8" w:color="A6A6A6"/>
            </w:tcBorders>
          </w:tcPr>
          <w:p>
            <w:pPr>
              <w:jc w:val="right"/>
              <w:ind w:right="10"/>
              <w:spacing w:after="0" w:line="210" w:lineRule="exact"/>
              <w:rPr>
                <w:sz w:val="20"/>
                <w:szCs w:val="20"/>
                <w:color w:val="auto"/>
              </w:rPr>
            </w:pPr>
            <w:r>
              <w:rPr>
                <w:rFonts w:ascii="Calibri" w:cs="Calibri" w:eastAsia="Calibri" w:hAnsi="Calibri"/>
                <w:sz w:val="18"/>
                <w:szCs w:val="18"/>
                <w:color w:val="auto"/>
              </w:rPr>
              <w:t>*</w:t>
            </w:r>
          </w:p>
        </w:tc>
      </w:tr>
      <w:tr>
        <w:trPr>
          <w:trHeight w:val="209"/>
        </w:trPr>
        <w:tc>
          <w:tcPr>
            <w:tcW w:w="470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Lonny J. Carpenter</w:t>
            </w:r>
          </w:p>
        </w:tc>
        <w:tc>
          <w:tcPr>
            <w:tcW w:w="1600" w:type="dxa"/>
            <w:vAlign w:val="bottom"/>
            <w:tcBorders>
              <w:bottom w:val="single" w:sz="8" w:color="A6A6A6"/>
            </w:tcBorders>
          </w:tcPr>
          <w:p>
            <w:pPr>
              <w:jc w:val="right"/>
              <w:ind w:right="50"/>
              <w:spacing w:after="0" w:line="209" w:lineRule="exact"/>
              <w:rPr>
                <w:sz w:val="20"/>
                <w:szCs w:val="20"/>
                <w:color w:val="auto"/>
              </w:rPr>
            </w:pPr>
            <w:r>
              <w:rPr>
                <w:rFonts w:ascii="Calibri" w:cs="Calibri" w:eastAsia="Calibri" w:hAnsi="Calibri"/>
                <w:sz w:val="18"/>
                <w:szCs w:val="18"/>
                <w:color w:val="auto"/>
              </w:rPr>
              <w:t>10,522</w:t>
            </w:r>
          </w:p>
        </w:tc>
        <w:tc>
          <w:tcPr>
            <w:tcW w:w="2280" w:type="dxa"/>
            <w:vAlign w:val="bottom"/>
            <w:tcBorders>
              <w:bottom w:val="single" w:sz="8" w:color="A6A6A6"/>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r>
      <w:tr>
        <w:trPr>
          <w:trHeight w:val="210"/>
        </w:trPr>
        <w:tc>
          <w:tcPr>
            <w:tcW w:w="470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Stephen C. Evans</w:t>
            </w:r>
          </w:p>
        </w:tc>
        <w:tc>
          <w:tcPr>
            <w:tcW w:w="1600" w:type="dxa"/>
            <w:vAlign w:val="bottom"/>
            <w:tcBorders>
              <w:bottom w:val="single" w:sz="8" w:color="A6A6A6"/>
            </w:tcBorders>
          </w:tcPr>
          <w:p>
            <w:pPr>
              <w:jc w:val="right"/>
              <w:ind w:right="50"/>
              <w:spacing w:after="0" w:line="209" w:lineRule="exact"/>
              <w:rPr>
                <w:sz w:val="20"/>
                <w:szCs w:val="20"/>
                <w:color w:val="auto"/>
              </w:rPr>
            </w:pPr>
            <w:r>
              <w:rPr>
                <w:rFonts w:ascii="Calibri" w:cs="Calibri" w:eastAsia="Calibri" w:hAnsi="Calibri"/>
                <w:sz w:val="18"/>
                <w:szCs w:val="18"/>
                <w:color w:val="auto"/>
              </w:rPr>
              <w:t>4,964</w:t>
            </w:r>
          </w:p>
        </w:tc>
        <w:tc>
          <w:tcPr>
            <w:tcW w:w="2280" w:type="dxa"/>
            <w:vAlign w:val="bottom"/>
            <w:tcBorders>
              <w:bottom w:val="single" w:sz="8" w:color="A6A6A6"/>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r>
      <w:tr>
        <w:trPr>
          <w:trHeight w:val="209"/>
        </w:trPr>
        <w:tc>
          <w:tcPr>
            <w:tcW w:w="470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Laura S. Kaiser</w:t>
            </w:r>
          </w:p>
        </w:tc>
        <w:tc>
          <w:tcPr>
            <w:tcW w:w="1600" w:type="dxa"/>
            <w:vAlign w:val="bottom"/>
            <w:tcBorders>
              <w:bottom w:val="single" w:sz="8" w:color="A6A6A6"/>
            </w:tcBorders>
          </w:tcPr>
          <w:p>
            <w:pPr>
              <w:jc w:val="right"/>
              <w:ind w:right="50"/>
              <w:spacing w:after="0" w:line="209" w:lineRule="exact"/>
              <w:rPr>
                <w:sz w:val="20"/>
                <w:szCs w:val="20"/>
                <w:color w:val="auto"/>
              </w:rPr>
            </w:pPr>
            <w:r>
              <w:rPr>
                <w:rFonts w:ascii="Calibri" w:cs="Calibri" w:eastAsia="Calibri" w:hAnsi="Calibri"/>
                <w:sz w:val="18"/>
                <w:szCs w:val="18"/>
                <w:color w:val="auto"/>
              </w:rPr>
              <w:t>3,050</w:t>
            </w:r>
          </w:p>
        </w:tc>
        <w:tc>
          <w:tcPr>
            <w:tcW w:w="2280" w:type="dxa"/>
            <w:vAlign w:val="bottom"/>
            <w:tcBorders>
              <w:bottom w:val="single" w:sz="8" w:color="A6A6A6"/>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r>
      <w:tr>
        <w:trPr>
          <w:trHeight w:val="209"/>
        </w:trPr>
        <w:tc>
          <w:tcPr>
            <w:tcW w:w="4700" w:type="dxa"/>
            <w:vAlign w:val="bottom"/>
            <w:tcBorders>
              <w:bottom w:val="single" w:sz="8" w:color="A6A6A6"/>
            </w:tcBorders>
          </w:tcPr>
          <w:p>
            <w:pPr>
              <w:ind w:left="80"/>
              <w:spacing w:after="0" w:line="209" w:lineRule="exact"/>
              <w:rPr>
                <w:sz w:val="20"/>
                <w:szCs w:val="20"/>
                <w:color w:val="auto"/>
              </w:rPr>
            </w:pPr>
            <w:r>
              <w:rPr>
                <w:rFonts w:ascii="Calibri" w:cs="Calibri" w:eastAsia="Calibri" w:hAnsi="Calibri"/>
                <w:sz w:val="18"/>
                <w:szCs w:val="18"/>
                <w:color w:val="auto"/>
              </w:rPr>
              <w:t>Michael R. McDonnell</w:t>
            </w:r>
          </w:p>
        </w:tc>
        <w:tc>
          <w:tcPr>
            <w:tcW w:w="1600" w:type="dxa"/>
            <w:vAlign w:val="bottom"/>
            <w:tcBorders>
              <w:bottom w:val="single" w:sz="8" w:color="A6A6A6"/>
            </w:tcBorders>
          </w:tcPr>
          <w:p>
            <w:pPr>
              <w:jc w:val="right"/>
              <w:ind w:right="50"/>
              <w:spacing w:after="0" w:line="209" w:lineRule="exact"/>
              <w:rPr>
                <w:sz w:val="20"/>
                <w:szCs w:val="20"/>
                <w:color w:val="auto"/>
              </w:rPr>
            </w:pPr>
            <w:r>
              <w:rPr>
                <w:rFonts w:ascii="Calibri" w:cs="Calibri" w:eastAsia="Calibri" w:hAnsi="Calibri"/>
                <w:sz w:val="18"/>
                <w:szCs w:val="18"/>
                <w:color w:val="auto"/>
              </w:rPr>
              <w:t>3,050</w:t>
            </w:r>
          </w:p>
        </w:tc>
        <w:tc>
          <w:tcPr>
            <w:tcW w:w="2280" w:type="dxa"/>
            <w:vAlign w:val="bottom"/>
            <w:tcBorders>
              <w:bottom w:val="single" w:sz="8" w:color="A6A6A6"/>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r>
      <w:tr>
        <w:trPr>
          <w:trHeight w:val="217"/>
        </w:trPr>
        <w:tc>
          <w:tcPr>
            <w:tcW w:w="4700" w:type="dxa"/>
            <w:vAlign w:val="bottom"/>
            <w:tcBorders>
              <w:bottom w:val="single" w:sz="8" w:color="AF0000"/>
            </w:tcBorders>
          </w:tcPr>
          <w:p>
            <w:pPr>
              <w:ind w:left="400"/>
              <w:spacing w:after="0" w:line="209" w:lineRule="exact"/>
              <w:rPr>
                <w:sz w:val="20"/>
                <w:szCs w:val="20"/>
                <w:color w:val="auto"/>
              </w:rPr>
            </w:pPr>
            <w:r>
              <w:rPr>
                <w:rFonts w:ascii="Calibri" w:cs="Calibri" w:eastAsia="Calibri" w:hAnsi="Calibri"/>
                <w:sz w:val="18"/>
                <w:szCs w:val="18"/>
                <w:b w:val="1"/>
                <w:bCs w:val="1"/>
                <w:color w:val="auto"/>
              </w:rPr>
              <w:t>Total Ofcers, Directors and Nominees (14 people)</w:t>
            </w:r>
          </w:p>
        </w:tc>
        <w:tc>
          <w:tcPr>
            <w:tcW w:w="1600" w:type="dxa"/>
            <w:vAlign w:val="bottom"/>
            <w:tcBorders>
              <w:bottom w:val="single" w:sz="8" w:color="AF0000"/>
            </w:tcBorders>
          </w:tcPr>
          <w:p>
            <w:pPr>
              <w:jc w:val="right"/>
              <w:ind w:right="50"/>
              <w:spacing w:after="0" w:line="209" w:lineRule="exact"/>
              <w:rPr>
                <w:sz w:val="20"/>
                <w:szCs w:val="20"/>
                <w:color w:val="auto"/>
              </w:rPr>
            </w:pPr>
            <w:r>
              <w:rPr>
                <w:rFonts w:ascii="Calibri" w:cs="Calibri" w:eastAsia="Calibri" w:hAnsi="Calibri"/>
                <w:sz w:val="18"/>
                <w:szCs w:val="18"/>
                <w:color w:val="auto"/>
              </w:rPr>
              <w:t>2,182,150</w:t>
            </w:r>
          </w:p>
        </w:tc>
        <w:tc>
          <w:tcPr>
            <w:tcW w:w="2280" w:type="dxa"/>
            <w:vAlign w:val="bottom"/>
            <w:tcBorders>
              <w:bottom w:val="single" w:sz="8" w:color="AF0000"/>
            </w:tcBorders>
          </w:tcPr>
          <w:p>
            <w:pPr>
              <w:jc w:val="right"/>
              <w:ind w:right="10"/>
              <w:spacing w:after="0" w:line="209" w:lineRule="exact"/>
              <w:rPr>
                <w:sz w:val="20"/>
                <w:szCs w:val="20"/>
                <w:color w:val="auto"/>
              </w:rPr>
            </w:pPr>
            <w:r>
              <w:rPr>
                <w:rFonts w:ascii="Calibri" w:cs="Calibri" w:eastAsia="Calibri" w:hAnsi="Calibri"/>
                <w:sz w:val="18"/>
                <w:szCs w:val="18"/>
                <w:color w:val="auto"/>
              </w:rPr>
              <w:t>3.7%</w:t>
            </w:r>
          </w:p>
        </w:tc>
      </w:tr>
    </w:tbl>
    <w:p>
      <w:pPr>
        <w:spacing w:after="0" w:line="88" w:lineRule="exact"/>
        <w:rPr>
          <w:sz w:val="20"/>
          <w:szCs w:val="20"/>
          <w:color w:val="auto"/>
        </w:rPr>
      </w:pPr>
    </w:p>
    <w:p>
      <w:pPr>
        <w:ind w:left="500" w:hanging="291"/>
        <w:spacing w:after="0"/>
        <w:tabs>
          <w:tab w:leader="none" w:pos="500" w:val="left"/>
        </w:tabs>
        <w:numPr>
          <w:ilvl w:val="0"/>
          <w:numId w:val="109"/>
        </w:numPr>
        <w:rPr>
          <w:rFonts w:ascii="Calibri" w:cs="Calibri" w:eastAsia="Calibri" w:hAnsi="Calibri"/>
          <w:sz w:val="16"/>
          <w:szCs w:val="16"/>
          <w:b w:val="1"/>
          <w:bCs w:val="1"/>
          <w:color w:val="auto"/>
        </w:rPr>
      </w:pPr>
      <w:r>
        <w:rPr>
          <w:rFonts w:ascii="Calibri" w:cs="Calibri" w:eastAsia="Calibri" w:hAnsi="Calibri"/>
          <w:sz w:val="16"/>
          <w:szCs w:val="16"/>
          <w:i w:val="1"/>
          <w:iCs w:val="1"/>
          <w:color w:val="auto"/>
        </w:rPr>
        <w:t>Represents a holding of less than 1.0%</w:t>
      </w:r>
    </w:p>
    <w:p>
      <w:pPr>
        <w:spacing w:after="0" w:line="117" w:lineRule="exact"/>
        <w:rPr>
          <w:sz w:val="20"/>
          <w:szCs w:val="20"/>
          <w:color w:val="auto"/>
        </w:rPr>
      </w:pPr>
    </w:p>
    <w:p>
      <w:pPr>
        <w:jc w:val="both"/>
        <w:ind w:left="540" w:right="779" w:hanging="331"/>
        <w:spacing w:after="0" w:line="239" w:lineRule="auto"/>
        <w:tabs>
          <w:tab w:leader="none" w:pos="540" w:val="left"/>
        </w:tabs>
        <w:numPr>
          <w:ilvl w:val="0"/>
          <w:numId w:val="110"/>
        </w:numPr>
        <w:rPr>
          <w:rFonts w:ascii="Calibri" w:cs="Calibri" w:eastAsia="Calibri" w:hAnsi="Calibri"/>
          <w:sz w:val="16"/>
          <w:szCs w:val="16"/>
          <w:color w:val="AF0000"/>
        </w:rPr>
      </w:pPr>
      <w:r>
        <w:rPr>
          <w:rFonts w:ascii="Calibri" w:cs="Calibri" w:eastAsia="Calibri" w:hAnsi="Calibri"/>
          <w:sz w:val="16"/>
          <w:szCs w:val="16"/>
          <w:color w:val="auto"/>
        </w:rPr>
        <w:t>Based upon the most recent Schedules 13F or 13G available on the SEC’s website as of March 18, 2024, with holdings reported as of December 31, 2023. Number of shares listed represents aggregate number of shares of Common Stock benefcially owned by each reportng person as indicated in the applicable Schedule 13F or 13G report.</w:t>
      </w:r>
    </w:p>
    <w:p>
      <w:pPr>
        <w:spacing w:after="0" w:line="200" w:lineRule="exact"/>
        <w:rPr>
          <w:sz w:val="20"/>
          <w:szCs w:val="20"/>
          <w:color w:val="auto"/>
        </w:rPr>
      </w:pPr>
    </w:p>
    <w:p>
      <w:pPr>
        <w:spacing w:after="0" w:line="208"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82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86" w:name="page87"/>
    <w:bookmarkEnd w:id="86"/>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STOCK OWNERSHIP AND TRADING</w:t>
      </w:r>
    </w:p>
    <w:p>
      <w:pPr>
        <w:spacing w:after="0" w:line="180" w:lineRule="exact"/>
        <w:rPr>
          <w:sz w:val="20"/>
          <w:szCs w:val="20"/>
          <w:color w:val="auto"/>
        </w:rPr>
      </w:pPr>
    </w:p>
    <w:p>
      <w:pPr>
        <w:ind w:left="540" w:right="359" w:hanging="331"/>
        <w:spacing w:after="0" w:line="235" w:lineRule="auto"/>
        <w:tabs>
          <w:tab w:leader="none" w:pos="540" w:val="left"/>
        </w:tabs>
        <w:numPr>
          <w:ilvl w:val="0"/>
          <w:numId w:val="111"/>
        </w:numPr>
        <w:rPr>
          <w:rFonts w:ascii="Calibri" w:cs="Calibri" w:eastAsia="Calibri" w:hAnsi="Calibri"/>
          <w:sz w:val="16"/>
          <w:szCs w:val="16"/>
          <w:color w:val="AF0000"/>
        </w:rPr>
      </w:pPr>
      <w:r>
        <w:rPr>
          <w:rFonts w:ascii="Calibri" w:cs="Calibri" w:eastAsia="Calibri" w:hAnsi="Calibri"/>
          <w:sz w:val="16"/>
          <w:szCs w:val="16"/>
          <w:color w:val="auto"/>
        </w:rPr>
        <w:t>The computatons above include the following share amounts that are held in our 401(k) Plan on behalf of partcipants as of March 18, 2024:</w:t>
      </w:r>
    </w:p>
    <w:p>
      <w:pPr>
        <w:spacing w:after="0" w:line="7" w:lineRule="exact"/>
        <w:rPr>
          <w:rFonts w:ascii="Calibri" w:cs="Calibri" w:eastAsia="Calibri" w:hAnsi="Calibri"/>
          <w:sz w:val="16"/>
          <w:szCs w:val="16"/>
          <w:color w:val="AF0000"/>
        </w:rPr>
      </w:pPr>
    </w:p>
    <w:p>
      <w:pPr>
        <w:ind w:left="880" w:hanging="320"/>
        <w:spacing w:after="0"/>
        <w:tabs>
          <w:tab w:leader="none" w:pos="880" w:val="left"/>
        </w:tabs>
        <w:numPr>
          <w:ilvl w:val="1"/>
          <w:numId w:val="111"/>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Mr. Lampropoulos, 97,547 shares</w:t>
      </w:r>
    </w:p>
    <w:p>
      <w:pPr>
        <w:spacing w:after="0" w:line="21" w:lineRule="exact"/>
        <w:rPr>
          <w:rFonts w:ascii="Times New Roman" w:cs="Times New Roman" w:eastAsia="Times New Roman" w:hAnsi="Times New Roman"/>
          <w:sz w:val="16"/>
          <w:szCs w:val="16"/>
          <w:color w:val="AF0000"/>
        </w:rPr>
      </w:pPr>
    </w:p>
    <w:p>
      <w:pPr>
        <w:ind w:left="880" w:hanging="320"/>
        <w:spacing w:after="0" w:line="205" w:lineRule="auto"/>
        <w:tabs>
          <w:tab w:leader="none" w:pos="880" w:val="left"/>
        </w:tabs>
        <w:numPr>
          <w:ilvl w:val="1"/>
          <w:numId w:val="111"/>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Mr. Parra, 2,770 shares</w:t>
      </w:r>
    </w:p>
    <w:p>
      <w:pPr>
        <w:spacing w:after="0" w:line="22" w:lineRule="exact"/>
        <w:rPr>
          <w:rFonts w:ascii="Times New Roman" w:cs="Times New Roman" w:eastAsia="Times New Roman" w:hAnsi="Times New Roman"/>
          <w:sz w:val="16"/>
          <w:szCs w:val="16"/>
          <w:color w:val="AF0000"/>
        </w:rPr>
      </w:pPr>
    </w:p>
    <w:p>
      <w:pPr>
        <w:ind w:left="880" w:hanging="320"/>
        <w:spacing w:after="0" w:line="205" w:lineRule="auto"/>
        <w:tabs>
          <w:tab w:leader="none" w:pos="880" w:val="left"/>
        </w:tabs>
        <w:numPr>
          <w:ilvl w:val="1"/>
          <w:numId w:val="111"/>
        </w:numPr>
        <w:rPr>
          <w:rFonts w:ascii="Times New Roman" w:cs="Times New Roman" w:eastAsia="Times New Roman" w:hAnsi="Times New Roman"/>
          <w:sz w:val="16"/>
          <w:szCs w:val="16"/>
          <w:color w:val="AF0000"/>
        </w:rPr>
      </w:pPr>
      <w:r>
        <w:rPr>
          <w:rFonts w:ascii="Calibri" w:cs="Calibri" w:eastAsia="Calibri" w:hAnsi="Calibri"/>
          <w:sz w:val="16"/>
          <w:szCs w:val="16"/>
          <w:color w:val="auto"/>
        </w:rPr>
        <w:t>All executve ofcers and directors as a group, 100,332 shares</w:t>
      </w:r>
    </w:p>
    <w:p>
      <w:pPr>
        <w:spacing w:after="0" w:line="22" w:lineRule="exact"/>
        <w:rPr>
          <w:rFonts w:ascii="Times New Roman" w:cs="Times New Roman" w:eastAsia="Times New Roman" w:hAnsi="Times New Roman"/>
          <w:sz w:val="16"/>
          <w:szCs w:val="16"/>
          <w:color w:val="AF0000"/>
        </w:rPr>
      </w:pPr>
    </w:p>
    <w:p>
      <w:pPr>
        <w:ind w:left="540" w:right="559" w:hanging="331"/>
        <w:spacing w:after="0" w:line="219" w:lineRule="auto"/>
        <w:tabs>
          <w:tab w:leader="none" w:pos="540" w:val="left"/>
        </w:tabs>
        <w:numPr>
          <w:ilvl w:val="0"/>
          <w:numId w:val="111"/>
        </w:numPr>
        <w:rPr>
          <w:rFonts w:ascii="Calibri" w:cs="Calibri" w:eastAsia="Calibri" w:hAnsi="Calibri"/>
          <w:sz w:val="16"/>
          <w:szCs w:val="16"/>
          <w:color w:val="AF0000"/>
        </w:rPr>
      </w:pPr>
      <w:r>
        <w:rPr>
          <w:rFonts w:ascii="Calibri" w:cs="Calibri" w:eastAsia="Calibri" w:hAnsi="Calibri"/>
          <w:sz w:val="16"/>
          <w:szCs w:val="16"/>
          <w:color w:val="auto"/>
        </w:rPr>
        <w:t>The computatons above include the following share amounts that are subject to optons exercisable within 60 days afer March 18, 2024, none of which had been exercised as of such date:</w:t>
      </w:r>
    </w:p>
    <w:p>
      <w:pPr>
        <w:sectPr>
          <w:pgSz w:w="11900" w:h="16838" w:orient="portrait"/>
          <w:cols w:equalWidth="0" w:num="1">
            <w:col w:w="9019"/>
          </w:cols>
          <w:pgMar w:left="1440" w:top="504" w:right="1440" w:bottom="1440" w:gutter="0" w:footer="0" w:header="0"/>
        </w:sectPr>
      </w:pPr>
    </w:p>
    <w:p>
      <w:pPr>
        <w:spacing w:after="0" w:line="2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F0000"/>
        </w:rPr>
        <w:t xml:space="preserve">● </w:t>
      </w:r>
      <w:r>
        <w:rPr>
          <w:rFonts w:ascii="Calibri" w:cs="Calibri" w:eastAsia="Calibri" w:hAnsi="Calibri"/>
          <w:sz w:val="16"/>
          <w:szCs w:val="16"/>
          <w:color w:val="000000"/>
        </w:rPr>
        <w:t>Mr. Lampropoulos, 378,909 shares</w:t>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F0000"/>
        </w:rPr>
        <w:t xml:space="preserve">● </w:t>
      </w:r>
      <w:r>
        <w:rPr>
          <w:rFonts w:ascii="Calibri" w:cs="Calibri" w:eastAsia="Calibri" w:hAnsi="Calibri"/>
          <w:sz w:val="16"/>
          <w:szCs w:val="16"/>
          <w:color w:val="000000"/>
        </w:rPr>
        <w:t>Mr. Wright, 92,425 shares</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F0000"/>
        </w:rPr>
        <w:t xml:space="preserve">● </w:t>
      </w:r>
      <w:r>
        <w:rPr>
          <w:rFonts w:ascii="Calibri" w:cs="Calibri" w:eastAsia="Calibri" w:hAnsi="Calibri"/>
          <w:sz w:val="16"/>
          <w:szCs w:val="16"/>
          <w:color w:val="000000"/>
        </w:rPr>
        <w:t>Mr. Lloyd, 86,425 shares</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F0000"/>
        </w:rPr>
        <w:t xml:space="preserve">● </w:t>
      </w:r>
      <w:r>
        <w:rPr>
          <w:rFonts w:ascii="Calibri" w:cs="Calibri" w:eastAsia="Calibri" w:hAnsi="Calibri"/>
          <w:sz w:val="16"/>
          <w:szCs w:val="16"/>
          <w:color w:val="000000"/>
        </w:rPr>
        <w:t>Mr. Peterson, 43,394 shares</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F0000"/>
        </w:rPr>
        <w:t xml:space="preserve">● </w:t>
      </w:r>
      <w:r>
        <w:rPr>
          <w:rFonts w:ascii="Calibri" w:cs="Calibri" w:eastAsia="Calibri" w:hAnsi="Calibri"/>
          <w:sz w:val="16"/>
          <w:szCs w:val="16"/>
          <w:color w:val="000000"/>
        </w:rPr>
        <w:t>Mr. Parra, 62,663 shares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F0000"/>
        </w:rPr>
        <w:t xml:space="preserve">● </w:t>
      </w:r>
      <w:r>
        <w:rPr>
          <w:rFonts w:ascii="Calibri" w:cs="Calibri" w:eastAsia="Calibri" w:hAnsi="Calibri"/>
          <w:sz w:val="16"/>
          <w:szCs w:val="16"/>
          <w:color w:val="000000"/>
        </w:rPr>
        <w:t>Dr. Millner, 46,250 shares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F0000"/>
        </w:rPr>
        <w:t xml:space="preserve">● </w:t>
      </w:r>
      <w:r>
        <w:rPr>
          <w:rFonts w:ascii="Calibri" w:cs="Calibri" w:eastAsia="Calibri" w:hAnsi="Calibri"/>
          <w:sz w:val="16"/>
          <w:szCs w:val="16"/>
          <w:color w:val="000000"/>
        </w:rPr>
        <w:t>Mr. Gunderson, 46,250 shares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F0000"/>
        </w:rPr>
        <w:t xml:space="preserve">● </w:t>
      </w:r>
      <w:r>
        <w:rPr>
          <w:rFonts w:ascii="Calibri" w:cs="Calibri" w:eastAsia="Calibri" w:hAnsi="Calibri"/>
          <w:sz w:val="16"/>
          <w:szCs w:val="16"/>
          <w:color w:val="000000"/>
        </w:rPr>
        <w:t>Mr. Anderson, 21,250 shares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F0000"/>
        </w:rPr>
        <w:t xml:space="preserve">● </w:t>
      </w:r>
      <w:r>
        <w:rPr>
          <w:rFonts w:ascii="Calibri" w:cs="Calibri" w:eastAsia="Calibri" w:hAnsi="Calibri"/>
          <w:sz w:val="16"/>
          <w:szCs w:val="16"/>
          <w:color w:val="000000"/>
        </w:rPr>
        <w:t>Ms. Ward, 5,433 shares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F0000"/>
        </w:rPr>
        <w:t xml:space="preserve">● </w:t>
      </w:r>
      <w:r>
        <w:rPr>
          <w:rFonts w:ascii="Calibri" w:cs="Calibri" w:eastAsia="Calibri" w:hAnsi="Calibri"/>
          <w:sz w:val="16"/>
          <w:szCs w:val="16"/>
          <w:color w:val="000000"/>
        </w:rPr>
        <w:t>All executve ofcers and directors as a group,</w:t>
      </w:r>
    </w:p>
    <w:p>
      <w:pPr>
        <w:ind w:left="180"/>
        <w:spacing w:after="0" w:line="230" w:lineRule="auto"/>
        <w:rPr>
          <w:sz w:val="20"/>
          <w:szCs w:val="20"/>
          <w:color w:val="auto"/>
        </w:rPr>
      </w:pPr>
      <w:r>
        <w:rPr>
          <w:rFonts w:ascii="Calibri" w:cs="Calibri" w:eastAsia="Calibri" w:hAnsi="Calibri"/>
          <w:sz w:val="16"/>
          <w:szCs w:val="16"/>
          <w:color w:val="auto"/>
        </w:rPr>
        <w:t>797,702 shares</w:t>
      </w:r>
    </w:p>
    <w:p>
      <w:pPr>
        <w:spacing w:after="0" w:line="176" w:lineRule="exact"/>
        <w:rPr>
          <w:sz w:val="20"/>
          <w:szCs w:val="20"/>
          <w:color w:val="auto"/>
        </w:rPr>
      </w:pPr>
    </w:p>
    <w:p>
      <w:pPr>
        <w:sectPr>
          <w:pgSz w:w="11900" w:h="16838" w:orient="portrait"/>
          <w:cols w:equalWidth="0" w:num="2">
            <w:col w:w="3800" w:space="720"/>
            <w:col w:w="4499"/>
          </w:cols>
          <w:pgMar w:left="1440" w:top="504" w:right="1440" w:bottom="1440" w:gutter="0" w:footer="0" w:header="0"/>
          <w:type w:val="continuous"/>
        </w:sectPr>
      </w:pPr>
    </w:p>
    <w:p>
      <w:pPr>
        <w:ind w:left="200"/>
        <w:spacing w:after="0"/>
        <w:rPr>
          <w:sz w:val="20"/>
          <w:szCs w:val="20"/>
          <w:color w:val="auto"/>
        </w:rPr>
      </w:pPr>
      <w:r>
        <w:rPr>
          <w:rFonts w:ascii="Calibri" w:cs="Calibri" w:eastAsia="Calibri" w:hAnsi="Calibri"/>
          <w:sz w:val="25"/>
          <w:szCs w:val="25"/>
          <w:b w:val="1"/>
          <w:bCs w:val="1"/>
          <w:color w:val="AF0000"/>
        </w:rPr>
        <w:t>Delinquent Secton 16(a) Reports</w:t>
      </w:r>
    </w:p>
    <w:p>
      <w:pPr>
        <w:spacing w:after="0" w:line="199" w:lineRule="exact"/>
        <w:rPr>
          <w:sz w:val="20"/>
          <w:szCs w:val="20"/>
          <w:color w:val="auto"/>
        </w:rPr>
      </w:pPr>
    </w:p>
    <w:p>
      <w:pPr>
        <w:ind w:left="200" w:right="299"/>
        <w:spacing w:after="0" w:line="233" w:lineRule="auto"/>
        <w:rPr>
          <w:sz w:val="20"/>
          <w:szCs w:val="20"/>
          <w:color w:val="auto"/>
        </w:rPr>
      </w:pPr>
      <w:r>
        <w:rPr>
          <w:rFonts w:ascii="Calibri" w:cs="Calibri" w:eastAsia="Calibri" w:hAnsi="Calibri"/>
          <w:sz w:val="18"/>
          <w:szCs w:val="18"/>
          <w:color w:val="auto"/>
        </w:rPr>
        <w:t>Secton 16(a) of the Exchange Act requires directors, certain ofcers, and greater than ten percent holders of our common stock to fle reports indicatng their holdings of, and transactons in, our equity securites. Based on a review of these reports and writen representatons from our directors and the applicable ofcers, we believe that in 2023 all required reports were tmely fled with the SEC, except that Ms. Kaiser had one report relatng to a single transacton which was due on May 22, 2023, however due to a delay in receiving the necessary fling code the report was fled one day late on May 23, 2023.</w:t>
      </w:r>
    </w:p>
    <w:p>
      <w:pPr>
        <w:spacing w:after="0" w:line="160"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Securites Authorized for Issuance Under Equity Compensaton Plans</w:t>
      </w:r>
    </w:p>
    <w:p>
      <w:pPr>
        <w:spacing w:after="0" w:line="199" w:lineRule="exact"/>
        <w:rPr>
          <w:sz w:val="20"/>
          <w:szCs w:val="20"/>
          <w:color w:val="auto"/>
        </w:rPr>
      </w:pPr>
    </w:p>
    <w:p>
      <w:pPr>
        <w:ind w:left="200" w:right="939"/>
        <w:spacing w:after="0" w:line="235" w:lineRule="auto"/>
        <w:rPr>
          <w:sz w:val="20"/>
          <w:szCs w:val="20"/>
          <w:color w:val="auto"/>
        </w:rPr>
      </w:pPr>
      <w:r>
        <w:rPr>
          <w:rFonts w:ascii="Calibri" w:cs="Calibri" w:eastAsia="Calibri" w:hAnsi="Calibri"/>
          <w:sz w:val="18"/>
          <w:szCs w:val="18"/>
          <w:color w:val="auto"/>
        </w:rPr>
        <w:t>The following table contains informaton regarding our equity compensaton plans as of December 31, 2023 (in thousands, except weighted-average price):</w:t>
      </w:r>
    </w:p>
    <w:p>
      <w:pPr>
        <w:spacing w:after="0" w:line="180"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2160" w:type="dxa"/>
            <w:vAlign w:val="bottom"/>
            <w:tcBorders>
              <w:top w:val="single" w:sz="8" w:color="AF0000"/>
            </w:tcBorders>
          </w:tcPr>
          <w:p>
            <w:pPr>
              <w:spacing w:after="0"/>
              <w:rPr>
                <w:sz w:val="19"/>
                <w:szCs w:val="19"/>
                <w:color w:val="auto"/>
              </w:rPr>
            </w:pPr>
          </w:p>
        </w:tc>
        <w:tc>
          <w:tcPr>
            <w:tcW w:w="2120" w:type="dxa"/>
            <w:vAlign w:val="bottom"/>
            <w:tcBorders>
              <w:top w:val="single" w:sz="8" w:color="AF0000"/>
            </w:tcBorders>
          </w:tcPr>
          <w:p>
            <w:pPr>
              <w:spacing w:after="0"/>
              <w:rPr>
                <w:sz w:val="19"/>
                <w:szCs w:val="19"/>
                <w:color w:val="auto"/>
              </w:rPr>
            </w:pPr>
          </w:p>
        </w:tc>
        <w:tc>
          <w:tcPr>
            <w:tcW w:w="2140" w:type="dxa"/>
            <w:vAlign w:val="bottom"/>
            <w:tcBorders>
              <w:top w:val="single" w:sz="8" w:color="AF0000"/>
            </w:tcBorders>
          </w:tcPr>
          <w:p>
            <w:pPr>
              <w:spacing w:after="0"/>
              <w:rPr>
                <w:sz w:val="19"/>
                <w:szCs w:val="19"/>
                <w:color w:val="auto"/>
              </w:rPr>
            </w:pPr>
          </w:p>
        </w:tc>
        <w:tc>
          <w:tcPr>
            <w:tcW w:w="2160" w:type="dxa"/>
            <w:vAlign w:val="bottom"/>
            <w:tcBorders>
              <w:top w:val="single" w:sz="8" w:color="AF0000"/>
            </w:tcBorders>
          </w:tcPr>
          <w:p>
            <w:pPr>
              <w:jc w:val="center"/>
              <w:spacing w:after="0"/>
              <w:rPr>
                <w:sz w:val="20"/>
                <w:szCs w:val="20"/>
                <w:color w:val="auto"/>
              </w:rPr>
            </w:pPr>
            <w:r>
              <w:rPr>
                <w:rFonts w:ascii="Calibri" w:cs="Calibri" w:eastAsia="Calibri" w:hAnsi="Calibri"/>
                <w:sz w:val="18"/>
                <w:szCs w:val="18"/>
                <w:b w:val="1"/>
                <w:bCs w:val="1"/>
                <w:color w:val="auto"/>
              </w:rPr>
              <w:t>Number of securites</w:t>
            </w:r>
          </w:p>
        </w:tc>
      </w:tr>
      <w:tr>
        <w:trPr>
          <w:trHeight w:val="215"/>
        </w:trPr>
        <w:tc>
          <w:tcPr>
            <w:tcW w:w="2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remaining available for</w:t>
            </w:r>
          </w:p>
        </w:tc>
      </w:tr>
      <w:tr>
        <w:trPr>
          <w:trHeight w:val="216"/>
        </w:trPr>
        <w:tc>
          <w:tcPr>
            <w:tcW w:w="2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future issuance under</w:t>
            </w:r>
          </w:p>
        </w:tc>
      </w:tr>
      <w:tr>
        <w:trPr>
          <w:trHeight w:val="204"/>
        </w:trPr>
        <w:tc>
          <w:tcPr>
            <w:tcW w:w="2160" w:type="dxa"/>
            <w:vAlign w:val="bottom"/>
          </w:tcPr>
          <w:p>
            <w:pPr>
              <w:spacing w:after="0"/>
              <w:rPr>
                <w:sz w:val="17"/>
                <w:szCs w:val="17"/>
                <w:color w:val="auto"/>
              </w:rPr>
            </w:pPr>
          </w:p>
        </w:tc>
        <w:tc>
          <w:tcPr>
            <w:tcW w:w="2120" w:type="dxa"/>
            <w:vAlign w:val="bottom"/>
          </w:tcPr>
          <w:p>
            <w:pPr>
              <w:jc w:val="center"/>
              <w:spacing w:after="0" w:line="204" w:lineRule="exact"/>
              <w:rPr>
                <w:sz w:val="20"/>
                <w:szCs w:val="20"/>
                <w:color w:val="auto"/>
              </w:rPr>
            </w:pPr>
            <w:r>
              <w:rPr>
                <w:rFonts w:ascii="Calibri" w:cs="Calibri" w:eastAsia="Calibri" w:hAnsi="Calibri"/>
                <w:sz w:val="18"/>
                <w:szCs w:val="18"/>
                <w:b w:val="1"/>
                <w:bCs w:val="1"/>
                <w:color w:val="auto"/>
                <w:w w:val="99"/>
              </w:rPr>
              <w:t>Number of securites to</w:t>
            </w:r>
          </w:p>
        </w:tc>
        <w:tc>
          <w:tcPr>
            <w:tcW w:w="2140" w:type="dxa"/>
            <w:vAlign w:val="bottom"/>
          </w:tcPr>
          <w:p>
            <w:pPr>
              <w:jc w:val="center"/>
              <w:spacing w:after="0" w:line="204" w:lineRule="exact"/>
              <w:rPr>
                <w:sz w:val="20"/>
                <w:szCs w:val="20"/>
                <w:color w:val="auto"/>
              </w:rPr>
            </w:pPr>
            <w:r>
              <w:rPr>
                <w:rFonts w:ascii="Calibri" w:cs="Calibri" w:eastAsia="Calibri" w:hAnsi="Calibri"/>
                <w:sz w:val="18"/>
                <w:szCs w:val="18"/>
                <w:b w:val="1"/>
                <w:bCs w:val="1"/>
                <w:color w:val="auto"/>
                <w:w w:val="95"/>
              </w:rPr>
              <w:t>Weighted-average</w:t>
            </w:r>
          </w:p>
        </w:tc>
        <w:tc>
          <w:tcPr>
            <w:tcW w:w="2160" w:type="dxa"/>
            <w:vAlign w:val="bottom"/>
          </w:tcPr>
          <w:p>
            <w:pPr>
              <w:jc w:val="center"/>
              <w:spacing w:after="0" w:line="204" w:lineRule="exact"/>
              <w:rPr>
                <w:sz w:val="20"/>
                <w:szCs w:val="20"/>
                <w:color w:val="auto"/>
              </w:rPr>
            </w:pPr>
            <w:r>
              <w:rPr>
                <w:rFonts w:ascii="Calibri" w:cs="Calibri" w:eastAsia="Calibri" w:hAnsi="Calibri"/>
                <w:sz w:val="18"/>
                <w:szCs w:val="18"/>
                <w:b w:val="1"/>
                <w:bCs w:val="1"/>
                <w:color w:val="auto"/>
              </w:rPr>
              <w:t>equity compensaton</w:t>
            </w:r>
          </w:p>
        </w:tc>
      </w:tr>
      <w:tr>
        <w:trPr>
          <w:trHeight w:val="216"/>
        </w:trPr>
        <w:tc>
          <w:tcPr>
            <w:tcW w:w="2160" w:type="dxa"/>
            <w:vAlign w:val="bottom"/>
          </w:tcPr>
          <w:p>
            <w:pPr>
              <w:spacing w:after="0"/>
              <w:rPr>
                <w:sz w:val="18"/>
                <w:szCs w:val="18"/>
                <w:color w:val="auto"/>
              </w:rPr>
            </w:pPr>
          </w:p>
        </w:tc>
        <w:tc>
          <w:tcPr>
            <w:tcW w:w="2120" w:type="dxa"/>
            <w:vAlign w:val="bottom"/>
          </w:tcPr>
          <w:p>
            <w:pPr>
              <w:jc w:val="center"/>
              <w:ind w:right="18"/>
              <w:spacing w:after="0" w:line="216" w:lineRule="exact"/>
              <w:rPr>
                <w:sz w:val="20"/>
                <w:szCs w:val="20"/>
                <w:color w:val="auto"/>
              </w:rPr>
            </w:pPr>
            <w:r>
              <w:rPr>
                <w:rFonts w:ascii="Calibri" w:cs="Calibri" w:eastAsia="Calibri" w:hAnsi="Calibri"/>
                <w:sz w:val="18"/>
                <w:szCs w:val="18"/>
                <w:b w:val="1"/>
                <w:bCs w:val="1"/>
                <w:color w:val="auto"/>
                <w:w w:val="97"/>
              </w:rPr>
              <w:t>be issued upon exercise</w:t>
            </w:r>
          </w:p>
        </w:tc>
        <w:tc>
          <w:tcPr>
            <w:tcW w:w="21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exercise price of</w:t>
            </w:r>
          </w:p>
        </w:tc>
        <w:tc>
          <w:tcPr>
            <w:tcW w:w="21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6"/>
              </w:rPr>
              <w:t>plans (excluding</w:t>
            </w:r>
          </w:p>
        </w:tc>
      </w:tr>
      <w:tr>
        <w:trPr>
          <w:trHeight w:val="216"/>
        </w:trPr>
        <w:tc>
          <w:tcPr>
            <w:tcW w:w="2160" w:type="dxa"/>
            <w:vAlign w:val="bottom"/>
          </w:tcPr>
          <w:p>
            <w:pPr>
              <w:spacing w:after="0"/>
              <w:rPr>
                <w:sz w:val="18"/>
                <w:szCs w:val="18"/>
                <w:color w:val="auto"/>
              </w:rPr>
            </w:pPr>
          </w:p>
        </w:tc>
        <w:tc>
          <w:tcPr>
            <w:tcW w:w="2120" w:type="dxa"/>
            <w:vAlign w:val="bottom"/>
          </w:tcPr>
          <w:p>
            <w:pPr>
              <w:jc w:val="center"/>
              <w:ind w:right="18"/>
              <w:spacing w:after="0" w:line="216" w:lineRule="exact"/>
              <w:rPr>
                <w:sz w:val="20"/>
                <w:szCs w:val="20"/>
                <w:color w:val="auto"/>
              </w:rPr>
            </w:pPr>
            <w:r>
              <w:rPr>
                <w:rFonts w:ascii="Calibri" w:cs="Calibri" w:eastAsia="Calibri" w:hAnsi="Calibri"/>
                <w:sz w:val="18"/>
                <w:szCs w:val="18"/>
                <w:b w:val="1"/>
                <w:bCs w:val="1"/>
                <w:color w:val="auto"/>
                <w:w w:val="99"/>
              </w:rPr>
              <w:t>of outstanding optons,</w:t>
            </w:r>
          </w:p>
        </w:tc>
        <w:tc>
          <w:tcPr>
            <w:tcW w:w="21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outstanding optons,</w:t>
            </w:r>
          </w:p>
        </w:tc>
        <w:tc>
          <w:tcPr>
            <w:tcW w:w="21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securites refected in</w:t>
            </w:r>
          </w:p>
        </w:tc>
      </w:tr>
      <w:tr>
        <w:trPr>
          <w:trHeight w:val="228"/>
        </w:trPr>
        <w:tc>
          <w:tcPr>
            <w:tcW w:w="21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6"/>
              </w:rPr>
              <w:t>Plan Category</w:t>
            </w:r>
          </w:p>
        </w:tc>
        <w:tc>
          <w:tcPr>
            <w:tcW w:w="21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warrants and rights (a)</w:t>
            </w:r>
          </w:p>
        </w:tc>
        <w:tc>
          <w:tcPr>
            <w:tcW w:w="214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warrants and rights (b)</w:t>
            </w:r>
          </w:p>
        </w:tc>
        <w:tc>
          <w:tcPr>
            <w:tcW w:w="21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6"/>
              </w:rPr>
              <w:t>column (a)) (c)</w:t>
            </w:r>
          </w:p>
        </w:tc>
      </w:tr>
      <w:tr>
        <w:trPr>
          <w:trHeight w:val="57"/>
        </w:trPr>
        <w:tc>
          <w:tcPr>
            <w:tcW w:w="2160" w:type="dxa"/>
            <w:vAlign w:val="bottom"/>
            <w:tcBorders>
              <w:bottom w:val="single" w:sz="8" w:color="AF0000"/>
            </w:tcBorders>
          </w:tcPr>
          <w:p>
            <w:pPr>
              <w:spacing w:after="0"/>
              <w:rPr>
                <w:sz w:val="5"/>
                <w:szCs w:val="5"/>
                <w:color w:val="auto"/>
              </w:rPr>
            </w:pPr>
          </w:p>
        </w:tc>
        <w:tc>
          <w:tcPr>
            <w:tcW w:w="2120" w:type="dxa"/>
            <w:vAlign w:val="bottom"/>
            <w:tcBorders>
              <w:bottom w:val="single" w:sz="8" w:color="AF0000"/>
            </w:tcBorders>
          </w:tcPr>
          <w:p>
            <w:pPr>
              <w:spacing w:after="0"/>
              <w:rPr>
                <w:sz w:val="5"/>
                <w:szCs w:val="5"/>
                <w:color w:val="auto"/>
              </w:rPr>
            </w:pPr>
          </w:p>
        </w:tc>
        <w:tc>
          <w:tcPr>
            <w:tcW w:w="2140" w:type="dxa"/>
            <w:vAlign w:val="bottom"/>
            <w:tcBorders>
              <w:bottom w:val="single" w:sz="8" w:color="AF0000"/>
            </w:tcBorders>
          </w:tcPr>
          <w:p>
            <w:pPr>
              <w:spacing w:after="0"/>
              <w:rPr>
                <w:sz w:val="5"/>
                <w:szCs w:val="5"/>
                <w:color w:val="auto"/>
              </w:rPr>
            </w:pPr>
          </w:p>
        </w:tc>
        <w:tc>
          <w:tcPr>
            <w:tcW w:w="2160" w:type="dxa"/>
            <w:vAlign w:val="bottom"/>
            <w:tcBorders>
              <w:bottom w:val="single" w:sz="8" w:color="AF0000"/>
            </w:tcBorders>
          </w:tcPr>
          <w:p>
            <w:pPr>
              <w:spacing w:after="0"/>
              <w:rPr>
                <w:sz w:val="5"/>
                <w:szCs w:val="5"/>
                <w:color w:val="auto"/>
              </w:rPr>
            </w:pPr>
          </w:p>
        </w:tc>
      </w:tr>
      <w:tr>
        <w:trPr>
          <w:trHeight w:val="194"/>
        </w:trPr>
        <w:tc>
          <w:tcPr>
            <w:tcW w:w="2160" w:type="dxa"/>
            <w:vAlign w:val="bottom"/>
          </w:tcPr>
          <w:p>
            <w:pPr>
              <w:jc w:val="center"/>
              <w:spacing w:after="0" w:line="194" w:lineRule="exact"/>
              <w:rPr>
                <w:sz w:val="20"/>
                <w:szCs w:val="20"/>
                <w:color w:val="auto"/>
              </w:rPr>
            </w:pPr>
            <w:r>
              <w:rPr>
                <w:rFonts w:ascii="Calibri" w:cs="Calibri" w:eastAsia="Calibri" w:hAnsi="Calibri"/>
                <w:sz w:val="18"/>
                <w:szCs w:val="18"/>
                <w:color w:val="auto"/>
                <w:w w:val="99"/>
              </w:rPr>
              <w:t>Equity compensaton plans</w:t>
            </w:r>
          </w:p>
        </w:tc>
        <w:tc>
          <w:tcPr>
            <w:tcW w:w="2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16"/>
        </w:trPr>
        <w:tc>
          <w:tcPr>
            <w:tcW w:w="216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approved by security</w:t>
            </w:r>
          </w:p>
        </w:tc>
        <w:tc>
          <w:tcPr>
            <w:tcW w:w="2120" w:type="dxa"/>
            <w:vAlign w:val="bottom"/>
          </w:tcPr>
          <w:p>
            <w:pPr>
              <w:jc w:val="center"/>
              <w:spacing w:after="0" w:line="216" w:lineRule="exact"/>
              <w:rPr>
                <w:sz w:val="20"/>
                <w:szCs w:val="20"/>
                <w:color w:val="auto"/>
              </w:rPr>
            </w:pPr>
            <w:r>
              <w:rPr>
                <w:rFonts w:ascii="Calibri" w:cs="Calibri" w:eastAsia="Calibri" w:hAnsi="Calibri"/>
                <w:sz w:val="23"/>
                <w:szCs w:val="23"/>
                <w:color w:val="000000"/>
                <w:vertAlign w:val="subscript"/>
              </w:rPr>
              <w:t>3,320</w:t>
            </w:r>
            <w:r>
              <w:rPr>
                <w:rFonts w:ascii="Calibri" w:cs="Calibri" w:eastAsia="Calibri" w:hAnsi="Calibri"/>
                <w:sz w:val="10"/>
                <w:szCs w:val="10"/>
                <w:b w:val="1"/>
                <w:bCs w:val="1"/>
                <w:color w:val="AF0000"/>
              </w:rPr>
              <w:t xml:space="preserve"> (1)(2)</w:t>
            </w:r>
          </w:p>
        </w:tc>
        <w:tc>
          <w:tcPr>
            <w:tcW w:w="2140" w:type="dxa"/>
            <w:vAlign w:val="bottom"/>
          </w:tcPr>
          <w:p>
            <w:pPr>
              <w:jc w:val="center"/>
              <w:spacing w:after="0" w:line="216" w:lineRule="exact"/>
              <w:rPr>
                <w:sz w:val="20"/>
                <w:szCs w:val="20"/>
                <w:color w:val="auto"/>
              </w:rPr>
            </w:pPr>
            <w:r>
              <w:rPr>
                <w:rFonts w:ascii="Calibri" w:cs="Calibri" w:eastAsia="Calibri" w:hAnsi="Calibri"/>
                <w:sz w:val="17"/>
                <w:szCs w:val="17"/>
                <w:color w:val="auto"/>
                <w:w w:val="96"/>
              </w:rPr>
              <w:t xml:space="preserve">56.39 </w:t>
            </w:r>
            <w:r>
              <w:rPr>
                <w:rFonts w:ascii="Calibri" w:cs="Calibri" w:eastAsia="Calibri" w:hAnsi="Calibri"/>
                <w:sz w:val="23"/>
                <w:szCs w:val="23"/>
                <w:b w:val="1"/>
                <w:bCs w:val="1"/>
                <w:color w:val="AF0000"/>
                <w:w w:val="96"/>
                <w:vertAlign w:val="superscript"/>
              </w:rPr>
              <w:t>(3)</w:t>
            </w:r>
          </w:p>
        </w:tc>
        <w:tc>
          <w:tcPr>
            <w:tcW w:w="2160" w:type="dxa"/>
            <w:vAlign w:val="bottom"/>
          </w:tcPr>
          <w:p>
            <w:pPr>
              <w:jc w:val="center"/>
              <w:spacing w:after="0" w:line="216" w:lineRule="exact"/>
              <w:rPr>
                <w:sz w:val="20"/>
                <w:szCs w:val="20"/>
                <w:color w:val="auto"/>
              </w:rPr>
            </w:pPr>
            <w:r>
              <w:rPr>
                <w:rFonts w:ascii="Calibri" w:cs="Calibri" w:eastAsia="Calibri" w:hAnsi="Calibri"/>
                <w:sz w:val="17"/>
                <w:szCs w:val="17"/>
                <w:color w:val="auto"/>
                <w:w w:val="96"/>
              </w:rPr>
              <w:t xml:space="preserve">1,797 </w:t>
            </w:r>
            <w:r>
              <w:rPr>
                <w:rFonts w:ascii="Calibri" w:cs="Calibri" w:eastAsia="Calibri" w:hAnsi="Calibri"/>
                <w:sz w:val="23"/>
                <w:szCs w:val="23"/>
                <w:b w:val="1"/>
                <w:bCs w:val="1"/>
                <w:color w:val="AF0000"/>
                <w:w w:val="96"/>
                <w:vertAlign w:val="superscript"/>
              </w:rPr>
              <w:t>(4)</w:t>
            </w:r>
          </w:p>
        </w:tc>
      </w:tr>
      <w:tr>
        <w:trPr>
          <w:trHeight w:val="215"/>
        </w:trPr>
        <w:tc>
          <w:tcPr>
            <w:tcW w:w="216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holders</w:t>
            </w:r>
          </w:p>
        </w:tc>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0"/>
        </w:trPr>
        <w:tc>
          <w:tcPr>
            <w:tcW w:w="2160" w:type="dxa"/>
            <w:vAlign w:val="bottom"/>
            <w:tcBorders>
              <w:bottom w:val="single" w:sz="8" w:color="AF0000"/>
            </w:tcBorders>
          </w:tcPr>
          <w:p>
            <w:pPr>
              <w:spacing w:after="0"/>
              <w:rPr>
                <w:sz w:val="2"/>
                <w:szCs w:val="2"/>
                <w:color w:val="auto"/>
              </w:rPr>
            </w:pPr>
          </w:p>
        </w:tc>
        <w:tc>
          <w:tcPr>
            <w:tcW w:w="2120" w:type="dxa"/>
            <w:vAlign w:val="bottom"/>
            <w:tcBorders>
              <w:bottom w:val="single" w:sz="8" w:color="AF0000"/>
            </w:tcBorders>
          </w:tcPr>
          <w:p>
            <w:pPr>
              <w:spacing w:after="0"/>
              <w:rPr>
                <w:sz w:val="2"/>
                <w:szCs w:val="2"/>
                <w:color w:val="auto"/>
              </w:rPr>
            </w:pPr>
          </w:p>
        </w:tc>
        <w:tc>
          <w:tcPr>
            <w:tcW w:w="2140" w:type="dxa"/>
            <w:vAlign w:val="bottom"/>
            <w:tcBorders>
              <w:bottom w:val="single" w:sz="8" w:color="AF0000"/>
            </w:tcBorders>
          </w:tcPr>
          <w:p>
            <w:pPr>
              <w:spacing w:after="0"/>
              <w:rPr>
                <w:sz w:val="2"/>
                <w:szCs w:val="2"/>
                <w:color w:val="auto"/>
              </w:rPr>
            </w:pPr>
          </w:p>
        </w:tc>
        <w:tc>
          <w:tcPr>
            <w:tcW w:w="2160" w:type="dxa"/>
            <w:vAlign w:val="bottom"/>
            <w:tcBorders>
              <w:bottom w:val="single" w:sz="8" w:color="AF0000"/>
            </w:tcBorders>
          </w:tcPr>
          <w:p>
            <w:pPr>
              <w:spacing w:after="0"/>
              <w:rPr>
                <w:sz w:val="2"/>
                <w:szCs w:val="2"/>
                <w:color w:val="auto"/>
              </w:rPr>
            </w:pPr>
          </w:p>
        </w:tc>
      </w:tr>
    </w:tbl>
    <w:p>
      <w:pPr>
        <w:spacing w:after="0" w:line="90" w:lineRule="exact"/>
        <w:rPr>
          <w:sz w:val="20"/>
          <w:szCs w:val="20"/>
          <w:color w:val="auto"/>
        </w:rPr>
      </w:pPr>
    </w:p>
    <w:p>
      <w:pPr>
        <w:ind w:left="540" w:right="479" w:hanging="331"/>
        <w:spacing w:after="0" w:line="237" w:lineRule="auto"/>
        <w:tabs>
          <w:tab w:leader="none" w:pos="540" w:val="left"/>
        </w:tabs>
        <w:numPr>
          <w:ilvl w:val="0"/>
          <w:numId w:val="112"/>
        </w:numPr>
        <w:rPr>
          <w:rFonts w:ascii="Calibri" w:cs="Calibri" w:eastAsia="Calibri" w:hAnsi="Calibri"/>
          <w:sz w:val="16"/>
          <w:szCs w:val="16"/>
          <w:color w:val="AF0000"/>
        </w:rPr>
      </w:pPr>
      <w:r>
        <w:rPr>
          <w:rFonts w:ascii="Calibri" w:cs="Calibri" w:eastAsia="Calibri" w:hAnsi="Calibri"/>
          <w:sz w:val="16"/>
          <w:szCs w:val="16"/>
          <w:color w:val="auto"/>
        </w:rPr>
        <w:t>Consists of 482,785 shares of Common Stock subject to optons granted under the Merit Medical Systems, Inc. 2006 Long-Term Incentve Plan, 2,385,344 shares of Common Stock subject to optons granted under the 2018 Incentve Plan, up to 431,910 shares of Common Stock subject to performance stock units granted under the 2018 Incentve Plan, and 20,358 shares of Common Stock subject to restricted stock units under the 2018 Incentve Plan.</w:t>
      </w:r>
    </w:p>
    <w:p>
      <w:pPr>
        <w:spacing w:after="0" w:line="2" w:lineRule="exact"/>
        <w:rPr>
          <w:rFonts w:ascii="Calibri" w:cs="Calibri" w:eastAsia="Calibri" w:hAnsi="Calibri"/>
          <w:sz w:val="16"/>
          <w:szCs w:val="16"/>
          <w:color w:val="AF0000"/>
        </w:rPr>
      </w:pPr>
    </w:p>
    <w:p>
      <w:pPr>
        <w:ind w:left="540" w:right="659" w:hanging="331"/>
        <w:spacing w:after="0" w:line="237" w:lineRule="auto"/>
        <w:tabs>
          <w:tab w:leader="none" w:pos="540" w:val="left"/>
        </w:tabs>
        <w:numPr>
          <w:ilvl w:val="0"/>
          <w:numId w:val="112"/>
        </w:numPr>
        <w:rPr>
          <w:rFonts w:ascii="Calibri" w:cs="Calibri" w:eastAsia="Calibri" w:hAnsi="Calibri"/>
          <w:sz w:val="16"/>
          <w:szCs w:val="16"/>
          <w:color w:val="AF0000"/>
        </w:rPr>
      </w:pPr>
      <w:r>
        <w:rPr>
          <w:rFonts w:ascii="Calibri" w:cs="Calibri" w:eastAsia="Calibri" w:hAnsi="Calibri"/>
          <w:sz w:val="16"/>
          <w:szCs w:val="16"/>
          <w:color w:val="auto"/>
        </w:rPr>
        <w:t>Performance stock units are included in column (a) based on actual FCF and rTSR multpliers for unvested awards with completed performance periods and based on the maximum potental payout for awards with incomplete performance periods.</w:t>
      </w:r>
    </w:p>
    <w:p>
      <w:pPr>
        <w:spacing w:after="0" w:line="1" w:lineRule="exact"/>
        <w:rPr>
          <w:rFonts w:ascii="Calibri" w:cs="Calibri" w:eastAsia="Calibri" w:hAnsi="Calibri"/>
          <w:sz w:val="16"/>
          <w:szCs w:val="16"/>
          <w:color w:val="AF0000"/>
        </w:rPr>
      </w:pPr>
    </w:p>
    <w:p>
      <w:pPr>
        <w:ind w:left="540" w:right="379" w:hanging="331"/>
        <w:spacing w:after="0" w:line="237" w:lineRule="auto"/>
        <w:tabs>
          <w:tab w:leader="none" w:pos="540" w:val="left"/>
        </w:tabs>
        <w:numPr>
          <w:ilvl w:val="0"/>
          <w:numId w:val="112"/>
        </w:numPr>
        <w:rPr>
          <w:rFonts w:ascii="Calibri" w:cs="Calibri" w:eastAsia="Calibri" w:hAnsi="Calibri"/>
          <w:sz w:val="16"/>
          <w:szCs w:val="16"/>
          <w:color w:val="AF0000"/>
        </w:rPr>
      </w:pPr>
      <w:r>
        <w:rPr>
          <w:rFonts w:ascii="Calibri" w:cs="Calibri" w:eastAsia="Calibri" w:hAnsi="Calibri"/>
          <w:sz w:val="16"/>
          <w:szCs w:val="16"/>
          <w:color w:val="auto"/>
        </w:rPr>
        <w:t>The weighted-average exercise price included in the table excludes the performance stock units and restricted stock units included in column (a), as the underlying shares are issued and distributed to the recipient upon vestng and do not have an exercise price.</w:t>
      </w:r>
    </w:p>
    <w:p>
      <w:pPr>
        <w:spacing w:after="0" w:line="1" w:lineRule="exact"/>
        <w:rPr>
          <w:rFonts w:ascii="Calibri" w:cs="Calibri" w:eastAsia="Calibri" w:hAnsi="Calibri"/>
          <w:sz w:val="16"/>
          <w:szCs w:val="16"/>
          <w:color w:val="AF0000"/>
        </w:rPr>
      </w:pPr>
    </w:p>
    <w:p>
      <w:pPr>
        <w:ind w:left="540" w:right="459" w:hanging="331"/>
        <w:spacing w:after="0" w:line="232" w:lineRule="auto"/>
        <w:tabs>
          <w:tab w:leader="none" w:pos="540" w:val="left"/>
        </w:tabs>
        <w:numPr>
          <w:ilvl w:val="0"/>
          <w:numId w:val="112"/>
        </w:numPr>
        <w:rPr>
          <w:rFonts w:ascii="Calibri" w:cs="Calibri" w:eastAsia="Calibri" w:hAnsi="Calibri"/>
          <w:sz w:val="16"/>
          <w:szCs w:val="16"/>
          <w:color w:val="AF0000"/>
        </w:rPr>
      </w:pPr>
      <w:r>
        <w:rPr>
          <w:rFonts w:ascii="Calibri" w:cs="Calibri" w:eastAsia="Calibri" w:hAnsi="Calibri"/>
          <w:sz w:val="16"/>
          <w:szCs w:val="16"/>
          <w:color w:val="auto"/>
        </w:rPr>
        <w:t>Consists of 87,673 shares available to be issued under the 1996 Merit Medical Systems, Inc. Employee Stock Purchase Plan and 1,709,391 shares available to be issued under the 2018 Incentve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87" w:name="page88"/>
    <w:bookmarkEnd w:id="87"/>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OTHER PROXY INFORMATION</w:t>
      </w:r>
    </w:p>
    <w:p>
      <w:pPr>
        <w:spacing w:after="0" w:line="118" w:lineRule="exact"/>
        <w:rPr>
          <w:sz w:val="20"/>
          <w:szCs w:val="20"/>
          <w:color w:val="auto"/>
        </w:rPr>
      </w:pPr>
    </w:p>
    <w:p>
      <w:pPr>
        <w:ind w:left="200"/>
        <w:spacing w:after="0"/>
        <w:rPr>
          <w:sz w:val="20"/>
          <w:szCs w:val="20"/>
          <w:color w:val="auto"/>
        </w:rPr>
      </w:pPr>
      <w:r>
        <w:rPr>
          <w:rFonts w:ascii="Calibri" w:cs="Calibri" w:eastAsia="Calibri" w:hAnsi="Calibri"/>
          <w:sz w:val="32"/>
          <w:szCs w:val="32"/>
          <w:b w:val="1"/>
          <w:bCs w:val="1"/>
          <w:color w:val="FFFFFF"/>
        </w:rPr>
        <w:t>OTHER PROXY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-221615</wp:posOffset>
            </wp:positionV>
            <wp:extent cx="5452110" cy="2482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52110" cy="248285"/>
                    </a:xfrm>
                    <a:prstGeom prst="rect">
                      <a:avLst/>
                    </a:prstGeom>
                    <a:noFill/>
                  </pic:spPr>
                </pic:pic>
              </a:graphicData>
            </a:graphic>
          </wp:anchor>
        </w:drawing>
      </w:r>
    </w:p>
    <w:p>
      <w:pPr>
        <w:spacing w:after="0" w:line="210"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Informaton about the Annual Meetng and Votng</w:t>
      </w:r>
    </w:p>
    <w:p>
      <w:pPr>
        <w:spacing w:after="0" w:line="199" w:lineRule="exact"/>
        <w:rPr>
          <w:sz w:val="20"/>
          <w:szCs w:val="20"/>
          <w:color w:val="auto"/>
        </w:rPr>
      </w:pPr>
    </w:p>
    <w:p>
      <w:pPr>
        <w:ind w:left="200" w:right="479"/>
        <w:spacing w:after="0" w:line="235" w:lineRule="auto"/>
        <w:rPr>
          <w:sz w:val="20"/>
          <w:szCs w:val="20"/>
          <w:color w:val="auto"/>
        </w:rPr>
      </w:pPr>
      <w:r>
        <w:rPr>
          <w:rFonts w:ascii="Calibri" w:cs="Calibri" w:eastAsia="Calibri" w:hAnsi="Calibri"/>
          <w:sz w:val="18"/>
          <w:szCs w:val="18"/>
          <w:color w:val="auto"/>
        </w:rPr>
        <w:t>On behalf of the Company, the Board is solicitng your proxy to vote at our Annual Meetng (or at any adjournment of the meetng). This Proxy Statement includes informaton you need to know to vote at the Annual Meetng.</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Date, Time and Place of the Annual Meetng</w:t>
      </w:r>
    </w:p>
    <w:p>
      <w:pPr>
        <w:spacing w:after="0" w:line="172" w:lineRule="exact"/>
        <w:rPr>
          <w:sz w:val="20"/>
          <w:szCs w:val="20"/>
          <w:color w:val="auto"/>
        </w:rPr>
      </w:pPr>
    </w:p>
    <w:p>
      <w:pPr>
        <w:ind w:left="860"/>
        <w:spacing w:after="0"/>
        <w:tabs>
          <w:tab w:leader="none" w:pos="1480" w:val="left"/>
        </w:tabs>
        <w:rPr>
          <w:sz w:val="20"/>
          <w:szCs w:val="20"/>
          <w:color w:val="auto"/>
        </w:rPr>
      </w:pPr>
      <w:r>
        <w:rPr>
          <w:rFonts w:ascii="Calibri" w:cs="Calibri" w:eastAsia="Calibri" w:hAnsi="Calibri"/>
          <w:sz w:val="18"/>
          <w:szCs w:val="18"/>
          <w:b w:val="1"/>
          <w:bCs w:val="1"/>
          <w:color w:val="AF0000"/>
        </w:rPr>
        <w:t>Date</w:t>
      </w:r>
      <w:r>
        <w:rPr>
          <w:rFonts w:ascii="Calibri" w:cs="Calibri" w:eastAsia="Calibri" w:hAnsi="Calibri"/>
          <w:sz w:val="18"/>
          <w:szCs w:val="18"/>
          <w:color w:val="000000"/>
        </w:rPr>
        <w:t>:</w:t>
      </w:r>
      <w:r>
        <w:rPr>
          <w:sz w:val="20"/>
          <w:szCs w:val="20"/>
          <w:color w:val="auto"/>
        </w:rPr>
        <w:tab/>
      </w:r>
      <w:r>
        <w:rPr>
          <w:rFonts w:ascii="Calibri" w:cs="Calibri" w:eastAsia="Calibri" w:hAnsi="Calibri"/>
          <w:sz w:val="17"/>
          <w:szCs w:val="17"/>
          <w:color w:val="auto"/>
        </w:rPr>
        <w:t>May 15, 2024</w:t>
      </w:r>
    </w:p>
    <w:p>
      <w:pPr>
        <w:spacing w:after="0" w:line="217" w:lineRule="exact"/>
        <w:rPr>
          <w:sz w:val="20"/>
          <w:szCs w:val="20"/>
          <w:color w:val="auto"/>
        </w:rPr>
      </w:pPr>
    </w:p>
    <w:p>
      <w:pPr>
        <w:ind w:left="860" w:right="499"/>
        <w:spacing w:after="0" w:line="235" w:lineRule="auto"/>
        <w:rPr>
          <w:sz w:val="20"/>
          <w:szCs w:val="20"/>
          <w:color w:val="auto"/>
        </w:rPr>
      </w:pPr>
      <w:r>
        <w:rPr>
          <w:rFonts w:ascii="Calibri" w:cs="Calibri" w:eastAsia="Calibri" w:hAnsi="Calibri"/>
          <w:sz w:val="18"/>
          <w:szCs w:val="18"/>
          <w:b w:val="1"/>
          <w:bCs w:val="1"/>
          <w:color w:val="AF0000"/>
        </w:rPr>
        <w:t>Time</w:t>
      </w:r>
      <w:r>
        <w:rPr>
          <w:rFonts w:ascii="Calibri" w:cs="Calibri" w:eastAsia="Calibri" w:hAnsi="Calibri"/>
          <w:sz w:val="18"/>
          <w:szCs w:val="18"/>
          <w:color w:val="000000"/>
        </w:rPr>
        <w:t>: 2:00 p.m. (Mountain Time) We encourage you to access the Annual Meetng prior to the start tme</w:t>
      </w:r>
      <w:r>
        <w:rPr>
          <w:rFonts w:ascii="Calibri" w:cs="Calibri" w:eastAsia="Calibri" w:hAnsi="Calibri"/>
          <w:sz w:val="18"/>
          <w:szCs w:val="18"/>
          <w:b w:val="1"/>
          <w:bCs w:val="1"/>
          <w:color w:val="AF0000"/>
        </w:rPr>
        <w:t xml:space="preserve"> </w:t>
      </w:r>
      <w:r>
        <w:rPr>
          <w:rFonts w:ascii="Calibri" w:cs="Calibri" w:eastAsia="Calibri" w:hAnsi="Calibri"/>
          <w:sz w:val="18"/>
          <w:szCs w:val="18"/>
          <w:color w:val="000000"/>
        </w:rPr>
        <w:t>and allow plenty of tme to log into the Annual Meetng.</w:t>
      </w:r>
    </w:p>
    <w:p>
      <w:pPr>
        <w:spacing w:after="0" w:line="199" w:lineRule="exact"/>
        <w:rPr>
          <w:sz w:val="20"/>
          <w:szCs w:val="20"/>
          <w:color w:val="auto"/>
        </w:rPr>
      </w:pPr>
    </w:p>
    <w:p>
      <w:pPr>
        <w:ind w:left="860"/>
        <w:spacing w:after="0"/>
        <w:tabs>
          <w:tab w:leader="none" w:pos="1480" w:val="left"/>
        </w:tabs>
        <w:rPr>
          <w:sz w:val="20"/>
          <w:szCs w:val="20"/>
          <w:color w:val="auto"/>
        </w:rPr>
      </w:pPr>
      <w:r>
        <w:rPr>
          <w:rFonts w:ascii="Calibri" w:cs="Calibri" w:eastAsia="Calibri" w:hAnsi="Calibri"/>
          <w:sz w:val="18"/>
          <w:szCs w:val="18"/>
          <w:b w:val="1"/>
          <w:bCs w:val="1"/>
          <w:color w:val="AF0000"/>
        </w:rPr>
        <w:t>Place</w:t>
      </w:r>
      <w:r>
        <w:rPr>
          <w:rFonts w:ascii="Calibri" w:cs="Calibri" w:eastAsia="Calibri" w:hAnsi="Calibri"/>
          <w:sz w:val="18"/>
          <w:szCs w:val="18"/>
          <w:color w:val="000000"/>
        </w:rPr>
        <w:t>:</w:t>
      </w:r>
      <w:r>
        <w:rPr>
          <w:sz w:val="20"/>
          <w:szCs w:val="20"/>
          <w:color w:val="auto"/>
        </w:rPr>
        <w:tab/>
      </w:r>
      <w:r>
        <w:rPr>
          <w:rFonts w:ascii="Calibri" w:cs="Calibri" w:eastAsia="Calibri" w:hAnsi="Calibri"/>
          <w:sz w:val="17"/>
          <w:szCs w:val="17"/>
          <w:color w:val="auto"/>
        </w:rPr>
        <w:t>Online at www.virtualshareholdermeetng.com/MMSI2024</w:t>
      </w:r>
    </w:p>
    <w:p>
      <w:pPr>
        <w:spacing w:after="0" w:line="217" w:lineRule="exact"/>
        <w:rPr>
          <w:sz w:val="20"/>
          <w:szCs w:val="20"/>
          <w:color w:val="auto"/>
        </w:rPr>
      </w:pPr>
    </w:p>
    <w:p>
      <w:pPr>
        <w:jc w:val="both"/>
        <w:ind w:left="200" w:right="399"/>
        <w:spacing w:after="0" w:line="235" w:lineRule="auto"/>
        <w:rPr>
          <w:sz w:val="20"/>
          <w:szCs w:val="20"/>
          <w:color w:val="auto"/>
        </w:rPr>
      </w:pPr>
      <w:r>
        <w:rPr>
          <w:rFonts w:ascii="Calibri" w:cs="Calibri" w:eastAsia="Calibri" w:hAnsi="Calibri"/>
          <w:sz w:val="18"/>
          <w:szCs w:val="18"/>
          <w:color w:val="auto"/>
        </w:rPr>
        <w:t>The Annual Meetng platorm is fully supported across browsers and devices running the most updated versions of the applicable sofware and plugins. Partcipants should ensure that they have a strong Internet connecton wherever they intend to partcipate in the Annual Meetng.</w:t>
      </w:r>
    </w:p>
    <w:p>
      <w:pPr>
        <w:spacing w:after="0" w:line="178" w:lineRule="exact"/>
        <w:rPr>
          <w:sz w:val="20"/>
          <w:szCs w:val="20"/>
          <w:color w:val="auto"/>
        </w:rPr>
      </w:pPr>
    </w:p>
    <w:p>
      <w:pPr>
        <w:ind w:left="200" w:right="359"/>
        <w:spacing w:after="0" w:line="235" w:lineRule="auto"/>
        <w:rPr>
          <w:sz w:val="20"/>
          <w:szCs w:val="20"/>
          <w:color w:val="auto"/>
        </w:rPr>
      </w:pPr>
      <w:r>
        <w:rPr>
          <w:rFonts w:ascii="Calibri" w:cs="Calibri" w:eastAsia="Calibri" w:hAnsi="Calibri"/>
          <w:sz w:val="18"/>
          <w:szCs w:val="18"/>
          <w:color w:val="auto"/>
        </w:rPr>
        <w:t>This Proxy Statement, the Notce of the 2024 Annual Meetng of Shareholders and the accompanying form of proxy are frst being mailed or made available to our shareholders on or about April 5, 2024.</w:t>
      </w:r>
    </w:p>
    <w:p>
      <w:pPr>
        <w:spacing w:after="0" w:line="177" w:lineRule="exact"/>
        <w:rPr>
          <w:sz w:val="20"/>
          <w:szCs w:val="20"/>
          <w:color w:val="auto"/>
        </w:rPr>
      </w:pPr>
    </w:p>
    <w:p>
      <w:pPr>
        <w:ind w:left="200" w:right="259"/>
        <w:spacing w:after="0" w:line="234" w:lineRule="auto"/>
        <w:rPr>
          <w:sz w:val="20"/>
          <w:szCs w:val="20"/>
          <w:color w:val="auto"/>
        </w:rPr>
      </w:pPr>
      <w:r>
        <w:rPr>
          <w:rFonts w:ascii="Calibri" w:cs="Calibri" w:eastAsia="Calibri" w:hAnsi="Calibri"/>
          <w:sz w:val="18"/>
          <w:szCs w:val="18"/>
          <w:color w:val="auto"/>
        </w:rPr>
        <w:t>We will bear all costs and expenses relatng to the solicitaton of proxies, including the costs of preparing, printng and mailing to shareholders this Proxy Statement and accompanying materials, as well as the expense of making this Proxy Statement and accompanying materials available on the Internet (although shareholders must bear any costs associated with their Internet access). In additon to the solicitaton of proxies by use of the mail and the Internet, our directors, ofcers, and employees, without receiving additonal compensaton, may solicit proxies personally or by telephone, electronic mail or facsimile. Arrangements will be made with brokerage frms and other custodians, nominees and fduciaries for the forwarding of solicitaton materials to the benefcial owners of the shares of Common Stock held by those persons, and we will reimburse those brokerage frms, custodians, nominees and fduciaries for reasonable out-of-pocket expenses incurred by them in connecton therewith.</w:t>
      </w:r>
    </w:p>
    <w:p>
      <w:pPr>
        <w:spacing w:after="0" w:line="178" w:lineRule="exact"/>
        <w:rPr>
          <w:sz w:val="20"/>
          <w:szCs w:val="20"/>
          <w:color w:val="auto"/>
        </w:rPr>
      </w:pPr>
    </w:p>
    <w:p>
      <w:pPr>
        <w:ind w:left="200" w:right="419"/>
        <w:spacing w:after="0" w:line="235" w:lineRule="auto"/>
        <w:rPr>
          <w:sz w:val="20"/>
          <w:szCs w:val="20"/>
          <w:color w:val="auto"/>
        </w:rPr>
      </w:pPr>
      <w:r>
        <w:rPr>
          <w:rFonts w:ascii="Calibri" w:cs="Calibri" w:eastAsia="Calibri" w:hAnsi="Calibri"/>
          <w:sz w:val="18"/>
          <w:szCs w:val="18"/>
          <w:color w:val="auto"/>
        </w:rPr>
        <w:t>The Board has fxed the close of business on March 18, 2024 as the Record Date for determinaton of shareholders enttled to receive notce of and to vote at the Annual Meetng. As of the Record Date, there were issued and outstanding 58,064,556 shares of Common Stock. The holders of record of the shares of Common Stock on the Record Date enttled to be voted at the Annual Meetng are enttled to cast one vote per share on each mater submited to a vote at the Annual Meetng.</w:t>
      </w:r>
    </w:p>
    <w:p>
      <w:pPr>
        <w:spacing w:after="0" w:line="168"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Method for Electronic Viewing and Printng of the Proxy Materials</w:t>
      </w:r>
    </w:p>
    <w:p>
      <w:pPr>
        <w:spacing w:after="0" w:line="146" w:lineRule="exact"/>
        <w:rPr>
          <w:sz w:val="20"/>
          <w:szCs w:val="20"/>
          <w:color w:val="auto"/>
        </w:rPr>
      </w:pPr>
    </w:p>
    <w:p>
      <w:pPr>
        <w:ind w:left="200" w:right="379"/>
        <w:spacing w:after="0" w:line="235" w:lineRule="auto"/>
        <w:rPr>
          <w:sz w:val="20"/>
          <w:szCs w:val="20"/>
          <w:color w:val="auto"/>
        </w:rPr>
      </w:pPr>
      <w:r>
        <w:rPr>
          <w:rFonts w:ascii="Calibri" w:cs="Calibri" w:eastAsia="Calibri" w:hAnsi="Calibri"/>
          <w:sz w:val="18"/>
          <w:szCs w:val="18"/>
          <w:color w:val="auto"/>
        </w:rPr>
        <w:t>The Record Date is March 18, 2024. Shareholders of record on the Record Date will be enttled to notce and to vote, in person or by proxy, at the Annual Meetng and any adjournments or postponements thereof.</w:t>
      </w:r>
    </w:p>
    <w:p>
      <w:pPr>
        <w:spacing w:after="0" w:line="177" w:lineRule="exact"/>
        <w:rPr>
          <w:sz w:val="20"/>
          <w:szCs w:val="20"/>
          <w:color w:val="auto"/>
        </w:rPr>
      </w:pPr>
    </w:p>
    <w:p>
      <w:pPr>
        <w:ind w:left="200" w:right="279"/>
        <w:spacing w:after="0" w:line="233" w:lineRule="auto"/>
        <w:rPr>
          <w:sz w:val="20"/>
          <w:szCs w:val="20"/>
          <w:color w:val="auto"/>
        </w:rPr>
      </w:pPr>
      <w:r>
        <w:rPr>
          <w:rFonts w:ascii="Calibri" w:cs="Calibri" w:eastAsia="Calibri" w:hAnsi="Calibri"/>
          <w:sz w:val="18"/>
          <w:szCs w:val="18"/>
          <w:color w:val="auto"/>
        </w:rPr>
        <w:t xml:space="preserve">SEC rules allow companies to furnish their proxy materials over the Internet. As a result, the Company is mailing to most of its shareholders a Notce of Internet Availability of Proxy Materials (the </w:t>
      </w:r>
      <w:r>
        <w:rPr>
          <w:rFonts w:ascii="Calibri" w:cs="Calibri" w:eastAsia="Calibri" w:hAnsi="Calibri"/>
          <w:sz w:val="18"/>
          <w:szCs w:val="18"/>
          <w:u w:val="single" w:color="auto"/>
          <w:color w:val="AF0000"/>
        </w:rPr>
        <w:t>Notce</w:t>
      </w:r>
      <w:r>
        <w:rPr>
          <w:rFonts w:ascii="Calibri" w:cs="Calibri" w:eastAsia="Calibri" w:hAnsi="Calibri"/>
          <w:sz w:val="18"/>
          <w:szCs w:val="18"/>
          <w:color w:val="auto"/>
        </w:rPr>
        <w:t>) instead of a paper copy of this Proxy Statement and our Annual Report. The Notce contains instructons on how to access those documents over the Internet. The Notce also contains instructons on how to request a paper copy of our proxy materials, including this Proxy Statement, the Annual Report and a form of proxy card or votng instructon card. All shareholders who do not receive a Notce will receive a paper copy of the proxy materials by mail. We believe this process will allow us to provide shareholders with the informaton they need in a more efcient manner, while reducing the environmental impact and lowering the costs of printng and distributng these proxy materials.</w:t>
      </w: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84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88" w:name="page89"/>
    <w:bookmarkEnd w:id="88"/>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6720"/>
        <w:spacing w:after="0"/>
        <w:rPr>
          <w:sz w:val="20"/>
          <w:szCs w:val="20"/>
          <w:color w:val="auto"/>
        </w:rPr>
      </w:pPr>
      <w:r>
        <w:rPr>
          <w:rFonts w:ascii="Calibri" w:cs="Calibri" w:eastAsia="Calibri" w:hAnsi="Calibri"/>
          <w:sz w:val="17"/>
          <w:szCs w:val="17"/>
          <w:color w:val="auto"/>
        </w:rPr>
        <w:t>OTHER PROXY INFORMATION</w:t>
      </w:r>
    </w:p>
    <w:p>
      <w:pPr>
        <w:spacing w:after="0" w:line="184" w:lineRule="exact"/>
        <w:rPr>
          <w:sz w:val="20"/>
          <w:szCs w:val="20"/>
          <w:color w:val="auto"/>
        </w:rPr>
      </w:pPr>
    </w:p>
    <w:p>
      <w:pPr>
        <w:jc w:val="both"/>
        <w:ind w:left="200" w:right="519"/>
        <w:spacing w:after="0" w:line="235" w:lineRule="auto"/>
        <w:rPr>
          <w:sz w:val="20"/>
          <w:szCs w:val="20"/>
          <w:color w:val="auto"/>
        </w:rPr>
      </w:pPr>
      <w:r>
        <w:rPr>
          <w:rFonts w:ascii="Calibri" w:cs="Calibri" w:eastAsia="Calibri" w:hAnsi="Calibri"/>
          <w:sz w:val="18"/>
          <w:szCs w:val="18"/>
          <w:color w:val="auto"/>
        </w:rPr>
        <w:t>All shareholders may choose to access our proxy materials on the website (</w:t>
      </w:r>
      <w:r>
        <w:rPr>
          <w:rFonts w:ascii="Calibri" w:cs="Calibri" w:eastAsia="Calibri" w:hAnsi="Calibri"/>
          <w:sz w:val="18"/>
          <w:szCs w:val="18"/>
          <w:b w:val="1"/>
          <w:bCs w:val="1"/>
          <w:color w:val="AF0000"/>
        </w:rPr>
        <w:t>www.proxyvote.com</w:t>
      </w:r>
      <w:r>
        <w:rPr>
          <w:rFonts w:ascii="Calibri" w:cs="Calibri" w:eastAsia="Calibri" w:hAnsi="Calibri"/>
          <w:sz w:val="18"/>
          <w:szCs w:val="18"/>
          <w:color w:val="auto"/>
        </w:rPr>
        <w:t>) or may request to receive a printed set of our proxy materials. This Proxy Statement contains informaton regarding the proposals to be considered at the Annual Meetng, and shareholders are encouraged to read it in its entrety.</w:t>
      </w:r>
    </w:p>
    <w:p>
      <w:pPr>
        <w:spacing w:after="0" w:line="166"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Proxies</w:t>
      </w:r>
    </w:p>
    <w:p>
      <w:pPr>
        <w:spacing w:after="0" w:line="146" w:lineRule="exact"/>
        <w:rPr>
          <w:sz w:val="20"/>
          <w:szCs w:val="20"/>
          <w:color w:val="auto"/>
        </w:rPr>
      </w:pPr>
    </w:p>
    <w:p>
      <w:pPr>
        <w:ind w:left="200" w:right="319"/>
        <w:spacing w:after="0" w:line="235" w:lineRule="auto"/>
        <w:rPr>
          <w:sz w:val="20"/>
          <w:szCs w:val="20"/>
          <w:color w:val="auto"/>
        </w:rPr>
      </w:pPr>
      <w:r>
        <w:rPr>
          <w:rFonts w:ascii="Calibri" w:cs="Calibri" w:eastAsia="Calibri" w:hAnsi="Calibri"/>
          <w:sz w:val="18"/>
          <w:szCs w:val="18"/>
          <w:color w:val="auto"/>
        </w:rPr>
        <w:t>Shares of Common Stock that are enttled to be voted at the Annual Meetng and are represented by properly executed proxies will be voted in accordance with the instructons on those proxies.</w:t>
      </w:r>
    </w:p>
    <w:p>
      <w:pPr>
        <w:spacing w:after="0" w:line="172"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If no instructons are indicated, shares on a properly executed proxy will be voted:</w:t>
      </w:r>
    </w:p>
    <w:p>
      <w:pPr>
        <w:spacing w:after="0" w:line="172" w:lineRule="exact"/>
        <w:rPr>
          <w:sz w:val="20"/>
          <w:szCs w:val="20"/>
          <w:color w:val="auto"/>
        </w:rPr>
      </w:pPr>
    </w:p>
    <w:p>
      <w:pPr>
        <w:ind w:left="540" w:hanging="331"/>
        <w:spacing w:after="0"/>
        <w:tabs>
          <w:tab w:leader="none" w:pos="540" w:val="left"/>
        </w:tabs>
        <w:numPr>
          <w:ilvl w:val="0"/>
          <w:numId w:val="113"/>
        </w:numPr>
        <w:rPr>
          <w:rFonts w:ascii="Times New Roman" w:cs="Times New Roman" w:eastAsia="Times New Roman" w:hAnsi="Times New Roman"/>
          <w:sz w:val="18"/>
          <w:szCs w:val="18"/>
          <w:color w:val="AF0000"/>
        </w:rPr>
      </w:pPr>
      <w:r>
        <w:rPr>
          <w:rFonts w:ascii="Calibri" w:cs="Calibri" w:eastAsia="Calibri" w:hAnsi="Calibri"/>
          <w:sz w:val="18"/>
          <w:szCs w:val="18"/>
          <w:b w:val="1"/>
          <w:bCs w:val="1"/>
          <w:color w:val="AF0000"/>
        </w:rPr>
        <w:t xml:space="preserve">FOR </w:t>
      </w:r>
      <w:r>
        <w:rPr>
          <w:rFonts w:ascii="Calibri" w:cs="Calibri" w:eastAsia="Calibri" w:hAnsi="Calibri"/>
          <w:sz w:val="18"/>
          <w:szCs w:val="18"/>
          <w:color w:val="000000"/>
        </w:rPr>
        <w:t>the electon of each of the three director nominees identfed in this Proxy Statement;</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113"/>
        </w:numPr>
        <w:rPr>
          <w:rFonts w:ascii="Times New Roman" w:cs="Times New Roman" w:eastAsia="Times New Roman" w:hAnsi="Times New Roman"/>
          <w:sz w:val="18"/>
          <w:szCs w:val="18"/>
          <w:color w:val="AF0000"/>
        </w:rPr>
      </w:pPr>
      <w:r>
        <w:rPr>
          <w:rFonts w:ascii="Calibri" w:cs="Calibri" w:eastAsia="Calibri" w:hAnsi="Calibri"/>
          <w:sz w:val="18"/>
          <w:szCs w:val="18"/>
          <w:b w:val="1"/>
          <w:bCs w:val="1"/>
          <w:color w:val="AF0000"/>
        </w:rPr>
        <w:t xml:space="preserve">FOR </w:t>
      </w:r>
      <w:r>
        <w:rPr>
          <w:rFonts w:ascii="Calibri" w:cs="Calibri" w:eastAsia="Calibri" w:hAnsi="Calibri"/>
          <w:sz w:val="18"/>
          <w:szCs w:val="18"/>
          <w:color w:val="000000"/>
        </w:rPr>
        <w:t>the non-binding resoluton to approve the compensaton of our NEOs;</w:t>
      </w:r>
    </w:p>
    <w:p>
      <w:pPr>
        <w:spacing w:after="0" w:line="190" w:lineRule="exact"/>
        <w:rPr>
          <w:rFonts w:ascii="Times New Roman" w:cs="Times New Roman" w:eastAsia="Times New Roman" w:hAnsi="Times New Roman"/>
          <w:sz w:val="18"/>
          <w:szCs w:val="18"/>
          <w:color w:val="AF0000"/>
        </w:rPr>
      </w:pPr>
    </w:p>
    <w:p>
      <w:pPr>
        <w:ind w:left="540" w:right="519" w:hanging="331"/>
        <w:spacing w:after="0" w:line="235" w:lineRule="auto"/>
        <w:tabs>
          <w:tab w:leader="none" w:pos="540" w:val="left"/>
        </w:tabs>
        <w:numPr>
          <w:ilvl w:val="0"/>
          <w:numId w:val="113"/>
        </w:numPr>
        <w:rPr>
          <w:rFonts w:ascii="Times New Roman" w:cs="Times New Roman" w:eastAsia="Times New Roman" w:hAnsi="Times New Roman"/>
          <w:sz w:val="18"/>
          <w:szCs w:val="18"/>
          <w:color w:val="AF0000"/>
        </w:rPr>
      </w:pPr>
      <w:r>
        <w:rPr>
          <w:rFonts w:ascii="Calibri" w:cs="Calibri" w:eastAsia="Calibri" w:hAnsi="Calibri"/>
          <w:sz w:val="18"/>
          <w:szCs w:val="18"/>
          <w:b w:val="1"/>
          <w:bCs w:val="1"/>
          <w:color w:val="AF0000"/>
        </w:rPr>
        <w:t xml:space="preserve">FOR </w:t>
      </w:r>
      <w:r>
        <w:rPr>
          <w:rFonts w:ascii="Calibri" w:cs="Calibri" w:eastAsia="Calibri" w:hAnsi="Calibri"/>
          <w:sz w:val="18"/>
          <w:szCs w:val="18"/>
          <w:color w:val="000000"/>
        </w:rPr>
        <w:t>the approval of an amendment to increase the number of shares authorized under the 2018 Incentve Plan;</w:t>
      </w:r>
      <w:r>
        <w:rPr>
          <w:rFonts w:ascii="Calibri" w:cs="Calibri" w:eastAsia="Calibri" w:hAnsi="Calibri"/>
          <w:sz w:val="18"/>
          <w:szCs w:val="18"/>
          <w:b w:val="1"/>
          <w:bCs w:val="1"/>
          <w:color w:val="AF0000"/>
        </w:rPr>
        <w:t xml:space="preserve"> </w:t>
      </w:r>
      <w:r>
        <w:rPr>
          <w:rFonts w:ascii="Calibri" w:cs="Calibri" w:eastAsia="Calibri" w:hAnsi="Calibri"/>
          <w:sz w:val="18"/>
          <w:szCs w:val="18"/>
          <w:color w:val="000000"/>
        </w:rPr>
        <w:t>and</w:t>
      </w:r>
    </w:p>
    <w:p>
      <w:pPr>
        <w:spacing w:after="0" w:line="177" w:lineRule="exact"/>
        <w:rPr>
          <w:rFonts w:ascii="Times New Roman" w:cs="Times New Roman" w:eastAsia="Times New Roman" w:hAnsi="Times New Roman"/>
          <w:sz w:val="18"/>
          <w:szCs w:val="18"/>
          <w:color w:val="AF0000"/>
        </w:rPr>
      </w:pPr>
    </w:p>
    <w:p>
      <w:pPr>
        <w:ind w:left="540" w:right="459" w:hanging="331"/>
        <w:spacing w:after="0" w:line="235" w:lineRule="auto"/>
        <w:tabs>
          <w:tab w:leader="none" w:pos="540" w:val="left"/>
        </w:tabs>
        <w:numPr>
          <w:ilvl w:val="0"/>
          <w:numId w:val="113"/>
        </w:numPr>
        <w:rPr>
          <w:rFonts w:ascii="Times New Roman" w:cs="Times New Roman" w:eastAsia="Times New Roman" w:hAnsi="Times New Roman"/>
          <w:sz w:val="18"/>
          <w:szCs w:val="18"/>
          <w:color w:val="AF0000"/>
        </w:rPr>
      </w:pPr>
      <w:r>
        <w:rPr>
          <w:rFonts w:ascii="Calibri" w:cs="Calibri" w:eastAsia="Calibri" w:hAnsi="Calibri"/>
          <w:sz w:val="18"/>
          <w:szCs w:val="18"/>
          <w:b w:val="1"/>
          <w:bCs w:val="1"/>
          <w:color w:val="AF0000"/>
        </w:rPr>
        <w:t xml:space="preserve">FOR </w:t>
      </w:r>
      <w:r>
        <w:rPr>
          <w:rFonts w:ascii="Calibri" w:cs="Calibri" w:eastAsia="Calibri" w:hAnsi="Calibri"/>
          <w:sz w:val="18"/>
          <w:szCs w:val="18"/>
          <w:color w:val="000000"/>
        </w:rPr>
        <w:t>the ratfcaton of the appointment of Deloite to serve as our independent registered public accountng frm</w:t>
      </w:r>
      <w:r>
        <w:rPr>
          <w:rFonts w:ascii="Calibri" w:cs="Calibri" w:eastAsia="Calibri" w:hAnsi="Calibri"/>
          <w:sz w:val="18"/>
          <w:szCs w:val="18"/>
          <w:b w:val="1"/>
          <w:bCs w:val="1"/>
          <w:color w:val="AF0000"/>
        </w:rPr>
        <w:t xml:space="preserve"> </w:t>
      </w:r>
      <w:r>
        <w:rPr>
          <w:rFonts w:ascii="Calibri" w:cs="Calibri" w:eastAsia="Calibri" w:hAnsi="Calibri"/>
          <w:sz w:val="18"/>
          <w:szCs w:val="18"/>
          <w:color w:val="000000"/>
        </w:rPr>
        <w:t>for the year ending December 31, 2024.</w:t>
      </w:r>
    </w:p>
    <w:p>
      <w:pPr>
        <w:spacing w:after="0" w:line="177" w:lineRule="exact"/>
        <w:rPr>
          <w:sz w:val="20"/>
          <w:szCs w:val="20"/>
          <w:color w:val="auto"/>
        </w:rPr>
      </w:pPr>
    </w:p>
    <w:p>
      <w:pPr>
        <w:ind w:left="200" w:right="599"/>
        <w:spacing w:after="0" w:line="235" w:lineRule="auto"/>
        <w:rPr>
          <w:sz w:val="20"/>
          <w:szCs w:val="20"/>
          <w:color w:val="auto"/>
        </w:rPr>
      </w:pPr>
      <w:r>
        <w:rPr>
          <w:rFonts w:ascii="Calibri" w:cs="Calibri" w:eastAsia="Calibri" w:hAnsi="Calibri"/>
          <w:sz w:val="18"/>
          <w:szCs w:val="18"/>
          <w:color w:val="auto"/>
        </w:rPr>
        <w:t>In respect of any other maters that may properly come before the Annual Meetng, shares represented by properly executed proxies may be voted at the discreton of the proxy holder. The Board is not currently aware of any other maters to be presented at the Annual Meetng.</w:t>
      </w:r>
    </w:p>
    <w:p>
      <w:pPr>
        <w:spacing w:after="0" w:line="17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Revocaton of Proxies</w:t>
      </w:r>
    </w:p>
    <w:p>
      <w:pPr>
        <w:spacing w:after="0" w:line="177" w:lineRule="exact"/>
        <w:rPr>
          <w:sz w:val="20"/>
          <w:szCs w:val="20"/>
          <w:color w:val="auto"/>
        </w:rPr>
      </w:pPr>
    </w:p>
    <w:p>
      <w:pPr>
        <w:ind w:left="200" w:right="239"/>
        <w:spacing w:after="0" w:line="235" w:lineRule="auto"/>
        <w:rPr>
          <w:sz w:val="20"/>
          <w:szCs w:val="20"/>
          <w:color w:val="auto"/>
        </w:rPr>
      </w:pPr>
      <w:r>
        <w:rPr>
          <w:rFonts w:ascii="Calibri" w:cs="Calibri" w:eastAsia="Calibri" w:hAnsi="Calibri"/>
          <w:sz w:val="18"/>
          <w:szCs w:val="18"/>
          <w:color w:val="auto"/>
        </w:rPr>
        <w:t>A shareholder who has executed and returned a proxy may revoke it at any tme prior to its exercise at the Annual Meetng by executng and returning a proxy bearing a later date by mail, by votng via the Internet, by fling with Brian G. Lloyd, our Corporate Secretary, at the address set forth above, a writen notce of revocaton bearing a later date than the proxy being revoked (in each case, the same must be delivered in advance of the Annual Meetng), or by votng the Common Stock covered thereby in person at the Annual Meetng. In order to revoke a proxy executed with respect to shares held in street name, the shareholder must contact the appropriate broker or nominee.</w:t>
      </w:r>
    </w:p>
    <w:p>
      <w:pPr>
        <w:spacing w:after="0" w:line="176"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Broker Non-Votes</w:t>
      </w:r>
    </w:p>
    <w:p>
      <w:pPr>
        <w:spacing w:after="0" w:line="177" w:lineRule="exact"/>
        <w:rPr>
          <w:sz w:val="20"/>
          <w:szCs w:val="20"/>
          <w:color w:val="auto"/>
        </w:rPr>
      </w:pPr>
    </w:p>
    <w:p>
      <w:pPr>
        <w:ind w:left="200" w:right="239"/>
        <w:spacing w:after="0" w:line="234" w:lineRule="auto"/>
        <w:rPr>
          <w:sz w:val="20"/>
          <w:szCs w:val="20"/>
          <w:color w:val="auto"/>
        </w:rPr>
      </w:pPr>
      <w:r>
        <w:rPr>
          <w:rFonts w:ascii="Calibri" w:cs="Calibri" w:eastAsia="Calibri" w:hAnsi="Calibri"/>
          <w:sz w:val="18"/>
          <w:szCs w:val="18"/>
          <w:color w:val="auto"/>
        </w:rPr>
        <w:t xml:space="preserve">Shares of Common Stock that are held in “street name,” which means shares of Common Stock held of record by a trustee or in an account at a brokerage frm, bank, dealer, or other similar organizaton (collectvely, </w:t>
      </w:r>
      <w:r>
        <w:rPr>
          <w:rFonts w:ascii="Calibri" w:cs="Calibri" w:eastAsia="Calibri" w:hAnsi="Calibri"/>
          <w:sz w:val="18"/>
          <w:szCs w:val="18"/>
          <w:u w:val="single" w:color="auto"/>
          <w:color w:val="AF0000"/>
        </w:rPr>
        <w:t>brokerage frms</w:t>
      </w:r>
      <w:r>
        <w:rPr>
          <w:rFonts w:ascii="Calibri" w:cs="Calibri" w:eastAsia="Calibri" w:hAnsi="Calibri"/>
          <w:sz w:val="18"/>
          <w:szCs w:val="18"/>
          <w:color w:val="auto"/>
        </w:rPr>
        <w:t>), may be voted, even if the benefcial holder does not provide the brokerage frm with votng instructons. Brokerage frms have the authority under applicable securites rules to cast votes on certain “routne” maters, even if they do not receive instructons from their customers. However, the ratfcaton of our independent registered accountng frm is considered the only routne mater for which brokerage frms may vote un-instructed shares. The electon of directors, the advisory vote to approve named executve ofcer compensaton, and the approval of the amendment to increase the number of shares authorized under the 2018 Incentve Plan, are not considered routne maters under current securites rules. When a proposal is not a routne mater and the brokerage frm has not received votng instructons from the benefcial owner of the shares with respect to that proposal, the brokerage frm cannot vote the shares on that proposal. This is called a “broker non-vote.”</w:t>
      </w:r>
    </w:p>
    <w:p>
      <w:pPr>
        <w:spacing w:after="0" w:line="181" w:lineRule="exact"/>
        <w:rPr>
          <w:sz w:val="20"/>
          <w:szCs w:val="20"/>
          <w:color w:val="auto"/>
        </w:rPr>
      </w:pPr>
    </w:p>
    <w:p>
      <w:pPr>
        <w:jc w:val="both"/>
        <w:ind w:left="200" w:right="439"/>
        <w:spacing w:after="0" w:line="235" w:lineRule="auto"/>
        <w:rPr>
          <w:sz w:val="20"/>
          <w:szCs w:val="20"/>
          <w:color w:val="auto"/>
        </w:rPr>
      </w:pPr>
      <w:r>
        <w:rPr>
          <w:rFonts w:ascii="Calibri" w:cs="Calibri" w:eastAsia="Calibri" w:hAnsi="Calibri"/>
          <w:sz w:val="18"/>
          <w:szCs w:val="18"/>
          <w:color w:val="auto"/>
        </w:rPr>
        <w:t>As all of the proposals described in this Proxy Statement, other than the proposal to ratfy our independent registered accountng frm, are considered to be non-routne maters, it is partcularly important that benefcial owners instruct their brokers how they wish to vote their shares.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89" w:name="page90"/>
    <w:bookmarkEnd w:id="89"/>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OTHER PROXY INFORMATION</w:t>
      </w:r>
    </w:p>
    <w:p>
      <w:pPr>
        <w:spacing w:after="0" w:line="124"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Vote Required</w:t>
      </w:r>
    </w:p>
    <w:p>
      <w:pPr>
        <w:spacing w:after="0" w:line="146" w:lineRule="exact"/>
        <w:rPr>
          <w:sz w:val="20"/>
          <w:szCs w:val="20"/>
          <w:color w:val="auto"/>
        </w:rPr>
      </w:pPr>
    </w:p>
    <w:p>
      <w:pPr>
        <w:ind w:left="200" w:right="279"/>
        <w:spacing w:after="0" w:line="235" w:lineRule="auto"/>
        <w:rPr>
          <w:sz w:val="20"/>
          <w:szCs w:val="20"/>
          <w:color w:val="auto"/>
        </w:rPr>
      </w:pPr>
      <w:r>
        <w:rPr>
          <w:rFonts w:ascii="Calibri" w:cs="Calibri" w:eastAsia="Calibri" w:hAnsi="Calibri"/>
          <w:sz w:val="18"/>
          <w:szCs w:val="18"/>
          <w:color w:val="auto"/>
        </w:rPr>
        <w:t>A majority of the issued and outstanding shares of Common Stock enttled to vote, properly represented in person or by proxy, is required for a quorum at the Annual Meetng. Abstentons and broker non-votes will be counted as “represented” for the purpose of determining the presence or absence of a quorum. Under the Utah Revised Business Corporaton Act, once a quorum is established, shareholder approval with respect to a partcular proposal is generally obtained when the votes cast in favor of the proposal exceed the votes cast against the proposal.</w:t>
      </w:r>
    </w:p>
    <w:p>
      <w:pPr>
        <w:spacing w:after="0" w:line="180" w:lineRule="exact"/>
        <w:rPr>
          <w:sz w:val="20"/>
          <w:szCs w:val="20"/>
          <w:color w:val="auto"/>
        </w:rPr>
      </w:pPr>
    </w:p>
    <w:p>
      <w:pPr>
        <w:ind w:left="200" w:right="479"/>
        <w:spacing w:after="0" w:line="235" w:lineRule="auto"/>
        <w:rPr>
          <w:sz w:val="20"/>
          <w:szCs w:val="20"/>
          <w:color w:val="auto"/>
        </w:rPr>
      </w:pPr>
      <w:r>
        <w:rPr>
          <w:rFonts w:ascii="Calibri" w:cs="Calibri" w:eastAsia="Calibri" w:hAnsi="Calibri"/>
          <w:sz w:val="18"/>
          <w:szCs w:val="18"/>
          <w:color w:val="auto"/>
        </w:rPr>
        <w:t>Holders of shares of Common Stock are enttled to one vote at the Annual Meetng for each share of Common Stock held of record on the Record Date. The vote required for each of the proposals described in this Proxy Statement is as follows:</w:t>
      </w:r>
    </w:p>
    <w:p>
      <w:pPr>
        <w:spacing w:after="0" w:line="178" w:lineRule="exact"/>
        <w:rPr>
          <w:sz w:val="20"/>
          <w:szCs w:val="20"/>
          <w:color w:val="auto"/>
        </w:rPr>
      </w:pPr>
    </w:p>
    <w:p>
      <w:pPr>
        <w:ind w:left="200" w:right="339"/>
        <w:spacing w:after="0" w:line="235" w:lineRule="auto"/>
        <w:rPr>
          <w:sz w:val="20"/>
          <w:szCs w:val="20"/>
          <w:color w:val="auto"/>
        </w:rPr>
      </w:pPr>
      <w:r>
        <w:rPr>
          <w:rFonts w:ascii="Calibri" w:cs="Calibri" w:eastAsia="Calibri" w:hAnsi="Calibri"/>
          <w:sz w:val="18"/>
          <w:szCs w:val="18"/>
          <w:b w:val="1"/>
          <w:bCs w:val="1"/>
          <w:color w:val="AF0000"/>
        </w:rPr>
        <w:t>PROPOSAL 1</w:t>
      </w:r>
      <w:r>
        <w:rPr>
          <w:rFonts w:ascii="Calibri" w:cs="Calibri" w:eastAsia="Calibri" w:hAnsi="Calibri"/>
          <w:sz w:val="18"/>
          <w:szCs w:val="18"/>
          <w:color w:val="000000"/>
        </w:rPr>
        <w:t>: In the electon of directors, shareholders will not be allowed to cumulate their votes. Each director-nominee who receives a majority of the votes cast with respect to his or her electon will be elected as a director of the Company.</w:t>
      </w:r>
    </w:p>
    <w:p>
      <w:pPr>
        <w:spacing w:after="0" w:line="178" w:lineRule="exact"/>
        <w:rPr>
          <w:sz w:val="20"/>
          <w:szCs w:val="20"/>
          <w:color w:val="auto"/>
        </w:rPr>
      </w:pPr>
    </w:p>
    <w:p>
      <w:pPr>
        <w:ind w:left="200" w:right="359"/>
        <w:spacing w:after="0" w:line="235" w:lineRule="auto"/>
        <w:rPr>
          <w:sz w:val="20"/>
          <w:szCs w:val="20"/>
          <w:color w:val="auto"/>
        </w:rPr>
      </w:pPr>
      <w:r>
        <w:rPr>
          <w:rFonts w:ascii="Calibri" w:cs="Calibri" w:eastAsia="Calibri" w:hAnsi="Calibri"/>
          <w:sz w:val="18"/>
          <w:szCs w:val="18"/>
          <w:b w:val="1"/>
          <w:bCs w:val="1"/>
          <w:color w:val="AF0000"/>
        </w:rPr>
        <w:t>PROPOSAL 2</w:t>
      </w:r>
      <w:r>
        <w:rPr>
          <w:rFonts w:ascii="Calibri" w:cs="Calibri" w:eastAsia="Calibri" w:hAnsi="Calibri"/>
          <w:sz w:val="18"/>
          <w:szCs w:val="18"/>
          <w:color w:val="000000"/>
        </w:rPr>
        <w:t>: The advisory vote on executve compensaton is non-binding. Nevertheless, we will record the number of</w:t>
      </w:r>
      <w:r>
        <w:rPr>
          <w:rFonts w:ascii="Calibri" w:cs="Calibri" w:eastAsia="Calibri" w:hAnsi="Calibri"/>
          <w:sz w:val="18"/>
          <w:szCs w:val="18"/>
          <w:b w:val="1"/>
          <w:bCs w:val="1"/>
          <w:color w:val="AF0000"/>
        </w:rPr>
        <w:t xml:space="preserve"> </w:t>
      </w:r>
      <w:r>
        <w:rPr>
          <w:rFonts w:ascii="Calibri" w:cs="Calibri" w:eastAsia="Calibri" w:hAnsi="Calibri"/>
          <w:sz w:val="18"/>
          <w:szCs w:val="18"/>
          <w:color w:val="000000"/>
        </w:rPr>
        <w:t>votes cast in favor of and against the proposal and will report the votng results.</w:t>
      </w:r>
    </w:p>
    <w:p>
      <w:pPr>
        <w:spacing w:after="0" w:line="177" w:lineRule="exact"/>
        <w:rPr>
          <w:sz w:val="20"/>
          <w:szCs w:val="20"/>
          <w:color w:val="auto"/>
        </w:rPr>
      </w:pPr>
    </w:p>
    <w:p>
      <w:pPr>
        <w:jc w:val="both"/>
        <w:ind w:left="200" w:right="619"/>
        <w:spacing w:after="0" w:line="258" w:lineRule="auto"/>
        <w:rPr>
          <w:sz w:val="20"/>
          <w:szCs w:val="20"/>
          <w:color w:val="auto"/>
        </w:rPr>
      </w:pPr>
      <w:r>
        <w:rPr>
          <w:rFonts w:ascii="Calibri" w:cs="Calibri" w:eastAsia="Calibri" w:hAnsi="Calibri"/>
          <w:sz w:val="17"/>
          <w:szCs w:val="17"/>
          <w:b w:val="1"/>
          <w:bCs w:val="1"/>
          <w:color w:val="AF0000"/>
        </w:rPr>
        <w:t>PROPOSAL 3</w:t>
      </w:r>
      <w:r>
        <w:rPr>
          <w:rFonts w:ascii="Calibri" w:cs="Calibri" w:eastAsia="Calibri" w:hAnsi="Calibri"/>
          <w:sz w:val="17"/>
          <w:szCs w:val="17"/>
          <w:color w:val="000000"/>
        </w:rPr>
        <w:t>: The proposal to approve an amendment to increase the number of shares authorized under the 2018</w:t>
      </w:r>
      <w:r>
        <w:rPr>
          <w:rFonts w:ascii="Calibri" w:cs="Calibri" w:eastAsia="Calibri" w:hAnsi="Calibri"/>
          <w:sz w:val="17"/>
          <w:szCs w:val="17"/>
          <w:b w:val="1"/>
          <w:bCs w:val="1"/>
          <w:color w:val="AF0000"/>
        </w:rPr>
        <w:t xml:space="preserve"> </w:t>
      </w:r>
      <w:r>
        <w:rPr>
          <w:rFonts w:ascii="Calibri" w:cs="Calibri" w:eastAsia="Calibri" w:hAnsi="Calibri"/>
          <w:sz w:val="17"/>
          <w:szCs w:val="17"/>
          <w:color w:val="000000"/>
        </w:rPr>
        <w:t>Incentve Plan requires that the votes cast in favor of the proposal must exceed the votes cast against the proposal.</w:t>
      </w:r>
    </w:p>
    <w:p>
      <w:pPr>
        <w:spacing w:after="0" w:line="161" w:lineRule="exact"/>
        <w:rPr>
          <w:sz w:val="20"/>
          <w:szCs w:val="20"/>
          <w:color w:val="auto"/>
        </w:rPr>
      </w:pPr>
    </w:p>
    <w:p>
      <w:pPr>
        <w:ind w:left="200" w:right="259"/>
        <w:spacing w:after="0" w:line="235" w:lineRule="auto"/>
        <w:rPr>
          <w:sz w:val="20"/>
          <w:szCs w:val="20"/>
          <w:color w:val="auto"/>
        </w:rPr>
      </w:pPr>
      <w:r>
        <w:rPr>
          <w:rFonts w:ascii="Calibri" w:cs="Calibri" w:eastAsia="Calibri" w:hAnsi="Calibri"/>
          <w:sz w:val="18"/>
          <w:szCs w:val="18"/>
          <w:b w:val="1"/>
          <w:bCs w:val="1"/>
          <w:color w:val="AF0000"/>
        </w:rPr>
        <w:t>PROPOSAL 4</w:t>
      </w:r>
      <w:r>
        <w:rPr>
          <w:rFonts w:ascii="Calibri" w:cs="Calibri" w:eastAsia="Calibri" w:hAnsi="Calibri"/>
          <w:sz w:val="18"/>
          <w:szCs w:val="18"/>
          <w:color w:val="000000"/>
        </w:rPr>
        <w:t>: The proposal to ratfy the appointment of Deloite to serve as our independent registered public</w:t>
      </w:r>
      <w:r>
        <w:rPr>
          <w:rFonts w:ascii="Calibri" w:cs="Calibri" w:eastAsia="Calibri" w:hAnsi="Calibri"/>
          <w:sz w:val="18"/>
          <w:szCs w:val="18"/>
          <w:b w:val="1"/>
          <w:bCs w:val="1"/>
          <w:color w:val="AF0000"/>
        </w:rPr>
        <w:t xml:space="preserve"> </w:t>
      </w:r>
      <w:r>
        <w:rPr>
          <w:rFonts w:ascii="Calibri" w:cs="Calibri" w:eastAsia="Calibri" w:hAnsi="Calibri"/>
          <w:sz w:val="18"/>
          <w:szCs w:val="18"/>
          <w:color w:val="000000"/>
        </w:rPr>
        <w:t>accountng frm for the year ending December 31, 2024 requires that the votes cast in favor of the proposal must exceed the votes cast against the proposal.</w:t>
      </w:r>
    </w:p>
    <w:p>
      <w:pPr>
        <w:spacing w:after="0" w:line="178" w:lineRule="exact"/>
        <w:rPr>
          <w:sz w:val="20"/>
          <w:szCs w:val="20"/>
          <w:color w:val="auto"/>
        </w:rPr>
      </w:pPr>
    </w:p>
    <w:p>
      <w:pPr>
        <w:jc w:val="both"/>
        <w:ind w:left="200" w:right="319"/>
        <w:spacing w:after="0" w:line="230" w:lineRule="auto"/>
        <w:rPr>
          <w:sz w:val="20"/>
          <w:szCs w:val="20"/>
          <w:color w:val="auto"/>
        </w:rPr>
      </w:pPr>
      <w:r>
        <w:rPr>
          <w:rFonts w:ascii="Calibri" w:cs="Calibri" w:eastAsia="Calibri" w:hAnsi="Calibri"/>
          <w:sz w:val="18"/>
          <w:szCs w:val="18"/>
          <w:color w:val="auto"/>
        </w:rPr>
        <w:t>Abstentons and broker non-votes will not afect the outcome of any proposals to be considered at the Annual Meetng; however, because the fourth proposal is considered a routne mater, brokerage frms may vote un-instructed shares for or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135890</wp:posOffset>
            </wp:positionV>
            <wp:extent cx="5452110" cy="7715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52110" cy="771525"/>
                    </a:xfrm>
                    <a:prstGeom prst="rect">
                      <a:avLst/>
                    </a:prstGeom>
                    <a:noFill/>
                  </pic:spPr>
                </pic:pic>
              </a:graphicData>
            </a:graphic>
          </wp:anchor>
        </w:drawing>
      </w:r>
    </w:p>
    <w:p>
      <w:pPr>
        <w:spacing w:after="0" w:line="316"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AF0000"/>
        </w:rPr>
        <w:t>No Dissenters’ Rights of Appraisal</w:t>
      </w:r>
    </w:p>
    <w:p>
      <w:pPr>
        <w:spacing w:after="0" w:line="159" w:lineRule="exact"/>
        <w:rPr>
          <w:sz w:val="20"/>
          <w:szCs w:val="20"/>
          <w:color w:val="auto"/>
        </w:rPr>
      </w:pPr>
    </w:p>
    <w:p>
      <w:pPr>
        <w:ind w:left="320" w:right="339"/>
        <w:spacing w:after="0" w:line="235" w:lineRule="auto"/>
        <w:rPr>
          <w:sz w:val="20"/>
          <w:szCs w:val="20"/>
          <w:color w:val="auto"/>
        </w:rPr>
      </w:pPr>
      <w:r>
        <w:rPr>
          <w:rFonts w:ascii="Calibri" w:cs="Calibri" w:eastAsia="Calibri" w:hAnsi="Calibri"/>
          <w:sz w:val="18"/>
          <w:szCs w:val="18"/>
          <w:color w:val="auto"/>
        </w:rPr>
        <w:t>There are no rights of appraisal or similar dissenters’ rights with respect to any mater to be acted upon pursuant to this Proxy Statement.</w:t>
      </w:r>
    </w:p>
    <w:p>
      <w:pPr>
        <w:spacing w:after="0" w:line="301"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Atending the Annual Meetng</w:t>
      </w:r>
    </w:p>
    <w:p>
      <w:pPr>
        <w:spacing w:after="0" w:line="146" w:lineRule="exact"/>
        <w:rPr>
          <w:sz w:val="20"/>
          <w:szCs w:val="20"/>
          <w:color w:val="auto"/>
        </w:rPr>
      </w:pPr>
    </w:p>
    <w:p>
      <w:pPr>
        <w:ind w:left="200" w:right="419"/>
        <w:spacing w:after="0" w:line="235" w:lineRule="auto"/>
        <w:rPr>
          <w:sz w:val="20"/>
          <w:szCs w:val="20"/>
          <w:color w:val="auto"/>
        </w:rPr>
      </w:pPr>
      <w:r>
        <w:rPr>
          <w:rFonts w:ascii="Calibri" w:cs="Calibri" w:eastAsia="Calibri" w:hAnsi="Calibri"/>
          <w:sz w:val="18"/>
          <w:szCs w:val="18"/>
          <w:color w:val="auto"/>
        </w:rPr>
        <w:t>The Annual Meetng will be online and a completely virtual meetng of shareholders. This format is more cost-efcient and makes the meetng accessible to more of our shareholders.</w:t>
      </w:r>
    </w:p>
    <w:p>
      <w:pPr>
        <w:spacing w:after="0" w:line="177" w:lineRule="exact"/>
        <w:rPr>
          <w:sz w:val="20"/>
          <w:szCs w:val="20"/>
          <w:color w:val="auto"/>
        </w:rPr>
      </w:pPr>
    </w:p>
    <w:p>
      <w:pPr>
        <w:ind w:left="200" w:right="319"/>
        <w:spacing w:after="0" w:line="234" w:lineRule="auto"/>
        <w:rPr>
          <w:sz w:val="20"/>
          <w:szCs w:val="20"/>
          <w:color w:val="auto"/>
        </w:rPr>
      </w:pPr>
      <w:r>
        <w:rPr>
          <w:rFonts w:ascii="Calibri" w:cs="Calibri" w:eastAsia="Calibri" w:hAnsi="Calibri"/>
          <w:sz w:val="18"/>
          <w:szCs w:val="18"/>
          <w:color w:val="auto"/>
        </w:rPr>
        <w:t xml:space="preserve">To partcipate in the Annual Meetng, visit </w:t>
      </w:r>
      <w:r>
        <w:rPr>
          <w:rFonts w:ascii="Calibri" w:cs="Calibri" w:eastAsia="Calibri" w:hAnsi="Calibri"/>
          <w:sz w:val="18"/>
          <w:szCs w:val="18"/>
          <w:b w:val="1"/>
          <w:bCs w:val="1"/>
          <w:color w:val="AF0000"/>
        </w:rPr>
        <w:t>www.virtualshareholdermeetng.com/MMSI2024</w:t>
      </w:r>
      <w:r>
        <w:rPr>
          <w:rFonts w:ascii="Calibri" w:cs="Calibri" w:eastAsia="Calibri" w:hAnsi="Calibri"/>
          <w:sz w:val="18"/>
          <w:szCs w:val="18"/>
          <w:color w:val="auto"/>
        </w:rPr>
        <w:t xml:space="preserve"> and enter the 16-digit control number included on your Notce, on your proxy card, or on the votng instructons that accompanied your proxy materials. If you do not have your 16-digit control number, you will be able to access and listen to the Annual Meetng but you will not be able to vote your shares or submit questons during the Annual Meetng. If you wish to submit a queston before the meetng, you may log into </w:t>
      </w:r>
      <w:r>
        <w:rPr>
          <w:rFonts w:ascii="Calibri" w:cs="Calibri" w:eastAsia="Calibri" w:hAnsi="Calibri"/>
          <w:sz w:val="18"/>
          <w:szCs w:val="18"/>
          <w:b w:val="1"/>
          <w:bCs w:val="1"/>
          <w:color w:val="AF0000"/>
        </w:rPr>
        <w:t>www.proxyvote.com</w:t>
      </w:r>
      <w:r>
        <w:rPr>
          <w:rFonts w:ascii="Calibri" w:cs="Calibri" w:eastAsia="Calibri" w:hAnsi="Calibri"/>
          <w:sz w:val="18"/>
          <w:szCs w:val="18"/>
          <w:color w:val="auto"/>
        </w:rPr>
        <w:t xml:space="preserve"> and enter your 16-digit control number. Once past the login screen, click on “Queston for Management,” type in your queston, and click “Submit.” Alternatvely, if you want to submit your queston during the meetng, log into the virtual meetng platorm at </w:t>
      </w:r>
      <w:r>
        <w:rPr>
          <w:rFonts w:ascii="Calibri" w:cs="Calibri" w:eastAsia="Calibri" w:hAnsi="Calibri"/>
          <w:sz w:val="18"/>
          <w:szCs w:val="18"/>
          <w:b w:val="1"/>
          <w:bCs w:val="1"/>
          <w:color w:val="AF0000"/>
        </w:rPr>
        <w:t>www.virtualshareholdermeetng.com/MMSI2024</w:t>
      </w:r>
      <w:r>
        <w:rPr>
          <w:rFonts w:ascii="Calibri" w:cs="Calibri" w:eastAsia="Calibri" w:hAnsi="Calibri"/>
          <w:sz w:val="18"/>
          <w:szCs w:val="18"/>
          <w:color w:val="000000"/>
        </w:rPr>
        <w:t>, type your queston into the “Ask a Queston” feld, and click</w:t>
      </w:r>
      <w:r>
        <w:rPr>
          <w:rFonts w:ascii="Calibri" w:cs="Calibri" w:eastAsia="Calibri" w:hAnsi="Calibri"/>
          <w:sz w:val="18"/>
          <w:szCs w:val="18"/>
          <w:b w:val="1"/>
          <w:bCs w:val="1"/>
          <w:color w:val="AF0000"/>
        </w:rPr>
        <w:t xml:space="preserve"> </w:t>
      </w:r>
      <w:r>
        <w:rPr>
          <w:rFonts w:ascii="Calibri" w:cs="Calibri" w:eastAsia="Calibri" w:hAnsi="Calibri"/>
          <w:sz w:val="18"/>
          <w:szCs w:val="18"/>
          <w:color w:val="000000"/>
        </w:rPr>
        <w:t>“Submit.”</w:t>
      </w: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86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90" w:name="page91"/>
    <w:bookmarkEnd w:id="90"/>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6720"/>
        <w:spacing w:after="0"/>
        <w:rPr>
          <w:sz w:val="20"/>
          <w:szCs w:val="20"/>
          <w:color w:val="auto"/>
        </w:rPr>
      </w:pPr>
      <w:r>
        <w:rPr>
          <w:rFonts w:ascii="Calibri" w:cs="Calibri" w:eastAsia="Calibri" w:hAnsi="Calibri"/>
          <w:sz w:val="17"/>
          <w:szCs w:val="17"/>
          <w:color w:val="auto"/>
        </w:rPr>
        <w:t>OTHER PROXY INFORMATION</w:t>
      </w:r>
    </w:p>
    <w:p>
      <w:pPr>
        <w:spacing w:after="0" w:line="184" w:lineRule="exact"/>
        <w:rPr>
          <w:sz w:val="20"/>
          <w:szCs w:val="20"/>
          <w:color w:val="auto"/>
        </w:rPr>
      </w:pPr>
    </w:p>
    <w:p>
      <w:pPr>
        <w:jc w:val="both"/>
        <w:ind w:left="200" w:right="559"/>
        <w:spacing w:after="0" w:line="235" w:lineRule="auto"/>
        <w:rPr>
          <w:sz w:val="20"/>
          <w:szCs w:val="20"/>
          <w:color w:val="auto"/>
        </w:rPr>
      </w:pPr>
      <w:r>
        <w:rPr>
          <w:rFonts w:ascii="Calibri" w:cs="Calibri" w:eastAsia="Calibri" w:hAnsi="Calibri"/>
          <w:sz w:val="18"/>
          <w:szCs w:val="18"/>
          <w:color w:val="auto"/>
        </w:rPr>
        <w:t>Questons pertnent to meetng maters will be answered during the meetng, subject to tme constraints. Questons regarding personal maters, including those related to employment or product or service issues, are not pertnent to meetng maters and therefore will not be answered.</w:t>
      </w:r>
    </w:p>
    <w:p>
      <w:pPr>
        <w:spacing w:after="0" w:line="178" w:lineRule="exact"/>
        <w:rPr>
          <w:sz w:val="20"/>
          <w:szCs w:val="20"/>
          <w:color w:val="auto"/>
        </w:rPr>
      </w:pPr>
    </w:p>
    <w:p>
      <w:pPr>
        <w:ind w:left="200" w:right="439"/>
        <w:spacing w:after="0" w:line="233" w:lineRule="auto"/>
        <w:rPr>
          <w:sz w:val="20"/>
          <w:szCs w:val="20"/>
          <w:color w:val="auto"/>
        </w:rPr>
      </w:pPr>
      <w:r>
        <w:rPr>
          <w:rFonts w:ascii="Calibri" w:cs="Calibri" w:eastAsia="Calibri" w:hAnsi="Calibri"/>
          <w:sz w:val="18"/>
          <w:szCs w:val="18"/>
          <w:color w:val="auto"/>
        </w:rPr>
        <w:t xml:space="preserve">You may begin to log into the Annual Meetng platorm beginning at 1:45 p.m. MDT on May 15, 2024. The Annual Meetng will begin promptly at 2:00 p.m. MDT on May 15, 2024. A list of registered shareholders of record enttled to vote shall be open to any shareholder for any purpose relevant to the Annual Meetng for ten days before the Annual Meetng, during normal business hours, at the Ofce of the Corporate Secretary. A list of registered shareholders as of the close of business on the Record Date will also be available for examinaton by the shareholders throughout the meetng at </w:t>
      </w:r>
      <w:r>
        <w:rPr>
          <w:rFonts w:ascii="Calibri" w:cs="Calibri" w:eastAsia="Calibri" w:hAnsi="Calibri"/>
          <w:sz w:val="18"/>
          <w:szCs w:val="18"/>
          <w:b w:val="1"/>
          <w:bCs w:val="1"/>
          <w:color w:val="AF0000"/>
        </w:rPr>
        <w:t>www.virtualshareholdermeetng.com/MMSI2024</w:t>
      </w:r>
      <w:r>
        <w:rPr>
          <w:rFonts w:ascii="Calibri" w:cs="Calibri" w:eastAsia="Calibri" w:hAnsi="Calibri"/>
          <w:sz w:val="18"/>
          <w:szCs w:val="18"/>
          <w:color w:val="auto"/>
        </w:rPr>
        <w:t>.</w:t>
      </w:r>
    </w:p>
    <w:p>
      <w:pPr>
        <w:spacing w:after="0" w:line="178" w:lineRule="exact"/>
        <w:rPr>
          <w:sz w:val="20"/>
          <w:szCs w:val="20"/>
          <w:color w:val="auto"/>
        </w:rPr>
      </w:pPr>
    </w:p>
    <w:p>
      <w:pPr>
        <w:ind w:left="200" w:right="259"/>
        <w:spacing w:after="0" w:line="235" w:lineRule="auto"/>
        <w:rPr>
          <w:sz w:val="20"/>
          <w:szCs w:val="20"/>
          <w:color w:val="auto"/>
        </w:rPr>
      </w:pPr>
      <w:r>
        <w:rPr>
          <w:rFonts w:ascii="Calibri" w:cs="Calibri" w:eastAsia="Calibri" w:hAnsi="Calibri"/>
          <w:sz w:val="18"/>
          <w:szCs w:val="18"/>
          <w:color w:val="auto"/>
        </w:rPr>
        <w:t>The virtual meetng platorm is fully supported across browsers (Internet Explorer, Firefox, Chrome, and Safari) and devices (desktops, laptops, tablets, and cell phones) running the most updated version of applicable sofware and plugins. Partcipants should ensure that they have a strong Wi-Fi connecton wherever they intend to partcipate in the meetng. Partcipants should also give themselves plenty of tme to log in and ensure that they can hear streaming audio prior to the start of the meetng.</w:t>
      </w:r>
    </w:p>
    <w:p>
      <w:pPr>
        <w:spacing w:after="0" w:line="180" w:lineRule="exact"/>
        <w:rPr>
          <w:sz w:val="20"/>
          <w:szCs w:val="20"/>
          <w:color w:val="auto"/>
        </w:rPr>
      </w:pPr>
    </w:p>
    <w:p>
      <w:pPr>
        <w:jc w:val="both"/>
        <w:ind w:left="200" w:right="639"/>
        <w:spacing w:after="0" w:line="235" w:lineRule="auto"/>
        <w:rPr>
          <w:sz w:val="20"/>
          <w:szCs w:val="20"/>
          <w:color w:val="auto"/>
        </w:rPr>
      </w:pPr>
      <w:r>
        <w:rPr>
          <w:rFonts w:ascii="Calibri" w:cs="Calibri" w:eastAsia="Calibri" w:hAnsi="Calibri"/>
          <w:sz w:val="18"/>
          <w:szCs w:val="18"/>
          <w:color w:val="auto"/>
        </w:rPr>
        <w:t>If you encounter any difcultes accessing the Annual Meetng during the check-in or meetng tme, please call the technical support number that will be posted on the Annual Meetng login page. Technical support will be available startng at 1:45 p.m. MDT on May 15, 2024 and through the conclusion of the meetng.</w:t>
      </w:r>
    </w:p>
    <w:p>
      <w:pPr>
        <w:spacing w:after="0" w:line="17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Proxy Solicitaton on Behalf of the Board</w:t>
      </w:r>
    </w:p>
    <w:p>
      <w:pPr>
        <w:spacing w:after="0" w:line="177" w:lineRule="exact"/>
        <w:rPr>
          <w:sz w:val="20"/>
          <w:szCs w:val="20"/>
          <w:color w:val="auto"/>
        </w:rPr>
      </w:pPr>
    </w:p>
    <w:p>
      <w:pPr>
        <w:ind w:left="200" w:right="399"/>
        <w:spacing w:after="0" w:line="232" w:lineRule="auto"/>
        <w:rPr>
          <w:sz w:val="20"/>
          <w:szCs w:val="20"/>
          <w:color w:val="auto"/>
        </w:rPr>
      </w:pPr>
      <w:r>
        <w:rPr>
          <w:rFonts w:ascii="Calibri" w:cs="Calibri" w:eastAsia="Calibri" w:hAnsi="Calibri"/>
          <w:sz w:val="18"/>
          <w:szCs w:val="18"/>
          <w:color w:val="auto"/>
        </w:rPr>
        <w:t>The Board is solicitng proxies to provide an opportunity for all shareholders to vote, whether or not the shareholders are able to partcipate in the Annual Meetng or any adjournment or postponement thereof. Directors, ofcers and employees of the Company may solicit proxies on behalf of the Board in person, by mail, by telephone or by electronic communicaton. The proxy representatves of the Board will not be specially compensated for their services in this regard.</w:t>
      </w:r>
    </w:p>
    <w:p>
      <w:pPr>
        <w:spacing w:after="0" w:line="182"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Methods of Votng</w:t>
      </w:r>
    </w:p>
    <w:p>
      <w:pPr>
        <w:spacing w:after="0" w:line="146" w:lineRule="exact"/>
        <w:rPr>
          <w:sz w:val="20"/>
          <w:szCs w:val="20"/>
          <w:color w:val="auto"/>
        </w:rPr>
      </w:pPr>
    </w:p>
    <w:p>
      <w:pPr>
        <w:ind w:left="200" w:right="319"/>
        <w:spacing w:after="0" w:line="230" w:lineRule="auto"/>
        <w:rPr>
          <w:sz w:val="20"/>
          <w:szCs w:val="20"/>
          <w:color w:val="auto"/>
        </w:rPr>
      </w:pPr>
      <w:r>
        <w:rPr>
          <w:rFonts w:ascii="Calibri" w:cs="Calibri" w:eastAsia="Calibri" w:hAnsi="Calibri"/>
          <w:sz w:val="18"/>
          <w:szCs w:val="18"/>
          <w:color w:val="auto"/>
        </w:rPr>
        <w:t>The method of votng by proxy difers for shares of Common Stock registered directly in a shareholder’s name, considered the shareholder of record, and shares held in “street name,” which means shares held of record by a trustee or in an account at a brokerage frm, bank, dealer, or other similar organizaton.</w:t>
      </w:r>
    </w:p>
    <w:p>
      <w:pPr>
        <w:spacing w:after="0" w:line="187"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Holders of Record</w:t>
      </w:r>
    </w:p>
    <w:p>
      <w:pPr>
        <w:spacing w:after="0" w:line="177" w:lineRule="exact"/>
        <w:rPr>
          <w:sz w:val="20"/>
          <w:szCs w:val="20"/>
          <w:color w:val="auto"/>
        </w:rPr>
      </w:pPr>
    </w:p>
    <w:p>
      <w:pPr>
        <w:ind w:left="200" w:right="399"/>
        <w:spacing w:after="0" w:line="231" w:lineRule="auto"/>
        <w:rPr>
          <w:sz w:val="20"/>
          <w:szCs w:val="20"/>
          <w:color w:val="auto"/>
        </w:rPr>
      </w:pPr>
      <w:r>
        <w:rPr>
          <w:rFonts w:ascii="Calibri" w:cs="Calibri" w:eastAsia="Calibri" w:hAnsi="Calibri"/>
          <w:sz w:val="18"/>
          <w:szCs w:val="18"/>
          <w:color w:val="auto"/>
        </w:rPr>
        <w:t xml:space="preserve">If the shareholder holds shares as a record holder, the shareholder may vote the shares by proxy on </w:t>
      </w:r>
      <w:r>
        <w:rPr>
          <w:rFonts w:ascii="Calibri" w:cs="Calibri" w:eastAsia="Calibri" w:hAnsi="Calibri"/>
          <w:sz w:val="18"/>
          <w:szCs w:val="18"/>
          <w:b w:val="1"/>
          <w:bCs w:val="1"/>
          <w:color w:val="AF0000"/>
        </w:rPr>
        <w:t>www.proxyvote.com</w:t>
      </w:r>
      <w:r>
        <w:rPr>
          <w:rFonts w:ascii="Calibri" w:cs="Calibri" w:eastAsia="Calibri" w:hAnsi="Calibri"/>
          <w:sz w:val="18"/>
          <w:szCs w:val="18"/>
          <w:color w:val="000000"/>
        </w:rPr>
        <w:t>, by means of the telephone (at 1-800-690-6903), by mail (by requestng a printed copy of this</w:t>
      </w:r>
      <w:r>
        <w:rPr>
          <w:rFonts w:ascii="Calibri" w:cs="Calibri" w:eastAsia="Calibri" w:hAnsi="Calibri"/>
          <w:sz w:val="18"/>
          <w:szCs w:val="18"/>
          <w:b w:val="1"/>
          <w:bCs w:val="1"/>
          <w:color w:val="AF0000"/>
        </w:rPr>
        <w:t xml:space="preserve"> </w:t>
      </w:r>
      <w:r>
        <w:rPr>
          <w:rFonts w:ascii="Calibri" w:cs="Calibri" w:eastAsia="Calibri" w:hAnsi="Calibri"/>
          <w:sz w:val="18"/>
          <w:szCs w:val="18"/>
          <w:color w:val="000000"/>
        </w:rPr>
        <w:t>Proxy Statement and then votng by mail), or by partcipatng in the Annual Meetng and votng over the Internet. Each method is discussed further below:</w:t>
      </w:r>
    </w:p>
    <w:p>
      <w:pPr>
        <w:spacing w:after="0" w:line="194" w:lineRule="exact"/>
        <w:rPr>
          <w:sz w:val="20"/>
          <w:szCs w:val="20"/>
          <w:color w:val="auto"/>
        </w:rPr>
      </w:pPr>
    </w:p>
    <w:p>
      <w:pPr>
        <w:ind w:left="540" w:right="279" w:hanging="331"/>
        <w:spacing w:after="0" w:line="230" w:lineRule="auto"/>
        <w:tabs>
          <w:tab w:leader="none" w:pos="540" w:val="left"/>
        </w:tabs>
        <w:numPr>
          <w:ilvl w:val="0"/>
          <w:numId w:val="114"/>
        </w:numPr>
        <w:rPr>
          <w:rFonts w:ascii="Times New Roman" w:cs="Times New Roman" w:eastAsia="Times New Roman" w:hAnsi="Times New Roman"/>
          <w:sz w:val="18"/>
          <w:szCs w:val="18"/>
          <w:color w:val="AF0000"/>
        </w:rPr>
      </w:pPr>
      <w:r>
        <w:rPr>
          <w:rFonts w:ascii="Calibri" w:cs="Calibri" w:eastAsia="Calibri" w:hAnsi="Calibri"/>
          <w:sz w:val="18"/>
          <w:szCs w:val="18"/>
          <w:b w:val="1"/>
          <w:bCs w:val="1"/>
          <w:color w:val="AF0000"/>
        </w:rPr>
        <w:t>Votng by Mail</w:t>
      </w:r>
      <w:r>
        <w:rPr>
          <w:rFonts w:ascii="Calibri" w:cs="Calibri" w:eastAsia="Calibri" w:hAnsi="Calibri"/>
          <w:sz w:val="18"/>
          <w:szCs w:val="18"/>
          <w:b w:val="1"/>
          <w:bCs w:val="1"/>
          <w:color w:val="000000"/>
        </w:rPr>
        <w:t>.</w:t>
      </w:r>
      <w:r>
        <w:rPr>
          <w:rFonts w:ascii="Calibri" w:cs="Calibri" w:eastAsia="Calibri" w:hAnsi="Calibri"/>
          <w:sz w:val="18"/>
          <w:szCs w:val="18"/>
          <w:b w:val="1"/>
          <w:bCs w:val="1"/>
          <w:color w:val="AF0000"/>
        </w:rPr>
        <w:t xml:space="preserve"> </w:t>
      </w:r>
      <w:r>
        <w:rPr>
          <w:rFonts w:ascii="Calibri" w:cs="Calibri" w:eastAsia="Calibri" w:hAnsi="Calibri"/>
          <w:sz w:val="18"/>
          <w:szCs w:val="18"/>
          <w:color w:val="000000"/>
        </w:rPr>
        <w:t>If a shareholder chooses to vote by mail, simply mark the proxy card mailed or transmited to the</w:t>
      </w:r>
      <w:r>
        <w:rPr>
          <w:rFonts w:ascii="Calibri" w:cs="Calibri" w:eastAsia="Calibri" w:hAnsi="Calibri"/>
          <w:sz w:val="18"/>
          <w:szCs w:val="18"/>
          <w:b w:val="1"/>
          <w:bCs w:val="1"/>
          <w:color w:val="AF0000"/>
        </w:rPr>
        <w:t xml:space="preserve"> </w:t>
      </w:r>
      <w:r>
        <w:rPr>
          <w:rFonts w:ascii="Calibri" w:cs="Calibri" w:eastAsia="Calibri" w:hAnsi="Calibri"/>
          <w:sz w:val="18"/>
          <w:szCs w:val="18"/>
          <w:color w:val="000000"/>
        </w:rPr>
        <w:t xml:space="preserve">shareholder (the </w:t>
      </w:r>
      <w:r>
        <w:rPr>
          <w:rFonts w:ascii="Calibri" w:cs="Calibri" w:eastAsia="Calibri" w:hAnsi="Calibri"/>
          <w:sz w:val="18"/>
          <w:szCs w:val="18"/>
          <w:u w:val="single" w:color="auto"/>
          <w:color w:val="AF0000"/>
        </w:rPr>
        <w:t>Proxy</w:t>
      </w:r>
      <w:r>
        <w:rPr>
          <w:rFonts w:ascii="Calibri" w:cs="Calibri" w:eastAsia="Calibri" w:hAnsi="Calibri"/>
          <w:sz w:val="18"/>
          <w:szCs w:val="18"/>
          <w:u w:val="single" w:color="auto"/>
          <w:color w:val="000000"/>
        </w:rPr>
        <w:t>)</w:t>
      </w:r>
      <w:r>
        <w:rPr>
          <w:rFonts w:ascii="Calibri" w:cs="Calibri" w:eastAsia="Calibri" w:hAnsi="Calibri"/>
          <w:sz w:val="18"/>
          <w:szCs w:val="18"/>
          <w:color w:val="000000"/>
        </w:rPr>
        <w:t xml:space="preserve"> and complete, sign, date and mail it in the postage-paid envelope provided. The Proxy must be completed, signed and dated by the shareholder or the shareholder’s authorized representatve.</w:t>
      </w:r>
    </w:p>
    <w:p>
      <w:pPr>
        <w:spacing w:after="0" w:line="191" w:lineRule="exact"/>
        <w:rPr>
          <w:rFonts w:ascii="Times New Roman" w:cs="Times New Roman" w:eastAsia="Times New Roman" w:hAnsi="Times New Roman"/>
          <w:sz w:val="18"/>
          <w:szCs w:val="18"/>
          <w:color w:val="AF0000"/>
        </w:rPr>
      </w:pPr>
    </w:p>
    <w:p>
      <w:pPr>
        <w:ind w:left="540" w:right="459" w:hanging="331"/>
        <w:spacing w:after="0" w:line="235" w:lineRule="auto"/>
        <w:tabs>
          <w:tab w:leader="none" w:pos="540" w:val="left"/>
        </w:tabs>
        <w:numPr>
          <w:ilvl w:val="0"/>
          <w:numId w:val="114"/>
        </w:numPr>
        <w:rPr>
          <w:rFonts w:ascii="Times New Roman" w:cs="Times New Roman" w:eastAsia="Times New Roman" w:hAnsi="Times New Roman"/>
          <w:sz w:val="18"/>
          <w:szCs w:val="18"/>
          <w:color w:val="AF0000"/>
        </w:rPr>
      </w:pPr>
      <w:r>
        <w:rPr>
          <w:rFonts w:ascii="Calibri" w:cs="Calibri" w:eastAsia="Calibri" w:hAnsi="Calibri"/>
          <w:sz w:val="18"/>
          <w:szCs w:val="18"/>
          <w:b w:val="1"/>
          <w:bCs w:val="1"/>
          <w:color w:val="AF0000"/>
        </w:rPr>
        <w:t>Votng by Telephone</w:t>
      </w:r>
      <w:r>
        <w:rPr>
          <w:rFonts w:ascii="Calibri" w:cs="Calibri" w:eastAsia="Calibri" w:hAnsi="Calibri"/>
          <w:sz w:val="18"/>
          <w:szCs w:val="18"/>
          <w:b w:val="1"/>
          <w:bCs w:val="1"/>
          <w:color w:val="000000"/>
        </w:rPr>
        <w:t>.</w:t>
      </w:r>
      <w:r>
        <w:rPr>
          <w:rFonts w:ascii="Calibri" w:cs="Calibri" w:eastAsia="Calibri" w:hAnsi="Calibri"/>
          <w:sz w:val="18"/>
          <w:szCs w:val="18"/>
          <w:b w:val="1"/>
          <w:bCs w:val="1"/>
          <w:color w:val="AF0000"/>
        </w:rPr>
        <w:t xml:space="preserve"> </w:t>
      </w:r>
      <w:r>
        <w:rPr>
          <w:rFonts w:ascii="Calibri" w:cs="Calibri" w:eastAsia="Calibri" w:hAnsi="Calibri"/>
          <w:sz w:val="18"/>
          <w:szCs w:val="18"/>
          <w:color w:val="000000"/>
        </w:rPr>
        <w:t>Shareholders of record can vote by phone by following the instructons on the Proxy or by</w:t>
      </w:r>
      <w:r>
        <w:rPr>
          <w:rFonts w:ascii="Calibri" w:cs="Calibri" w:eastAsia="Calibri" w:hAnsi="Calibri"/>
          <w:sz w:val="18"/>
          <w:szCs w:val="18"/>
          <w:b w:val="1"/>
          <w:bCs w:val="1"/>
          <w:color w:val="AF0000"/>
        </w:rPr>
        <w:t xml:space="preserve"> </w:t>
      </w:r>
      <w:r>
        <w:rPr>
          <w:rFonts w:ascii="Calibri" w:cs="Calibri" w:eastAsia="Calibri" w:hAnsi="Calibri"/>
          <w:sz w:val="18"/>
          <w:szCs w:val="18"/>
          <w:color w:val="000000"/>
        </w:rPr>
        <w:t>calling toll-free at 1-800-690-6903. Voice prompts will instruct shareholders to vote their shares and confrm that their vote has been properly recorded.</w:t>
      </w:r>
    </w:p>
    <w:p>
      <w:pPr>
        <w:spacing w:after="0" w:line="178" w:lineRule="exact"/>
        <w:rPr>
          <w:rFonts w:ascii="Times New Roman" w:cs="Times New Roman" w:eastAsia="Times New Roman" w:hAnsi="Times New Roman"/>
          <w:sz w:val="18"/>
          <w:szCs w:val="18"/>
          <w:color w:val="AF0000"/>
        </w:rPr>
      </w:pPr>
    </w:p>
    <w:p>
      <w:pPr>
        <w:ind w:left="540" w:right="659" w:hanging="331"/>
        <w:spacing w:after="0" w:line="252" w:lineRule="auto"/>
        <w:tabs>
          <w:tab w:leader="none" w:pos="540" w:val="left"/>
        </w:tabs>
        <w:numPr>
          <w:ilvl w:val="0"/>
          <w:numId w:val="114"/>
        </w:numPr>
        <w:rPr>
          <w:rFonts w:ascii="Times New Roman" w:cs="Times New Roman" w:eastAsia="Times New Roman" w:hAnsi="Times New Roman"/>
          <w:sz w:val="17"/>
          <w:szCs w:val="17"/>
          <w:color w:val="AF0000"/>
        </w:rPr>
      </w:pPr>
      <w:r>
        <w:rPr>
          <w:rFonts w:ascii="Calibri" w:cs="Calibri" w:eastAsia="Calibri" w:hAnsi="Calibri"/>
          <w:sz w:val="17"/>
          <w:szCs w:val="17"/>
          <w:b w:val="1"/>
          <w:bCs w:val="1"/>
          <w:color w:val="AF0000"/>
        </w:rPr>
        <w:t>Votng over the Internet</w:t>
      </w:r>
      <w:r>
        <w:rPr>
          <w:rFonts w:ascii="Calibri" w:cs="Calibri" w:eastAsia="Calibri" w:hAnsi="Calibri"/>
          <w:sz w:val="17"/>
          <w:szCs w:val="17"/>
          <w:b w:val="1"/>
          <w:bCs w:val="1"/>
          <w:color w:val="000000"/>
        </w:rPr>
        <w:t>.</w:t>
      </w:r>
      <w:r>
        <w:rPr>
          <w:rFonts w:ascii="Calibri" w:cs="Calibri" w:eastAsia="Calibri" w:hAnsi="Calibri"/>
          <w:sz w:val="17"/>
          <w:szCs w:val="17"/>
          <w:b w:val="1"/>
          <w:bCs w:val="1"/>
          <w:color w:val="AF0000"/>
        </w:rPr>
        <w:t xml:space="preserve"> </w:t>
      </w:r>
      <w:r>
        <w:rPr>
          <w:rFonts w:ascii="Calibri" w:cs="Calibri" w:eastAsia="Calibri" w:hAnsi="Calibri"/>
          <w:sz w:val="17"/>
          <w:szCs w:val="17"/>
          <w:color w:val="000000"/>
        </w:rPr>
        <w:t>Shareholders of record can vote on the Internet by accessing the Internet at</w:t>
      </w:r>
      <w:r>
        <w:rPr>
          <w:rFonts w:ascii="Calibri" w:cs="Calibri" w:eastAsia="Calibri" w:hAnsi="Calibri"/>
          <w:sz w:val="17"/>
          <w:szCs w:val="17"/>
          <w:b w:val="1"/>
          <w:bCs w:val="1"/>
          <w:color w:val="AF0000"/>
        </w:rPr>
        <w:t xml:space="preserve"> www.proxyvote.com</w:t>
      </w:r>
      <w:r>
        <w:rPr>
          <w:rFonts w:ascii="Calibri" w:cs="Calibri" w:eastAsia="Calibri" w:hAnsi="Calibri"/>
          <w:sz w:val="17"/>
          <w:szCs w:val="17"/>
          <w:color w:val="000000"/>
        </w:rPr>
        <w:t>. As with telephone votng, shareholders can confrm that their votes have been properly</w:t>
      </w:r>
      <w:r>
        <w:rPr>
          <w:rFonts w:ascii="Calibri" w:cs="Calibri" w:eastAsia="Calibri" w:hAnsi="Calibri"/>
          <w:sz w:val="17"/>
          <w:szCs w:val="17"/>
          <w:b w:val="1"/>
          <w:bCs w:val="1"/>
          <w:color w:val="AF0000"/>
        </w:rPr>
        <w:t xml:space="preserve"> </w:t>
      </w:r>
      <w:r>
        <w:rPr>
          <w:rFonts w:ascii="Calibri" w:cs="Calibri" w:eastAsia="Calibri" w:hAnsi="Calibri"/>
          <w:sz w:val="17"/>
          <w:szCs w:val="17"/>
          <w:color w:val="000000"/>
        </w:rPr>
        <w:t>recorded. We provide Internet proxy votng to allow shareholders to vote their shares online, with procedures designed to ensure the authentcity and correctness of proxy vote instructons. However, please be aware that</w:t>
      </w:r>
    </w:p>
    <w:p>
      <w:pPr>
        <w:spacing w:after="0" w:line="200" w:lineRule="exact"/>
        <w:rPr>
          <w:sz w:val="20"/>
          <w:szCs w:val="20"/>
          <w:color w:val="auto"/>
        </w:rPr>
      </w:pPr>
    </w:p>
    <w:p>
      <w:pPr>
        <w:spacing w:after="0" w:line="400"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91" w:name="page92"/>
    <w:bookmarkEnd w:id="91"/>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OTHER PROXY INFORMATION</w:t>
      </w:r>
    </w:p>
    <w:p>
      <w:pPr>
        <w:spacing w:after="0" w:line="136" w:lineRule="exact"/>
        <w:rPr>
          <w:sz w:val="20"/>
          <w:szCs w:val="20"/>
          <w:color w:val="auto"/>
        </w:rPr>
      </w:pPr>
    </w:p>
    <w:p>
      <w:pPr>
        <w:ind w:left="540" w:right="339"/>
        <w:spacing w:after="0" w:line="235" w:lineRule="auto"/>
        <w:rPr>
          <w:sz w:val="20"/>
          <w:szCs w:val="20"/>
          <w:color w:val="auto"/>
        </w:rPr>
      </w:pPr>
      <w:r>
        <w:rPr>
          <w:rFonts w:ascii="Calibri" w:cs="Calibri" w:eastAsia="Calibri" w:hAnsi="Calibri"/>
          <w:sz w:val="18"/>
          <w:szCs w:val="18"/>
          <w:color w:val="auto"/>
        </w:rPr>
        <w:t>shareholders must bear any costs associated with their Internet access, such as usage charges from Internet access providers and telephone companies.</w:t>
      </w:r>
    </w:p>
    <w:p>
      <w:pPr>
        <w:spacing w:after="0" w:line="191" w:lineRule="exact"/>
        <w:rPr>
          <w:sz w:val="20"/>
          <w:szCs w:val="20"/>
          <w:color w:val="auto"/>
        </w:rPr>
      </w:pPr>
    </w:p>
    <w:p>
      <w:pPr>
        <w:ind w:left="540" w:right="419" w:hanging="331"/>
        <w:spacing w:after="0" w:line="227" w:lineRule="auto"/>
        <w:tabs>
          <w:tab w:leader="none" w:pos="540" w:val="left"/>
        </w:tabs>
        <w:numPr>
          <w:ilvl w:val="0"/>
          <w:numId w:val="115"/>
        </w:numPr>
        <w:rPr>
          <w:rFonts w:ascii="Times New Roman" w:cs="Times New Roman" w:eastAsia="Times New Roman" w:hAnsi="Times New Roman"/>
          <w:sz w:val="18"/>
          <w:szCs w:val="18"/>
          <w:color w:val="AF0000"/>
        </w:rPr>
      </w:pPr>
      <w:r>
        <w:rPr>
          <w:rFonts w:ascii="Calibri" w:cs="Calibri" w:eastAsia="Calibri" w:hAnsi="Calibri"/>
          <w:sz w:val="18"/>
          <w:szCs w:val="18"/>
          <w:b w:val="1"/>
          <w:bCs w:val="1"/>
          <w:color w:val="AF0000"/>
        </w:rPr>
        <w:t>Votng in Person</w:t>
      </w:r>
      <w:r>
        <w:rPr>
          <w:rFonts w:ascii="Calibri" w:cs="Calibri" w:eastAsia="Calibri" w:hAnsi="Calibri"/>
          <w:sz w:val="18"/>
          <w:szCs w:val="18"/>
          <w:b w:val="1"/>
          <w:bCs w:val="1"/>
          <w:color w:val="000000"/>
        </w:rPr>
        <w:t>.</w:t>
      </w:r>
      <w:r>
        <w:rPr>
          <w:rFonts w:ascii="Calibri" w:cs="Calibri" w:eastAsia="Calibri" w:hAnsi="Calibri"/>
          <w:sz w:val="18"/>
          <w:szCs w:val="18"/>
          <w:b w:val="1"/>
          <w:bCs w:val="1"/>
          <w:color w:val="AF0000"/>
        </w:rPr>
        <w:t xml:space="preserve"> </w:t>
      </w:r>
      <w:r>
        <w:rPr>
          <w:rFonts w:ascii="Calibri" w:cs="Calibri" w:eastAsia="Calibri" w:hAnsi="Calibri"/>
          <w:sz w:val="18"/>
          <w:szCs w:val="18"/>
          <w:color w:val="000000"/>
        </w:rPr>
        <w:t>The Annual Meetng will be held entrely online, so there will be no way to vote in person at the</w:t>
      </w:r>
      <w:r>
        <w:rPr>
          <w:rFonts w:ascii="Calibri" w:cs="Calibri" w:eastAsia="Calibri" w:hAnsi="Calibri"/>
          <w:sz w:val="18"/>
          <w:szCs w:val="18"/>
          <w:b w:val="1"/>
          <w:bCs w:val="1"/>
          <w:color w:val="AF0000"/>
        </w:rPr>
        <w:t xml:space="preserve"> </w:t>
      </w:r>
      <w:r>
        <w:rPr>
          <w:rFonts w:ascii="Calibri" w:cs="Calibri" w:eastAsia="Calibri" w:hAnsi="Calibri"/>
          <w:sz w:val="18"/>
          <w:szCs w:val="18"/>
          <w:color w:val="000000"/>
        </w:rPr>
        <w:t>meetng. Registered shareholders may vote over the Internet during the Annual Meetng.</w:t>
      </w:r>
    </w:p>
    <w:p>
      <w:pPr>
        <w:spacing w:after="0" w:line="219" w:lineRule="exact"/>
        <w:rPr>
          <w:sz w:val="20"/>
          <w:szCs w:val="20"/>
          <w:color w:val="auto"/>
        </w:rPr>
      </w:pPr>
    </w:p>
    <w:p>
      <w:pPr>
        <w:ind w:left="200" w:right="419"/>
        <w:spacing w:after="0" w:line="235" w:lineRule="auto"/>
        <w:rPr>
          <w:sz w:val="20"/>
          <w:szCs w:val="20"/>
          <w:color w:val="auto"/>
        </w:rPr>
      </w:pPr>
      <w:r>
        <w:rPr>
          <w:rFonts w:ascii="Calibri" w:cs="Calibri" w:eastAsia="Calibri" w:hAnsi="Calibri"/>
          <w:sz w:val="18"/>
          <w:szCs w:val="18"/>
          <w:color w:val="auto"/>
        </w:rPr>
        <w:t>If a shareholder votes his, her or its Proxy by telephone, the Internet or by returning the Proxy to us before the Annual Meetng, the individuals designated in the Proxy will vote as the Proxy directs. If a shareholder votes by telephone or over the Internet, the shareholder does not need to return the Proxy.</w:t>
      </w:r>
    </w:p>
    <w:p>
      <w:pPr>
        <w:spacing w:after="0" w:line="178" w:lineRule="exact"/>
        <w:rPr>
          <w:sz w:val="20"/>
          <w:szCs w:val="20"/>
          <w:color w:val="auto"/>
        </w:rPr>
      </w:pPr>
    </w:p>
    <w:p>
      <w:pPr>
        <w:jc w:val="both"/>
        <w:ind w:left="200" w:right="339"/>
        <w:spacing w:after="0" w:line="235" w:lineRule="auto"/>
        <w:rPr>
          <w:sz w:val="20"/>
          <w:szCs w:val="20"/>
          <w:color w:val="auto"/>
        </w:rPr>
      </w:pPr>
      <w:r>
        <w:rPr>
          <w:rFonts w:ascii="Calibri" w:cs="Calibri" w:eastAsia="Calibri" w:hAnsi="Calibri"/>
          <w:sz w:val="18"/>
          <w:szCs w:val="18"/>
          <w:color w:val="auto"/>
        </w:rPr>
        <w:t>Telephone and Internet votng facilites for shareholders will be available 24 hours a day and will close at 11:59 P.M. ET on May 14, 2024 for shares held directly and by 11:59 P.M. ET on May 10, 2024 for shares held in the Company’s 401(k) Proft Sharing Plan.</w:t>
      </w:r>
    </w:p>
    <w:p>
      <w:pPr>
        <w:spacing w:after="0" w:line="17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Holders in “Street Name”</w:t>
      </w:r>
    </w:p>
    <w:p>
      <w:pPr>
        <w:spacing w:after="0" w:line="177" w:lineRule="exact"/>
        <w:rPr>
          <w:sz w:val="20"/>
          <w:szCs w:val="20"/>
          <w:color w:val="auto"/>
        </w:rPr>
      </w:pPr>
    </w:p>
    <w:p>
      <w:pPr>
        <w:ind w:left="200" w:right="339"/>
        <w:spacing w:after="0" w:line="235" w:lineRule="auto"/>
        <w:rPr>
          <w:sz w:val="20"/>
          <w:szCs w:val="20"/>
          <w:color w:val="auto"/>
        </w:rPr>
      </w:pPr>
      <w:r>
        <w:rPr>
          <w:rFonts w:ascii="Calibri" w:cs="Calibri" w:eastAsia="Calibri" w:hAnsi="Calibri"/>
          <w:sz w:val="18"/>
          <w:szCs w:val="18"/>
          <w:color w:val="auto"/>
        </w:rPr>
        <w:t>If a shareholder holds shares in “street name,” the shareholder should have received a votng instructon form from the broker, bank or other nominee holding the shares. The shareholder should follow the instructons in the votng instructon form in order to instruct your broker, bank or other nominee on how to vote your shares. The availability of telephone and Internet votng will depend on the votng process of the broker, bank or nominee.</w:t>
      </w:r>
    </w:p>
    <w:p>
      <w:pPr>
        <w:spacing w:after="0" w:line="179" w:lineRule="exact"/>
        <w:rPr>
          <w:sz w:val="20"/>
          <w:szCs w:val="20"/>
          <w:color w:val="auto"/>
        </w:rPr>
      </w:pPr>
    </w:p>
    <w:p>
      <w:pPr>
        <w:ind w:left="200" w:right="239"/>
        <w:spacing w:after="0" w:line="235" w:lineRule="auto"/>
        <w:rPr>
          <w:sz w:val="20"/>
          <w:szCs w:val="20"/>
          <w:color w:val="auto"/>
        </w:rPr>
      </w:pPr>
      <w:r>
        <w:rPr>
          <w:rFonts w:ascii="Calibri" w:cs="Calibri" w:eastAsia="Calibri" w:hAnsi="Calibri"/>
          <w:sz w:val="18"/>
          <w:szCs w:val="18"/>
          <w:color w:val="auto"/>
        </w:rPr>
        <w:t>A large number of banks and brokerage frms are partcipatng in the Broadridge Investor Communicatons Solutons, Inc. (</w:t>
      </w:r>
      <w:r>
        <w:rPr>
          <w:rFonts w:ascii="Calibri" w:cs="Calibri" w:eastAsia="Calibri" w:hAnsi="Calibri"/>
          <w:sz w:val="18"/>
          <w:szCs w:val="18"/>
          <w:u w:val="single" w:color="auto"/>
          <w:color w:val="AF0000"/>
        </w:rPr>
        <w:t>Broadridge</w:t>
      </w:r>
      <w:r>
        <w:rPr>
          <w:rFonts w:ascii="Calibri" w:cs="Calibri" w:eastAsia="Calibri" w:hAnsi="Calibri"/>
          <w:sz w:val="18"/>
          <w:szCs w:val="18"/>
          <w:color w:val="auto"/>
        </w:rPr>
        <w:t>) online program. This program provides eligible shareholders the opportunity to vote via the Internet or by telephone. If a shareholder’s bank or brokerage frm is partcipatng in Broadridge’s program, the votng form will provide instructons.</w:t>
      </w:r>
    </w:p>
    <w:p>
      <w:pPr>
        <w:spacing w:after="0" w:line="179" w:lineRule="exact"/>
        <w:rPr>
          <w:sz w:val="20"/>
          <w:szCs w:val="20"/>
          <w:color w:val="auto"/>
        </w:rPr>
      </w:pPr>
    </w:p>
    <w:p>
      <w:pPr>
        <w:ind w:left="200" w:right="319"/>
        <w:spacing w:after="0" w:line="231" w:lineRule="auto"/>
        <w:rPr>
          <w:sz w:val="20"/>
          <w:szCs w:val="20"/>
          <w:color w:val="auto"/>
        </w:rPr>
      </w:pPr>
      <w:r>
        <w:rPr>
          <w:rFonts w:ascii="Calibri" w:cs="Calibri" w:eastAsia="Calibri" w:hAnsi="Calibri"/>
          <w:sz w:val="18"/>
          <w:szCs w:val="18"/>
          <w:color w:val="auto"/>
        </w:rPr>
        <w:t>If a shareholder holds shares in “street name” and the shareholder wishes to vote at the Annual Meetng, the shareholder will need the 16-digit control number included on her, his or its proxy card or votng instructon form (if the shareholder received a printed copy of the proxy materials) or included in the email to the shareholder, if she, he or it received the proxy materials by email in order to be able to vote her, his or its shares at the Annual Meetng.</w:t>
      </w:r>
    </w:p>
    <w:p>
      <w:pPr>
        <w:spacing w:after="0" w:line="194" w:lineRule="exact"/>
        <w:rPr>
          <w:sz w:val="20"/>
          <w:szCs w:val="20"/>
          <w:color w:val="auto"/>
        </w:rPr>
      </w:pPr>
    </w:p>
    <w:p>
      <w:pPr>
        <w:jc w:val="both"/>
        <w:ind w:left="200" w:right="619"/>
        <w:spacing w:after="0" w:line="258" w:lineRule="auto"/>
        <w:rPr>
          <w:sz w:val="20"/>
          <w:szCs w:val="20"/>
          <w:color w:val="auto"/>
        </w:rPr>
      </w:pPr>
      <w:r>
        <w:rPr>
          <w:rFonts w:ascii="Calibri" w:cs="Calibri" w:eastAsia="Calibri" w:hAnsi="Calibri"/>
          <w:sz w:val="17"/>
          <w:szCs w:val="17"/>
          <w:color w:val="auto"/>
        </w:rPr>
        <w:t>Shareholders receiving multple Notces, or whose shares are registered in more than one name or are registered in diferent accounts, should follow the votng instructons on each Notce to ensure that all of their shares are voted.</w:t>
      </w:r>
    </w:p>
    <w:p>
      <w:pPr>
        <w:spacing w:after="0" w:line="157"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i w:val="1"/>
          <w:iCs w:val="1"/>
          <w:color w:val="auto"/>
        </w:rPr>
        <w:t>Employee 401(k) Proft Sharing Plan Shares</w:t>
      </w:r>
    </w:p>
    <w:p>
      <w:pPr>
        <w:spacing w:after="0" w:line="177" w:lineRule="exact"/>
        <w:rPr>
          <w:sz w:val="20"/>
          <w:szCs w:val="20"/>
          <w:color w:val="auto"/>
        </w:rPr>
      </w:pPr>
    </w:p>
    <w:p>
      <w:pPr>
        <w:ind w:left="200" w:right="239"/>
        <w:spacing w:after="0" w:line="233" w:lineRule="auto"/>
        <w:rPr>
          <w:sz w:val="20"/>
          <w:szCs w:val="20"/>
          <w:color w:val="auto"/>
        </w:rPr>
      </w:pPr>
      <w:r>
        <w:rPr>
          <w:rFonts w:ascii="Calibri" w:cs="Calibri" w:eastAsia="Calibri" w:hAnsi="Calibri"/>
          <w:sz w:val="18"/>
          <w:szCs w:val="18"/>
          <w:color w:val="auto"/>
        </w:rPr>
        <w:t xml:space="preserve">Employees partcipatng and owning shares in the Company’s 401(k) Proft Sharing Plan will receive a votng instructon form. Your executed form will provide votng instructons to the plan trustee. If no instructons are provided, the plan trustee will vote the shares assigned to your plan account in the same proporton as to which it has received instructons from other plan partcipants. To allow sufcient tme for votng, your votng instructons must be received by the trustee by 11:59 P.M. Eastern Time on May 10, 2024. You may </w:t>
      </w:r>
      <w:r>
        <w:rPr>
          <w:rFonts w:ascii="Calibri" w:cs="Calibri" w:eastAsia="Calibri" w:hAnsi="Calibri"/>
          <w:sz w:val="18"/>
          <w:szCs w:val="18"/>
          <w:b w:val="1"/>
          <w:bCs w:val="1"/>
          <w:u w:val="single" w:color="auto"/>
          <w:color w:val="auto"/>
        </w:rPr>
        <w:t>not</w:t>
      </w:r>
      <w:r>
        <w:rPr>
          <w:rFonts w:ascii="Calibri" w:cs="Calibri" w:eastAsia="Calibri" w:hAnsi="Calibri"/>
          <w:sz w:val="18"/>
          <w:szCs w:val="18"/>
          <w:color w:val="auto"/>
        </w:rPr>
        <w:t xml:space="preserve"> </w:t>
      </w:r>
      <w:r>
        <w:rPr>
          <w:rFonts w:ascii="Calibri" w:cs="Calibri" w:eastAsia="Calibri" w:hAnsi="Calibri"/>
          <w:sz w:val="18"/>
          <w:szCs w:val="18"/>
          <w:color w:val="auto"/>
          <w:highlight w:val="white"/>
        </w:rPr>
        <w:t>vote your shares held in the Company’s 401(k) Proft Sharing</w:t>
      </w:r>
      <w:r>
        <w:rPr>
          <w:rFonts w:ascii="Calibri" w:cs="Calibri" w:eastAsia="Calibri" w:hAnsi="Calibri"/>
          <w:sz w:val="18"/>
          <w:szCs w:val="18"/>
          <w:color w:val="auto"/>
        </w:rPr>
        <w:t xml:space="preserve"> Plan virtually at the Annual Meetng.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88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92" w:name="page93"/>
    <w:bookmarkEnd w:id="92"/>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OTHER PROXY INFORMATION</w:t>
      </w:r>
    </w:p>
    <w:p>
      <w:pPr>
        <w:spacing w:after="0" w:line="165"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Additonal Informaton and Additonal Copies of Proxy Materials</w:t>
      </w:r>
    </w:p>
    <w:p>
      <w:pPr>
        <w:spacing w:after="0" w:line="146" w:lineRule="exact"/>
        <w:rPr>
          <w:sz w:val="20"/>
          <w:szCs w:val="20"/>
          <w:color w:val="auto"/>
        </w:rPr>
      </w:pPr>
    </w:p>
    <w:p>
      <w:pPr>
        <w:jc w:val="both"/>
        <w:ind w:left="200" w:right="359"/>
        <w:spacing w:after="0" w:line="235" w:lineRule="auto"/>
        <w:rPr>
          <w:sz w:val="20"/>
          <w:szCs w:val="20"/>
          <w:color w:val="auto"/>
        </w:rPr>
      </w:pPr>
      <w:r>
        <w:rPr>
          <w:rFonts w:ascii="Calibri" w:cs="Calibri" w:eastAsia="Calibri" w:hAnsi="Calibri"/>
          <w:sz w:val="18"/>
          <w:szCs w:val="18"/>
          <w:color w:val="auto"/>
        </w:rPr>
        <w:t>We will provide without charge to any person from whom a proxy is solicited by the Board, upon the writen request of that person, a copy of our Annual Report, including the fnancial statements and schedules thereto (as well as exhibits thereto, if specifcally requested).</w:t>
      </w:r>
    </w:p>
    <w:p>
      <w:pPr>
        <w:spacing w:after="0" w:line="178" w:lineRule="exact"/>
        <w:rPr>
          <w:sz w:val="20"/>
          <w:szCs w:val="20"/>
          <w:color w:val="auto"/>
        </w:rPr>
      </w:pPr>
    </w:p>
    <w:p>
      <w:pPr>
        <w:ind w:left="200" w:right="319"/>
        <w:spacing w:after="0" w:line="233" w:lineRule="auto"/>
        <w:rPr>
          <w:sz w:val="20"/>
          <w:szCs w:val="20"/>
          <w:color w:val="auto"/>
        </w:rPr>
      </w:pPr>
      <w:r>
        <w:rPr>
          <w:rFonts w:ascii="Calibri" w:cs="Calibri" w:eastAsia="Calibri" w:hAnsi="Calibri"/>
          <w:sz w:val="18"/>
          <w:szCs w:val="18"/>
          <w:color w:val="auto"/>
        </w:rPr>
        <w:t>We will generally deliver one copy of this Proxy Statement, or Notce, as applicable, to each address where multple record holders of our Common Stock reside, unless we have received instructons to the contrary (i.e., “householding”). Upon writen or oral request, we will promptly deliver another copy of this Proxy Statement and the Annual Report, or Notce, as applicable, to any holder of our Common Stock living at a shared address where we have delivered only one copy. Shareholders who receive multple copies of this Proxy Statement or the Notce at their address and would like to request householding of their communicatons should contact their broker.</w:t>
      </w:r>
    </w:p>
    <w:p>
      <w:pPr>
        <w:spacing w:after="0" w:line="173"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Requests for copies of our Annual Report, additonal informaton or additonal Proxy Statements should be directed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135255</wp:posOffset>
            </wp:positionV>
            <wp:extent cx="2717165" cy="7797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717165" cy="779780"/>
                    </a:xfrm>
                    <a:prstGeom prst="rect">
                      <a:avLst/>
                    </a:prstGeom>
                    <a:noFill/>
                  </pic:spPr>
                </pic:pic>
              </a:graphicData>
            </a:graphic>
          </wp:anchor>
        </w:drawing>
      </w:r>
    </w:p>
    <w:p>
      <w:pPr>
        <w:spacing w:after="0" w:line="368" w:lineRule="exact"/>
        <w:rPr>
          <w:sz w:val="20"/>
          <w:szCs w:val="20"/>
          <w:color w:val="auto"/>
        </w:rPr>
      </w:pPr>
    </w:p>
    <w:p>
      <w:pPr>
        <w:ind w:left="3500"/>
        <w:spacing w:after="0"/>
        <w:rPr>
          <w:sz w:val="20"/>
          <w:szCs w:val="20"/>
          <w:color w:val="auto"/>
        </w:rPr>
      </w:pPr>
      <w:r>
        <w:rPr>
          <w:rFonts w:ascii="Calibri" w:cs="Calibri" w:eastAsia="Calibri" w:hAnsi="Calibri"/>
          <w:sz w:val="18"/>
          <w:szCs w:val="18"/>
          <w:b w:val="1"/>
          <w:bCs w:val="1"/>
          <w:color w:val="auto"/>
        </w:rPr>
        <w:t>Merit Medical Systems, Inc.</w:t>
      </w:r>
    </w:p>
    <w:p>
      <w:pPr>
        <w:ind w:left="3060"/>
        <w:spacing w:after="0" w:line="235" w:lineRule="auto"/>
        <w:rPr>
          <w:sz w:val="20"/>
          <w:szCs w:val="20"/>
          <w:color w:val="auto"/>
        </w:rPr>
      </w:pPr>
      <w:r>
        <w:rPr>
          <w:rFonts w:ascii="Calibri" w:cs="Calibri" w:eastAsia="Calibri" w:hAnsi="Calibri"/>
          <w:sz w:val="18"/>
          <w:szCs w:val="18"/>
          <w:color w:val="auto"/>
        </w:rPr>
        <w:t>Atn: Brian G. Lloyd, Corporate Secretary</w:t>
      </w:r>
    </w:p>
    <w:p>
      <w:pPr>
        <w:ind w:left="3580"/>
        <w:spacing w:after="0" w:line="222" w:lineRule="auto"/>
        <w:rPr>
          <w:sz w:val="20"/>
          <w:szCs w:val="20"/>
          <w:color w:val="auto"/>
        </w:rPr>
      </w:pPr>
      <w:r>
        <w:rPr>
          <w:rFonts w:ascii="Calibri" w:cs="Calibri" w:eastAsia="Calibri" w:hAnsi="Calibri"/>
          <w:sz w:val="18"/>
          <w:szCs w:val="18"/>
          <w:color w:val="auto"/>
        </w:rPr>
        <w:t>1600 West Merit Parkway</w:t>
      </w:r>
    </w:p>
    <w:p>
      <w:pPr>
        <w:ind w:left="3580"/>
        <w:spacing w:after="0" w:line="236" w:lineRule="auto"/>
        <w:rPr>
          <w:sz w:val="20"/>
          <w:szCs w:val="20"/>
          <w:color w:val="auto"/>
        </w:rPr>
      </w:pPr>
      <w:r>
        <w:rPr>
          <w:rFonts w:ascii="Calibri" w:cs="Calibri" w:eastAsia="Calibri" w:hAnsi="Calibri"/>
          <w:sz w:val="18"/>
          <w:szCs w:val="18"/>
          <w:color w:val="auto"/>
        </w:rPr>
        <w:t>South Jordan, Utah 84095</w:t>
      </w:r>
    </w:p>
    <w:p>
      <w:pPr>
        <w:spacing w:after="0" w:line="361"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Other Maters</w:t>
      </w:r>
    </w:p>
    <w:p>
      <w:pPr>
        <w:spacing w:after="0" w:line="199" w:lineRule="exact"/>
        <w:rPr>
          <w:sz w:val="20"/>
          <w:szCs w:val="20"/>
          <w:color w:val="auto"/>
        </w:rPr>
      </w:pPr>
    </w:p>
    <w:p>
      <w:pPr>
        <w:ind w:left="200" w:right="319"/>
        <w:spacing w:after="0" w:line="231" w:lineRule="auto"/>
        <w:rPr>
          <w:sz w:val="20"/>
          <w:szCs w:val="20"/>
          <w:color w:val="auto"/>
        </w:rPr>
      </w:pPr>
      <w:r>
        <w:rPr>
          <w:rFonts w:ascii="Calibri" w:cs="Calibri" w:eastAsia="Calibri" w:hAnsi="Calibri"/>
          <w:sz w:val="18"/>
          <w:szCs w:val="18"/>
          <w:color w:val="auto"/>
        </w:rPr>
        <w:t>As of the date of this Proxy Statement, the Board knows of no maters to be presented for acton at the Annual Meetng other than those maters described in the preceding pages. If, however, any further business should properly come before the Annual Meetng, the persons named as proxies in the accompanying form will vote on that business in accordance with their best judgment.</w:t>
      </w:r>
    </w:p>
    <w:p>
      <w:pPr>
        <w:spacing w:after="0" w:line="175"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Shareholder Proposals for Annual Meetng 2025</w:t>
      </w:r>
    </w:p>
    <w:p>
      <w:pPr>
        <w:spacing w:after="0" w:line="186" w:lineRule="exact"/>
        <w:rPr>
          <w:sz w:val="20"/>
          <w:szCs w:val="20"/>
          <w:color w:val="auto"/>
        </w:rPr>
      </w:pPr>
    </w:p>
    <w:p>
      <w:pPr>
        <w:ind w:left="200" w:right="299"/>
        <w:spacing w:after="0" w:line="251" w:lineRule="auto"/>
        <w:rPr>
          <w:sz w:val="20"/>
          <w:szCs w:val="20"/>
          <w:color w:val="auto"/>
        </w:rPr>
      </w:pPr>
      <w:r>
        <w:rPr>
          <w:rFonts w:ascii="Calibri" w:cs="Calibri" w:eastAsia="Calibri" w:hAnsi="Calibri"/>
          <w:sz w:val="17"/>
          <w:szCs w:val="17"/>
          <w:color w:val="auto"/>
        </w:rPr>
        <w:t>If any shareholder intends to present a proposal to be considered for inclusion in our proxy materials in connecton with our 2025 annual meetng of shareholders, the proposal must be in proper form (per SEC Regulaton 14A, Rule 14a-8 - Shareholder Proposals) and received by our Corporate Secretary no later than December 7, 2024. Nominatons of persons for electon as directors must be made consistent with the provisions of our Bylaws, including the requirement that the shareholder provide tmely notce of the nominaton in proper writen form to our Corporate Secretary.</w:t>
      </w:r>
    </w:p>
    <w:p>
      <w:pPr>
        <w:spacing w:after="0" w:line="170" w:lineRule="exact"/>
        <w:rPr>
          <w:sz w:val="20"/>
          <w:szCs w:val="20"/>
          <w:color w:val="auto"/>
        </w:rPr>
      </w:pPr>
    </w:p>
    <w:p>
      <w:pPr>
        <w:ind w:left="200" w:right="239"/>
        <w:spacing w:after="0" w:line="233" w:lineRule="auto"/>
        <w:rPr>
          <w:sz w:val="20"/>
          <w:szCs w:val="20"/>
          <w:color w:val="auto"/>
        </w:rPr>
      </w:pPr>
      <w:r>
        <w:rPr>
          <w:rFonts w:ascii="Calibri" w:cs="Calibri" w:eastAsia="Calibri" w:hAnsi="Calibri"/>
          <w:sz w:val="18"/>
          <w:szCs w:val="18"/>
          <w:color w:val="auto"/>
        </w:rPr>
        <w:t>In accordance with the procedures set forth in our Bylaws, shareholders who wish to submit a proposal for consideraton at our 2025 annual meetng of shareholders, including a nominaton for director, but who do not wish to submit a proposal for inclusion in our proxy statement, must deliver notce of the proposal to our Corporate Secretary at our principal executve ofces no earlier than December 17, 2024 and no later than January 16, 2025. Such proposals must contain all informaton required by our Bylaws. If the month and day of the next annual meetng is advanced or delayed by more than 30 calendar days from the month and day of the annual meetng to which this Proxy Statement relates, we will inform our shareholders of the change in a tmely manner, as well as any change in the date by which proposals of shareholders must be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93" w:name="page94"/>
    <w:bookmarkEnd w:id="93"/>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OTHER PROXY INFORMATION</w:t>
      </w:r>
    </w:p>
    <w:p>
      <w:pPr>
        <w:spacing w:after="0" w:line="118" w:lineRule="exact"/>
        <w:rPr>
          <w:sz w:val="20"/>
          <w:szCs w:val="20"/>
          <w:color w:val="auto"/>
        </w:rPr>
      </w:pPr>
    </w:p>
    <w:p>
      <w:pPr>
        <w:ind w:left="200"/>
        <w:spacing w:after="0"/>
        <w:rPr>
          <w:sz w:val="20"/>
          <w:szCs w:val="20"/>
          <w:color w:val="auto"/>
        </w:rPr>
      </w:pPr>
      <w:r>
        <w:rPr>
          <w:rFonts w:ascii="Calibri" w:cs="Calibri" w:eastAsia="Calibri" w:hAnsi="Calibri"/>
          <w:sz w:val="25"/>
          <w:szCs w:val="25"/>
          <w:b w:val="1"/>
          <w:bCs w:val="1"/>
          <w:color w:val="AF0000"/>
        </w:rPr>
        <w:t>Non-GAAP Financial Measures</w:t>
      </w:r>
    </w:p>
    <w:p>
      <w:pPr>
        <w:spacing w:after="0" w:line="199" w:lineRule="exact"/>
        <w:rPr>
          <w:sz w:val="20"/>
          <w:szCs w:val="20"/>
          <w:color w:val="auto"/>
        </w:rPr>
      </w:pPr>
    </w:p>
    <w:p>
      <w:pPr>
        <w:ind w:left="200" w:right="359"/>
        <w:spacing w:after="0" w:line="233" w:lineRule="auto"/>
        <w:rPr>
          <w:sz w:val="20"/>
          <w:szCs w:val="20"/>
          <w:color w:val="auto"/>
        </w:rPr>
      </w:pPr>
      <w:r>
        <w:rPr>
          <w:rFonts w:ascii="Calibri" w:cs="Calibri" w:eastAsia="Calibri" w:hAnsi="Calibri"/>
          <w:sz w:val="18"/>
          <w:szCs w:val="18"/>
          <w:color w:val="auto"/>
        </w:rPr>
        <w:t>Although our fnancial statements are prepared in accordance with accountng principles generally accepted in the U.S. (</w:t>
      </w:r>
      <w:r>
        <w:rPr>
          <w:rFonts w:ascii="Calibri" w:cs="Calibri" w:eastAsia="Calibri" w:hAnsi="Calibri"/>
          <w:sz w:val="18"/>
          <w:szCs w:val="18"/>
          <w:u w:val="single" w:color="auto"/>
          <w:color w:val="AF0000"/>
        </w:rPr>
        <w:t>GAAP</w:t>
      </w:r>
      <w:r>
        <w:rPr>
          <w:rFonts w:ascii="Calibri" w:cs="Calibri" w:eastAsia="Calibri" w:hAnsi="Calibri"/>
          <w:sz w:val="18"/>
          <w:szCs w:val="18"/>
          <w:color w:val="auto"/>
        </w:rPr>
        <w:t>) and the majority of the fnancial measures described in this Proxy Statement are calculated in accordance with GAAP, the Board and its commitees use certain non-GAAP fnancial measures referenced in this Proxy Statement in order to assess year-over-year performance. We believe that such non-GAAP fnancial measures provide investors with useful informaton regarding the underlying business trends and performance of our ongoing operatons and can be useful for period-over-period comparisons of such operatons. Non-GAAP fnancial measures referenced in this Proxy Statement include:</w:t>
      </w:r>
    </w:p>
    <w:p>
      <w:pPr>
        <w:spacing w:after="0" w:line="176" w:lineRule="exact"/>
        <w:rPr>
          <w:sz w:val="20"/>
          <w:szCs w:val="20"/>
          <w:color w:val="auto"/>
        </w:rPr>
      </w:pPr>
    </w:p>
    <w:p>
      <w:pPr>
        <w:ind w:left="540" w:hanging="331"/>
        <w:spacing w:after="0"/>
        <w:tabs>
          <w:tab w:leader="none" w:pos="540" w:val="left"/>
        </w:tabs>
        <w:numPr>
          <w:ilvl w:val="0"/>
          <w:numId w:val="116"/>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non-GAAP gross margin;</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116"/>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non-GAAP operatng income and margin;</w:t>
      </w:r>
    </w:p>
    <w:p>
      <w:pPr>
        <w:spacing w:after="0" w:line="185"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116"/>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non-GAAP net income; and</w:t>
      </w:r>
    </w:p>
    <w:p>
      <w:pPr>
        <w:spacing w:after="0" w:line="171" w:lineRule="exact"/>
        <w:rPr>
          <w:rFonts w:ascii="Times New Roman" w:cs="Times New Roman" w:eastAsia="Times New Roman" w:hAnsi="Times New Roman"/>
          <w:sz w:val="18"/>
          <w:szCs w:val="18"/>
          <w:color w:val="AF0000"/>
        </w:rPr>
      </w:pPr>
    </w:p>
    <w:p>
      <w:pPr>
        <w:ind w:left="540" w:hanging="331"/>
        <w:spacing w:after="0"/>
        <w:tabs>
          <w:tab w:leader="none" w:pos="540" w:val="left"/>
        </w:tabs>
        <w:numPr>
          <w:ilvl w:val="0"/>
          <w:numId w:val="116"/>
        </w:numPr>
        <w:rPr>
          <w:rFonts w:ascii="Times New Roman" w:cs="Times New Roman" w:eastAsia="Times New Roman" w:hAnsi="Times New Roman"/>
          <w:sz w:val="18"/>
          <w:szCs w:val="18"/>
          <w:color w:val="AF0000"/>
        </w:rPr>
      </w:pPr>
      <w:r>
        <w:rPr>
          <w:rFonts w:ascii="Calibri" w:cs="Calibri" w:eastAsia="Calibri" w:hAnsi="Calibri"/>
          <w:sz w:val="18"/>
          <w:szCs w:val="18"/>
          <w:color w:val="auto"/>
        </w:rPr>
        <w:t>non-GAAP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5452110" cy="384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452110" cy="384873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F0000"/>
        </w:rPr>
        <w:t>NON-GAAP FINANCIAL MEASURES</w:t>
      </w:r>
    </w:p>
    <w:p>
      <w:pPr>
        <w:spacing w:after="0" w:line="177" w:lineRule="exact"/>
        <w:rPr>
          <w:sz w:val="20"/>
          <w:szCs w:val="20"/>
          <w:color w:val="auto"/>
        </w:rPr>
      </w:pPr>
    </w:p>
    <w:p>
      <w:pPr>
        <w:jc w:val="both"/>
        <w:ind w:left="320" w:right="339"/>
        <w:spacing w:after="0" w:line="235" w:lineRule="auto"/>
        <w:rPr>
          <w:sz w:val="20"/>
          <w:szCs w:val="20"/>
          <w:color w:val="auto"/>
        </w:rPr>
      </w:pPr>
      <w:r>
        <w:rPr>
          <w:rFonts w:ascii="Calibri" w:cs="Calibri" w:eastAsia="Calibri" w:hAnsi="Calibri"/>
          <w:sz w:val="18"/>
          <w:szCs w:val="18"/>
          <w:b w:val="1"/>
          <w:bCs w:val="1"/>
          <w:color w:val="auto"/>
        </w:rPr>
        <w:t xml:space="preserve">Non-GAAP Gross Margin: </w:t>
      </w:r>
      <w:r>
        <w:rPr>
          <w:rFonts w:ascii="Calibri" w:cs="Calibri" w:eastAsia="Calibri" w:hAnsi="Calibri"/>
          <w:sz w:val="18"/>
          <w:szCs w:val="18"/>
          <w:color w:val="auto"/>
        </w:rPr>
        <w:t>Non-GAAP gross margin is calculated by reducing GAAP cost of sales by amounts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recorded for amortzaton of intangible assets, corporate restructuring charges and inventory mark-up related to acquisitons. Non-GAAP gross margin is calculated by dividing non-GAAP gross proft by reported net sales.</w:t>
      </w:r>
    </w:p>
    <w:p>
      <w:pPr>
        <w:spacing w:after="0" w:line="178" w:lineRule="exact"/>
        <w:rPr>
          <w:sz w:val="20"/>
          <w:szCs w:val="20"/>
          <w:color w:val="auto"/>
        </w:rPr>
      </w:pPr>
    </w:p>
    <w:p>
      <w:pPr>
        <w:jc w:val="both"/>
        <w:ind w:left="320" w:right="339"/>
        <w:spacing w:after="0" w:line="234" w:lineRule="auto"/>
        <w:rPr>
          <w:sz w:val="20"/>
          <w:szCs w:val="20"/>
          <w:color w:val="auto"/>
        </w:rPr>
      </w:pPr>
      <w:r>
        <w:rPr>
          <w:rFonts w:ascii="Calibri" w:cs="Calibri" w:eastAsia="Calibri" w:hAnsi="Calibri"/>
          <w:sz w:val="18"/>
          <w:szCs w:val="18"/>
          <w:b w:val="1"/>
          <w:bCs w:val="1"/>
          <w:color w:val="auto"/>
        </w:rPr>
        <w:t xml:space="preserve">Non-GAAP Operating income and margin: </w:t>
      </w:r>
      <w:r>
        <w:rPr>
          <w:rFonts w:ascii="Calibri" w:cs="Calibri" w:eastAsia="Calibri" w:hAnsi="Calibri"/>
          <w:sz w:val="18"/>
          <w:szCs w:val="18"/>
          <w:color w:val="auto"/>
        </w:rPr>
        <w:t>Non-GAAP operatng income is calculated by adjustng GAAP operatng</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income for certain items which are deemed by Merit’s management to be outside of core operatons and vary in amount and frequency among periods, such as expenses related to acquisitons or other extraordinary transactons, non-cash expenses related to amortzaton or write-of of previously acquired tangible and intangible assets, certain severance expenses, performance-based stock compensaton expenses, corporate transformaton expenses, expenses resultng from non-ordinary course litgaton or administratve proceedings and resultng setlements, governmental proceedings, and changes in governmental or industry regulatons, as well as other items referenced in the tables below. Non-GAAP operatng margin is calculated by dividing non-GAAP operatng income by reported net sales.</w:t>
      </w:r>
    </w:p>
    <w:p>
      <w:pPr>
        <w:spacing w:after="0" w:line="178" w:lineRule="exact"/>
        <w:rPr>
          <w:sz w:val="20"/>
          <w:szCs w:val="20"/>
          <w:color w:val="auto"/>
        </w:rPr>
      </w:pPr>
    </w:p>
    <w:p>
      <w:pPr>
        <w:jc w:val="both"/>
        <w:ind w:left="320" w:right="339"/>
        <w:spacing w:after="0" w:line="235" w:lineRule="auto"/>
        <w:rPr>
          <w:sz w:val="20"/>
          <w:szCs w:val="20"/>
          <w:color w:val="auto"/>
        </w:rPr>
      </w:pPr>
      <w:r>
        <w:rPr>
          <w:rFonts w:ascii="Calibri" w:cs="Calibri" w:eastAsia="Calibri" w:hAnsi="Calibri"/>
          <w:sz w:val="18"/>
          <w:szCs w:val="18"/>
          <w:b w:val="1"/>
          <w:bCs w:val="1"/>
          <w:color w:val="auto"/>
        </w:rPr>
        <w:t>Non-GAAP Net Income</w:t>
      </w:r>
      <w:r>
        <w:rPr>
          <w:rFonts w:ascii="Calibri" w:cs="Calibri" w:eastAsia="Calibri" w:hAnsi="Calibri"/>
          <w:sz w:val="18"/>
          <w:szCs w:val="18"/>
          <w:color w:val="auto"/>
        </w:rPr>
        <w:t>: Non-GAAP net income is calculated by adjustng GAAP net income for the items set forth in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defniton of non-GAAP operatng income above, as well as for expenses related to debt issuance costs, gains or losses on disposal of certain assets, changes in tax regulatons, and other items set forth in the tables below.</w:t>
      </w:r>
    </w:p>
    <w:p>
      <w:pPr>
        <w:spacing w:after="0" w:line="178" w:lineRule="exact"/>
        <w:rPr>
          <w:sz w:val="20"/>
          <w:szCs w:val="20"/>
          <w:color w:val="auto"/>
        </w:rPr>
      </w:pPr>
    </w:p>
    <w:p>
      <w:pPr>
        <w:jc w:val="both"/>
        <w:ind w:left="320" w:right="339"/>
        <w:spacing w:after="0" w:line="235" w:lineRule="auto"/>
        <w:rPr>
          <w:sz w:val="20"/>
          <w:szCs w:val="20"/>
          <w:color w:val="auto"/>
        </w:rPr>
      </w:pPr>
      <w:r>
        <w:rPr>
          <w:rFonts w:ascii="Calibri" w:cs="Calibri" w:eastAsia="Calibri" w:hAnsi="Calibri"/>
          <w:sz w:val="18"/>
          <w:szCs w:val="18"/>
          <w:b w:val="1"/>
          <w:bCs w:val="1"/>
          <w:color w:val="auto"/>
        </w:rPr>
        <w:t xml:space="preserve">Non-GAAP Earnings Per Share: </w:t>
      </w:r>
      <w:r>
        <w:rPr>
          <w:rFonts w:ascii="Calibri" w:cs="Calibri" w:eastAsia="Calibri" w:hAnsi="Calibri"/>
          <w:sz w:val="18"/>
          <w:szCs w:val="18"/>
          <w:color w:val="auto"/>
        </w:rPr>
        <w:t>Non-GAAP earnings per share is defned as non-GAAP net income divided by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diluted shares outstanding for the corresponding period.</w:t>
      </w:r>
    </w:p>
    <w:p>
      <w:pPr>
        <w:spacing w:after="0" w:line="137" w:lineRule="exact"/>
        <w:rPr>
          <w:sz w:val="20"/>
          <w:szCs w:val="20"/>
          <w:color w:val="auto"/>
        </w:rPr>
      </w:pPr>
    </w:p>
    <w:p>
      <w:pPr>
        <w:jc w:val="both"/>
        <w:ind w:left="320" w:right="339"/>
        <w:spacing w:after="0" w:line="235" w:lineRule="auto"/>
        <w:rPr>
          <w:sz w:val="20"/>
          <w:szCs w:val="20"/>
          <w:color w:val="auto"/>
        </w:rPr>
      </w:pPr>
      <w:r>
        <w:rPr>
          <w:rFonts w:ascii="Calibri" w:cs="Calibri" w:eastAsia="Calibri" w:hAnsi="Calibri"/>
          <w:sz w:val="18"/>
          <w:szCs w:val="18"/>
          <w:b w:val="1"/>
          <w:bCs w:val="1"/>
          <w:color w:val="auto"/>
        </w:rPr>
        <w:t xml:space="preserve">Non-GAAP Free Cash Flow: </w:t>
      </w:r>
      <w:r>
        <w:rPr>
          <w:rFonts w:ascii="Calibri" w:cs="Calibri" w:eastAsia="Calibri" w:hAnsi="Calibri"/>
          <w:sz w:val="18"/>
          <w:szCs w:val="18"/>
          <w:color w:val="auto"/>
        </w:rPr>
        <w:t>Non-GAAP free cash fow is defned as GAAP operatng cash fow less GAAP capital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expenditures for property and equipment.</w:t>
      </w:r>
    </w:p>
    <w:p>
      <w:pPr>
        <w:spacing w:after="0" w:line="150" w:lineRule="exact"/>
        <w:rPr>
          <w:sz w:val="20"/>
          <w:szCs w:val="20"/>
          <w:color w:val="auto"/>
        </w:rPr>
      </w:pPr>
    </w:p>
    <w:p>
      <w:pPr>
        <w:jc w:val="both"/>
        <w:ind w:left="320" w:right="339"/>
        <w:spacing w:after="0" w:line="235" w:lineRule="auto"/>
        <w:rPr>
          <w:sz w:val="20"/>
          <w:szCs w:val="20"/>
          <w:color w:val="auto"/>
        </w:rPr>
      </w:pPr>
      <w:r>
        <w:rPr>
          <w:rFonts w:ascii="Calibri" w:cs="Calibri" w:eastAsia="Calibri" w:hAnsi="Calibri"/>
          <w:sz w:val="18"/>
          <w:szCs w:val="18"/>
          <w:b w:val="1"/>
          <w:bCs w:val="1"/>
          <w:color w:val="auto"/>
        </w:rPr>
        <w:t xml:space="preserve">Non-GAAP Free Cash Flow - adjusted: </w:t>
      </w:r>
      <w:r>
        <w:rPr>
          <w:rFonts w:ascii="Calibri" w:cs="Calibri" w:eastAsia="Calibri" w:hAnsi="Calibri"/>
          <w:sz w:val="18"/>
          <w:szCs w:val="18"/>
          <w:color w:val="auto"/>
        </w:rPr>
        <w:t>Non-GAAP free cash fow - adjusted is defned as Non-GAAP free cash fow</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adjusted for the cash efect of any non-GAAP adjustments to the Company’s fnancial statements.</w:t>
      </w:r>
    </w:p>
    <w:p>
      <w:pPr>
        <w:spacing w:after="0" w:line="380" w:lineRule="exact"/>
        <w:rPr>
          <w:sz w:val="20"/>
          <w:szCs w:val="20"/>
          <w:color w:val="auto"/>
        </w:rPr>
      </w:pPr>
    </w:p>
    <w:p>
      <w:pPr>
        <w:ind w:left="200" w:right="239"/>
        <w:spacing w:after="0" w:line="235" w:lineRule="auto"/>
        <w:rPr>
          <w:sz w:val="20"/>
          <w:szCs w:val="20"/>
          <w:color w:val="auto"/>
        </w:rPr>
      </w:pPr>
      <w:r>
        <w:rPr>
          <w:rFonts w:ascii="Calibri" w:cs="Calibri" w:eastAsia="Calibri" w:hAnsi="Calibri"/>
          <w:sz w:val="18"/>
          <w:szCs w:val="18"/>
          <w:color w:val="auto"/>
        </w:rPr>
        <w:t>Our management team uses these and other non-GAAP fnancial measures to evaluate our proftability and efciency, to compare operatng results to prior periods, to evaluate changes in the operatng results of our operatng segments, and to measure and allocate fnancial resources internally. Our Board and Compensaton Commitee may also use these non-GAAP fnancial measures to assess the performance of certain of our NEOs.</w:t>
      </w: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90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94" w:name="page95"/>
    <w:bookmarkEnd w:id="94"/>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6720"/>
        <w:spacing w:after="0"/>
        <w:rPr>
          <w:sz w:val="20"/>
          <w:szCs w:val="20"/>
          <w:color w:val="auto"/>
        </w:rPr>
      </w:pPr>
      <w:r>
        <w:rPr>
          <w:rFonts w:ascii="Calibri" w:cs="Calibri" w:eastAsia="Calibri" w:hAnsi="Calibri"/>
          <w:sz w:val="17"/>
          <w:szCs w:val="17"/>
          <w:color w:val="auto"/>
        </w:rPr>
        <w:t>OTHER PROXY INFORMATION</w:t>
      </w:r>
    </w:p>
    <w:p>
      <w:pPr>
        <w:spacing w:after="0" w:line="184" w:lineRule="exact"/>
        <w:rPr>
          <w:sz w:val="20"/>
          <w:szCs w:val="20"/>
          <w:color w:val="auto"/>
        </w:rPr>
      </w:pPr>
    </w:p>
    <w:p>
      <w:pPr>
        <w:ind w:left="200" w:right="239"/>
        <w:spacing w:after="0" w:line="235" w:lineRule="auto"/>
        <w:rPr>
          <w:sz w:val="20"/>
          <w:szCs w:val="20"/>
          <w:color w:val="auto"/>
        </w:rPr>
      </w:pPr>
      <w:r>
        <w:rPr>
          <w:rFonts w:ascii="Calibri" w:cs="Calibri" w:eastAsia="Calibri" w:hAnsi="Calibri"/>
          <w:sz w:val="18"/>
          <w:szCs w:val="18"/>
          <w:color w:val="auto"/>
        </w:rPr>
        <w:t>Neither our management nor our Board or Compensaton Commitee consider any such non-GAAP measures in isolaton or as an alternatve to such measures determined in accordance with GAAP.</w:t>
      </w:r>
    </w:p>
    <w:p>
      <w:pPr>
        <w:spacing w:after="0" w:line="177" w:lineRule="exact"/>
        <w:rPr>
          <w:sz w:val="20"/>
          <w:szCs w:val="20"/>
          <w:color w:val="auto"/>
        </w:rPr>
      </w:pPr>
    </w:p>
    <w:p>
      <w:pPr>
        <w:ind w:left="200" w:right="219"/>
        <w:spacing w:after="0" w:line="234" w:lineRule="auto"/>
        <w:rPr>
          <w:sz w:val="20"/>
          <w:szCs w:val="20"/>
          <w:color w:val="auto"/>
        </w:rPr>
      </w:pPr>
      <w:r>
        <w:rPr>
          <w:rFonts w:ascii="Calibri" w:cs="Calibri" w:eastAsia="Calibri" w:hAnsi="Calibri"/>
          <w:sz w:val="18"/>
          <w:szCs w:val="18"/>
          <w:color w:val="auto"/>
        </w:rPr>
        <w:t>You should consider non-GAAP measures used in this Proxy Statement in additon to, not as a substtute for, fnancial reportng measures prepared in accordance with GAAP. These non-GAAP fnancial measures generally exclude some, but not all, items that may afect our fnancial results. In additon, they are subject to inherent limitatons as they refect the exercise of judgment by management about which items are excluded. We believe it is useful to exclude such items in the calculaton of non-GAAP gross margin, non-GAAP operatng income and margin, non-GAAP net income, and non-GAAP earnings per share (in each case, as further illustrated in the reconciliaton tables below) because such amounts in any specifc period may not directly correlate to the underlying performance of our business operatons and can vary signifcantly between periods as a result of factors such as such new acquisitons, non-cash expenses related to amortzaton or write-of of previously acquired tangible and intangible assets, certain severance expenses, performance-based stock compensaton expenses, corporate transformaton expenses, expenses resultng from non-ordinary course litgaton or administratve proceedings and resultng setlements, government proceedings or changes in tax or industry regulatons, debt issuance costs, and gains or losses on disposal of certain assets. We may incur similar types of expenses in the future, and the non-GAAP informaton included in this Proxy Statement should not be viewed as a statement or indicaton that these types of expenses will not recur. Additonally, the non-GAAP fnancial measures used in this Proxy Statement may not be comparable with similarly ttled measures of other companies. We urge readers to review the reconciliatons of our non-GAAP fnancial measures to the comparable GAAP fnancial measures, and not to rely on any single fnancial measure to evaluate our business or results of operatons.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95" w:name="page96"/>
    <w:bookmarkEnd w:id="95"/>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OTHER PROXY INFORMATION</w:t>
      </w:r>
    </w:p>
    <w:p>
      <w:pPr>
        <w:spacing w:after="0" w:line="136" w:lineRule="exact"/>
        <w:rPr>
          <w:sz w:val="20"/>
          <w:szCs w:val="20"/>
          <w:color w:val="auto"/>
        </w:rPr>
      </w:pPr>
    </w:p>
    <w:p>
      <w:pPr>
        <w:ind w:left="200" w:right="619"/>
        <w:spacing w:after="0" w:line="258" w:lineRule="auto"/>
        <w:rPr>
          <w:sz w:val="20"/>
          <w:szCs w:val="20"/>
          <w:color w:val="auto"/>
        </w:rPr>
      </w:pPr>
      <w:r>
        <w:rPr>
          <w:rFonts w:ascii="Calibri" w:cs="Calibri" w:eastAsia="Calibri" w:hAnsi="Calibri"/>
          <w:sz w:val="17"/>
          <w:szCs w:val="17"/>
          <w:color w:val="auto"/>
        </w:rPr>
        <w:t>Tables reconciling our 2023, 2022, 2021, 2020 and 2019 non-GAAP gross margin, non-GAAP operatng income and margin, non-GAAP net income and non-GAAP earnings per share to equivalent GAAP measures are included below:</w:t>
      </w:r>
    </w:p>
    <w:p>
      <w:pPr>
        <w:spacing w:after="0" w:line="157" w:lineRule="exact"/>
        <w:rPr>
          <w:sz w:val="20"/>
          <w:szCs w:val="20"/>
          <w:color w:val="auto"/>
        </w:rPr>
      </w:pPr>
    </w:p>
    <w:p>
      <w:pPr>
        <w:ind w:left="2100"/>
        <w:spacing w:after="0"/>
        <w:rPr>
          <w:sz w:val="20"/>
          <w:szCs w:val="20"/>
          <w:color w:val="auto"/>
        </w:rPr>
      </w:pPr>
      <w:r>
        <w:rPr>
          <w:rFonts w:ascii="Calibri" w:cs="Calibri" w:eastAsia="Calibri" w:hAnsi="Calibri"/>
          <w:sz w:val="18"/>
          <w:szCs w:val="18"/>
          <w:b w:val="1"/>
          <w:bCs w:val="1"/>
          <w:color w:val="auto"/>
        </w:rPr>
        <w:t>RECONCILIATION OF GAAP NET INCOME AND EARINGS PER SHARE</w:t>
      </w:r>
    </w:p>
    <w:p>
      <w:pPr>
        <w:spacing w:after="0" w:line="37" w:lineRule="exact"/>
        <w:rPr>
          <w:sz w:val="20"/>
          <w:szCs w:val="20"/>
          <w:color w:val="auto"/>
        </w:rPr>
      </w:pPr>
    </w:p>
    <w:p>
      <w:pPr>
        <w:ind w:left="2480"/>
        <w:spacing w:after="0"/>
        <w:rPr>
          <w:sz w:val="20"/>
          <w:szCs w:val="20"/>
          <w:color w:val="auto"/>
        </w:rPr>
      </w:pPr>
      <w:r>
        <w:rPr>
          <w:rFonts w:ascii="Calibri" w:cs="Calibri" w:eastAsia="Calibri" w:hAnsi="Calibri"/>
          <w:sz w:val="18"/>
          <w:szCs w:val="18"/>
          <w:b w:val="1"/>
          <w:bCs w:val="1"/>
          <w:color w:val="auto"/>
        </w:rPr>
        <w:t>TO NON-GAAP NET INCOME AND EARNINGS PER SHARE</w:t>
      </w:r>
    </w:p>
    <w:p>
      <w:pPr>
        <w:spacing w:after="0" w:line="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(UNAUDITED,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545211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40" w:type="dxa"/>
            <w:vAlign w:val="bottom"/>
            <w:gridSpan w:val="6"/>
          </w:tcPr>
          <w:p>
            <w:pPr>
              <w:jc w:val="right"/>
              <w:ind w:right="19"/>
              <w:spacing w:after="0"/>
              <w:rPr>
                <w:sz w:val="20"/>
                <w:szCs w:val="20"/>
                <w:color w:val="auto"/>
              </w:rPr>
            </w:pPr>
            <w:r>
              <w:rPr>
                <w:rFonts w:ascii="Calibri" w:cs="Calibri" w:eastAsia="Calibri" w:hAnsi="Calibri"/>
                <w:sz w:val="16"/>
                <w:szCs w:val="16"/>
                <w:b w:val="1"/>
                <w:bCs w:val="1"/>
                <w:color w:val="auto"/>
              </w:rPr>
              <w:t>Year Ended December 31, 2023</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vMerge w:val="restart"/>
          </w:tcPr>
          <w:p>
            <w:pPr>
              <w:jc w:val="right"/>
              <w:ind w:right="79"/>
              <w:spacing w:after="0"/>
              <w:rPr>
                <w:sz w:val="20"/>
                <w:szCs w:val="20"/>
                <w:color w:val="auto"/>
              </w:rPr>
            </w:pPr>
            <w:r>
              <w:rPr>
                <w:rFonts w:ascii="Calibri" w:cs="Calibri" w:eastAsia="Calibri" w:hAnsi="Calibri"/>
                <w:sz w:val="16"/>
                <w:szCs w:val="16"/>
                <w:b w:val="1"/>
                <w:bCs w:val="1"/>
                <w:color w:val="auto"/>
                <w:w w:val="99"/>
              </w:rPr>
              <w:t>Pre-Tax</w:t>
            </w:r>
          </w:p>
        </w:tc>
        <w:tc>
          <w:tcPr>
            <w:tcW w:w="920" w:type="dxa"/>
            <w:vAlign w:val="bottom"/>
            <w:gridSpan w:val="2"/>
            <w:vMerge w:val="restart"/>
          </w:tcPr>
          <w:p>
            <w:pPr>
              <w:jc w:val="right"/>
              <w:ind w:right="39"/>
              <w:spacing w:after="0"/>
              <w:rPr>
                <w:sz w:val="20"/>
                <w:szCs w:val="20"/>
                <w:color w:val="auto"/>
              </w:rPr>
            </w:pPr>
            <w:r>
              <w:rPr>
                <w:rFonts w:ascii="Calibri" w:cs="Calibri" w:eastAsia="Calibri" w:hAnsi="Calibri"/>
                <w:sz w:val="16"/>
                <w:szCs w:val="16"/>
                <w:b w:val="1"/>
                <w:bCs w:val="1"/>
                <w:color w:val="auto"/>
              </w:rPr>
              <w:t>Tax Impact</w:t>
            </w:r>
          </w:p>
        </w:tc>
        <w:tc>
          <w:tcPr>
            <w:tcW w:w="860" w:type="dxa"/>
            <w:vAlign w:val="bottom"/>
            <w:gridSpan w:val="2"/>
            <w:vMerge w:val="restart"/>
          </w:tcPr>
          <w:p>
            <w:pPr>
              <w:jc w:val="right"/>
              <w:ind w:right="79"/>
              <w:spacing w:after="0"/>
              <w:rPr>
                <w:sz w:val="20"/>
                <w:szCs w:val="20"/>
                <w:color w:val="auto"/>
              </w:rPr>
            </w:pPr>
            <w:r>
              <w:rPr>
                <w:rFonts w:ascii="Calibri" w:cs="Calibri" w:eastAsia="Calibri" w:hAnsi="Calibri"/>
                <w:sz w:val="16"/>
                <w:szCs w:val="16"/>
                <w:b w:val="1"/>
                <w:bCs w:val="1"/>
                <w:color w:val="auto"/>
              </w:rPr>
              <w:t>Afer-Tax</w:t>
            </w:r>
          </w:p>
        </w:tc>
        <w:tc>
          <w:tcPr>
            <w:tcW w:w="860" w:type="dxa"/>
            <w:vAlign w:val="bottom"/>
            <w:gridSpan w:val="3"/>
          </w:tcPr>
          <w:p>
            <w:pPr>
              <w:jc w:val="center"/>
              <w:ind w:right="60"/>
              <w:spacing w:after="0"/>
              <w:rPr>
                <w:sz w:val="20"/>
                <w:szCs w:val="20"/>
                <w:color w:val="auto"/>
              </w:rPr>
            </w:pPr>
            <w:r>
              <w:rPr>
                <w:rFonts w:ascii="Calibri" w:cs="Calibri" w:eastAsia="Calibri" w:hAnsi="Calibri"/>
                <w:sz w:val="16"/>
                <w:szCs w:val="16"/>
                <w:b w:val="1"/>
                <w:bCs w:val="1"/>
                <w:color w:val="auto"/>
              </w:rPr>
              <w:t>Per Share</w:t>
            </w:r>
          </w:p>
        </w:tc>
        <w:tc>
          <w:tcPr>
            <w:tcW w:w="0" w:type="dxa"/>
            <w:vAlign w:val="bottom"/>
          </w:tcPr>
          <w:p>
            <w:pPr>
              <w:spacing w:after="0"/>
              <w:rPr>
                <w:sz w:val="1"/>
                <w:szCs w:val="1"/>
                <w:color w:val="auto"/>
              </w:rPr>
            </w:pPr>
          </w:p>
        </w:tc>
      </w:tr>
      <w:tr>
        <w:trPr>
          <w:trHeight w:val="95"/>
        </w:trPr>
        <w:tc>
          <w:tcPr>
            <w:tcW w:w="4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60" w:type="dxa"/>
            <w:vAlign w:val="bottom"/>
            <w:gridSpan w:val="3"/>
            <w:vMerge w:val="restart"/>
          </w:tcPr>
          <w:p>
            <w:pPr>
              <w:jc w:val="center"/>
              <w:ind w:right="60"/>
              <w:spacing w:after="0"/>
              <w:rPr>
                <w:sz w:val="20"/>
                <w:szCs w:val="20"/>
                <w:color w:val="auto"/>
              </w:rPr>
            </w:pPr>
            <w:r>
              <w:rPr>
                <w:rFonts w:ascii="Calibri" w:cs="Calibri" w:eastAsia="Calibri" w:hAnsi="Calibri"/>
                <w:sz w:val="16"/>
                <w:szCs w:val="16"/>
                <w:b w:val="1"/>
                <w:bCs w:val="1"/>
                <w:color w:val="auto"/>
              </w:rPr>
              <w:t>Impact</w:t>
            </w: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80" w:type="dxa"/>
            <w:vAlign w:val="bottom"/>
            <w:tcBorders>
              <w:top w:val="single" w:sz="8" w:color="AF0000"/>
              <w:bottom w:val="single" w:sz="8" w:color="A6A6A6"/>
            </w:tcBorders>
          </w:tcPr>
          <w:p>
            <w:pPr>
              <w:spacing w:after="0" w:line="189" w:lineRule="exact"/>
              <w:rPr>
                <w:sz w:val="20"/>
                <w:szCs w:val="20"/>
                <w:color w:val="auto"/>
              </w:rPr>
            </w:pPr>
            <w:r>
              <w:rPr>
                <w:rFonts w:ascii="Calibri" w:cs="Calibri" w:eastAsia="Calibri" w:hAnsi="Calibri"/>
                <w:sz w:val="16"/>
                <w:szCs w:val="16"/>
                <w:color w:val="auto"/>
              </w:rPr>
              <w:t>GAAP net income</w:t>
            </w:r>
          </w:p>
        </w:tc>
        <w:tc>
          <w:tcPr>
            <w:tcW w:w="90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68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112,089</w:t>
            </w:r>
          </w:p>
        </w:tc>
        <w:tc>
          <w:tcPr>
            <w:tcW w:w="26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66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(17,678)</w:t>
            </w:r>
          </w:p>
        </w:tc>
        <w:tc>
          <w:tcPr>
            <w:tcW w:w="18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680" w:type="dxa"/>
            <w:vAlign w:val="bottom"/>
            <w:tcBorders>
              <w:top w:val="single" w:sz="8" w:color="AF0000"/>
              <w:bottom w:val="single" w:sz="8" w:color="A6A6A6"/>
            </w:tcBorders>
          </w:tcPr>
          <w:p>
            <w:pPr>
              <w:jc w:val="right"/>
              <w:ind w:right="19"/>
              <w:spacing w:after="0" w:line="189" w:lineRule="exact"/>
              <w:rPr>
                <w:sz w:val="20"/>
                <w:szCs w:val="20"/>
                <w:color w:val="auto"/>
              </w:rPr>
            </w:pPr>
            <w:r>
              <w:rPr>
                <w:rFonts w:ascii="Calibri" w:cs="Calibri" w:eastAsia="Calibri" w:hAnsi="Calibri"/>
                <w:sz w:val="16"/>
                <w:szCs w:val="16"/>
                <w:color w:val="auto"/>
              </w:rPr>
              <w:t>94,411</w:t>
            </w:r>
          </w:p>
        </w:tc>
        <w:tc>
          <w:tcPr>
            <w:tcW w:w="280" w:type="dxa"/>
            <w:vAlign w:val="bottom"/>
            <w:tcBorders>
              <w:top w:val="single" w:sz="8" w:color="AF0000"/>
              <w:bottom w:val="single" w:sz="8" w:color="A6A6A6"/>
            </w:tcBorders>
          </w:tcPr>
          <w:p>
            <w:pPr>
              <w:jc w:val="right"/>
              <w:ind w:right="39"/>
              <w:spacing w:after="0" w:line="189" w:lineRule="exact"/>
              <w:rPr>
                <w:sz w:val="20"/>
                <w:szCs w:val="20"/>
                <w:color w:val="auto"/>
              </w:rPr>
            </w:pPr>
            <w:r>
              <w:rPr>
                <w:rFonts w:ascii="Calibri" w:cs="Calibri" w:eastAsia="Calibri" w:hAnsi="Calibri"/>
                <w:sz w:val="16"/>
                <w:szCs w:val="16"/>
                <w:color w:val="auto"/>
              </w:rPr>
              <w:t>$</w:t>
            </w:r>
          </w:p>
        </w:tc>
        <w:tc>
          <w:tcPr>
            <w:tcW w:w="56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1.62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80" w:type="dxa"/>
            <w:vAlign w:val="bottom"/>
            <w:tcBorders>
              <w:bottom w:val="single" w:sz="8" w:color="A6A6A6"/>
            </w:tcBorders>
          </w:tcPr>
          <w:p>
            <w:pPr>
              <w:spacing w:after="0" w:line="183" w:lineRule="exact"/>
              <w:rPr>
                <w:sz w:val="20"/>
                <w:szCs w:val="20"/>
                <w:color w:val="auto"/>
              </w:rPr>
            </w:pPr>
            <w:r>
              <w:rPr>
                <w:rFonts w:ascii="Calibri" w:cs="Calibri" w:eastAsia="Calibri" w:hAnsi="Calibri"/>
                <w:sz w:val="16"/>
                <w:szCs w:val="16"/>
                <w:i w:val="1"/>
                <w:iCs w:val="1"/>
                <w:color w:val="auto"/>
              </w:rPr>
              <w:t>Non-GAAP adjustments:</w:t>
            </w:r>
          </w:p>
        </w:tc>
        <w:tc>
          <w:tcPr>
            <w:tcW w:w="90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80" w:type="dxa"/>
            <w:vAlign w:val="bottom"/>
            <w:tcBorders>
              <w:bottom w:val="single" w:sz="8" w:color="A6A6A6"/>
            </w:tcBorders>
          </w:tcPr>
          <w:p>
            <w:pPr>
              <w:ind w:left="100"/>
              <w:spacing w:after="0" w:line="183" w:lineRule="exact"/>
              <w:rPr>
                <w:sz w:val="20"/>
                <w:szCs w:val="20"/>
                <w:color w:val="auto"/>
              </w:rPr>
            </w:pPr>
            <w:r>
              <w:rPr>
                <w:rFonts w:ascii="Calibri" w:cs="Calibri" w:eastAsia="Calibri" w:hAnsi="Calibri"/>
                <w:sz w:val="16"/>
                <w:szCs w:val="16"/>
                <w:color w:val="auto"/>
              </w:rPr>
              <w:t>Cost of Sales</w:t>
            </w:r>
          </w:p>
        </w:tc>
        <w:tc>
          <w:tcPr>
            <w:tcW w:w="90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intangibles</w:t>
            </w:r>
          </w:p>
        </w:tc>
        <w:tc>
          <w:tcPr>
            <w:tcW w:w="900" w:type="dxa"/>
            <w:vAlign w:val="bottom"/>
          </w:tcPr>
          <w:p>
            <w:pPr>
              <w:spacing w:after="0"/>
              <w:rPr>
                <w:sz w:val="16"/>
                <w:szCs w:val="16"/>
                <w:color w:val="auto"/>
              </w:rPr>
            </w:pPr>
          </w:p>
        </w:tc>
        <w:tc>
          <w:tcPr>
            <w:tcW w:w="680" w:type="dxa"/>
            <w:vAlign w:val="bottom"/>
          </w:tcPr>
          <w:p>
            <w:pPr>
              <w:jc w:val="right"/>
              <w:spacing w:after="0" w:line="187" w:lineRule="exact"/>
              <w:rPr>
                <w:sz w:val="20"/>
                <w:szCs w:val="20"/>
                <w:color w:val="auto"/>
              </w:rPr>
            </w:pPr>
            <w:r>
              <w:rPr>
                <w:rFonts w:ascii="Calibri" w:cs="Calibri" w:eastAsia="Calibri" w:hAnsi="Calibri"/>
                <w:sz w:val="16"/>
                <w:szCs w:val="16"/>
                <w:color w:val="auto"/>
              </w:rPr>
              <w:t>47,795</w:t>
            </w:r>
          </w:p>
        </w:tc>
        <w:tc>
          <w:tcPr>
            <w:tcW w:w="26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(11,492)</w:t>
            </w:r>
          </w:p>
        </w:tc>
        <w:tc>
          <w:tcPr>
            <w:tcW w:w="180" w:type="dxa"/>
            <w:vAlign w:val="bottom"/>
          </w:tcPr>
          <w:p>
            <w:pPr>
              <w:spacing w:after="0"/>
              <w:rPr>
                <w:sz w:val="16"/>
                <w:szCs w:val="16"/>
                <w:color w:val="auto"/>
              </w:rPr>
            </w:pPr>
          </w:p>
        </w:tc>
        <w:tc>
          <w:tcPr>
            <w:tcW w:w="6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36,303</w:t>
            </w:r>
          </w:p>
        </w:tc>
        <w:tc>
          <w:tcPr>
            <w:tcW w:w="2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0.62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Corporate restructuring </w:t>
            </w:r>
            <w:r>
              <w:rPr>
                <w:rFonts w:ascii="Calibri" w:cs="Calibri" w:eastAsia="Calibri" w:hAnsi="Calibri"/>
                <w:sz w:val="22"/>
                <w:szCs w:val="22"/>
                <w:b w:val="1"/>
                <w:bCs w:val="1"/>
                <w:color w:val="AF0000"/>
                <w:vertAlign w:val="superscript"/>
              </w:rPr>
              <w:t>(1)</w:t>
            </w:r>
          </w:p>
        </w:tc>
        <w:tc>
          <w:tcPr>
            <w:tcW w:w="9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448</w:t>
            </w:r>
          </w:p>
        </w:tc>
        <w:tc>
          <w:tcPr>
            <w:tcW w:w="26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(108)</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340</w:t>
            </w:r>
          </w:p>
        </w:tc>
        <w:tc>
          <w:tcPr>
            <w:tcW w:w="28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Inventory mark-up related to acquisitons</w:t>
            </w:r>
          </w:p>
        </w:tc>
        <w:tc>
          <w:tcPr>
            <w:tcW w:w="900" w:type="dxa"/>
            <w:vAlign w:val="bottom"/>
          </w:tcPr>
          <w:p>
            <w:pPr>
              <w:spacing w:after="0"/>
              <w:rPr>
                <w:sz w:val="16"/>
                <w:szCs w:val="16"/>
                <w:color w:val="auto"/>
              </w:rPr>
            </w:pPr>
          </w:p>
        </w:tc>
        <w:tc>
          <w:tcPr>
            <w:tcW w:w="680" w:type="dxa"/>
            <w:vAlign w:val="bottom"/>
          </w:tcPr>
          <w:p>
            <w:pPr>
              <w:jc w:val="right"/>
              <w:spacing w:after="0" w:line="187" w:lineRule="exact"/>
              <w:rPr>
                <w:sz w:val="20"/>
                <w:szCs w:val="20"/>
                <w:color w:val="auto"/>
              </w:rPr>
            </w:pPr>
            <w:r>
              <w:rPr>
                <w:rFonts w:ascii="Calibri" w:cs="Calibri" w:eastAsia="Calibri" w:hAnsi="Calibri"/>
                <w:sz w:val="16"/>
                <w:szCs w:val="16"/>
                <w:color w:val="auto"/>
              </w:rPr>
              <w:t>2,069</w:t>
            </w:r>
          </w:p>
        </w:tc>
        <w:tc>
          <w:tcPr>
            <w:tcW w:w="26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(497)</w:t>
            </w:r>
          </w:p>
        </w:tc>
        <w:tc>
          <w:tcPr>
            <w:tcW w:w="180" w:type="dxa"/>
            <w:vAlign w:val="bottom"/>
          </w:tcPr>
          <w:p>
            <w:pPr>
              <w:spacing w:after="0"/>
              <w:rPr>
                <w:sz w:val="16"/>
                <w:szCs w:val="16"/>
                <w:color w:val="auto"/>
              </w:rPr>
            </w:pPr>
          </w:p>
        </w:tc>
        <w:tc>
          <w:tcPr>
            <w:tcW w:w="6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1,572</w:t>
            </w:r>
          </w:p>
        </w:tc>
        <w:tc>
          <w:tcPr>
            <w:tcW w:w="2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0.03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100"/>
              <w:spacing w:after="0" w:line="187" w:lineRule="exact"/>
              <w:rPr>
                <w:sz w:val="20"/>
                <w:szCs w:val="20"/>
                <w:color w:val="auto"/>
              </w:rPr>
            </w:pPr>
            <w:r>
              <w:rPr>
                <w:rFonts w:ascii="Calibri" w:cs="Calibri" w:eastAsia="Calibri" w:hAnsi="Calibri"/>
                <w:sz w:val="16"/>
                <w:szCs w:val="16"/>
                <w:color w:val="auto"/>
              </w:rPr>
              <w:t>Operatng expenses</w:t>
            </w: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Contngent consideraton expense</w:t>
            </w:r>
          </w:p>
        </w:tc>
        <w:tc>
          <w:tcPr>
            <w:tcW w:w="900" w:type="dxa"/>
            <w:vAlign w:val="bottom"/>
          </w:tcPr>
          <w:p>
            <w:pPr>
              <w:spacing w:after="0"/>
              <w:rPr>
                <w:sz w:val="16"/>
                <w:szCs w:val="16"/>
                <w:color w:val="auto"/>
              </w:rPr>
            </w:pPr>
          </w:p>
        </w:tc>
        <w:tc>
          <w:tcPr>
            <w:tcW w:w="680" w:type="dxa"/>
            <w:vAlign w:val="bottom"/>
          </w:tcPr>
          <w:p>
            <w:pPr>
              <w:jc w:val="right"/>
              <w:spacing w:after="0" w:line="187" w:lineRule="exact"/>
              <w:rPr>
                <w:sz w:val="20"/>
                <w:szCs w:val="20"/>
                <w:color w:val="auto"/>
              </w:rPr>
            </w:pPr>
            <w:r>
              <w:rPr>
                <w:rFonts w:ascii="Calibri" w:cs="Calibri" w:eastAsia="Calibri" w:hAnsi="Calibri"/>
                <w:sz w:val="16"/>
                <w:szCs w:val="16"/>
                <w:color w:val="auto"/>
              </w:rPr>
              <w:t>1,704</w:t>
            </w:r>
          </w:p>
        </w:tc>
        <w:tc>
          <w:tcPr>
            <w:tcW w:w="26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(47)</w:t>
            </w:r>
          </w:p>
        </w:tc>
        <w:tc>
          <w:tcPr>
            <w:tcW w:w="180" w:type="dxa"/>
            <w:vAlign w:val="bottom"/>
          </w:tcPr>
          <w:p>
            <w:pPr>
              <w:spacing w:after="0"/>
              <w:rPr>
                <w:sz w:val="16"/>
                <w:szCs w:val="16"/>
                <w:color w:val="auto"/>
              </w:rPr>
            </w:pPr>
          </w:p>
        </w:tc>
        <w:tc>
          <w:tcPr>
            <w:tcW w:w="6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1,657</w:t>
            </w:r>
          </w:p>
        </w:tc>
        <w:tc>
          <w:tcPr>
            <w:tcW w:w="2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0.03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Impairment charges</w:t>
            </w:r>
          </w:p>
        </w:tc>
        <w:tc>
          <w:tcPr>
            <w:tcW w:w="900" w:type="dxa"/>
            <w:vAlign w:val="bottom"/>
          </w:tcPr>
          <w:p>
            <w:pPr>
              <w:spacing w:after="0"/>
              <w:rPr>
                <w:sz w:val="16"/>
                <w:szCs w:val="16"/>
                <w:color w:val="auto"/>
              </w:rPr>
            </w:pPr>
          </w:p>
        </w:tc>
        <w:tc>
          <w:tcPr>
            <w:tcW w:w="680" w:type="dxa"/>
            <w:vAlign w:val="bottom"/>
          </w:tcPr>
          <w:p>
            <w:pPr>
              <w:jc w:val="right"/>
              <w:spacing w:after="0" w:line="187" w:lineRule="exact"/>
              <w:rPr>
                <w:sz w:val="20"/>
                <w:szCs w:val="20"/>
                <w:color w:val="auto"/>
              </w:rPr>
            </w:pPr>
            <w:r>
              <w:rPr>
                <w:rFonts w:ascii="Calibri" w:cs="Calibri" w:eastAsia="Calibri" w:hAnsi="Calibri"/>
                <w:sz w:val="16"/>
                <w:szCs w:val="16"/>
                <w:color w:val="auto"/>
              </w:rPr>
              <w:t>270</w:t>
            </w:r>
          </w:p>
        </w:tc>
        <w:tc>
          <w:tcPr>
            <w:tcW w:w="26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6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270</w:t>
            </w:r>
          </w:p>
        </w:tc>
        <w:tc>
          <w:tcPr>
            <w:tcW w:w="2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intangibles</w:t>
            </w:r>
          </w:p>
        </w:tc>
        <w:tc>
          <w:tcPr>
            <w:tcW w:w="900" w:type="dxa"/>
            <w:vAlign w:val="bottom"/>
          </w:tcPr>
          <w:p>
            <w:pPr>
              <w:spacing w:after="0"/>
              <w:rPr>
                <w:sz w:val="16"/>
                <w:szCs w:val="16"/>
                <w:color w:val="auto"/>
              </w:rPr>
            </w:pPr>
          </w:p>
        </w:tc>
        <w:tc>
          <w:tcPr>
            <w:tcW w:w="680" w:type="dxa"/>
            <w:vAlign w:val="bottom"/>
          </w:tcPr>
          <w:p>
            <w:pPr>
              <w:jc w:val="right"/>
              <w:spacing w:after="0" w:line="187" w:lineRule="exact"/>
              <w:rPr>
                <w:sz w:val="20"/>
                <w:szCs w:val="20"/>
                <w:color w:val="auto"/>
              </w:rPr>
            </w:pPr>
            <w:r>
              <w:rPr>
                <w:rFonts w:ascii="Calibri" w:cs="Calibri" w:eastAsia="Calibri" w:hAnsi="Calibri"/>
                <w:sz w:val="16"/>
                <w:szCs w:val="16"/>
                <w:color w:val="auto"/>
              </w:rPr>
              <w:t>8,293</w:t>
            </w:r>
          </w:p>
        </w:tc>
        <w:tc>
          <w:tcPr>
            <w:tcW w:w="26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(1,998)</w:t>
            </w:r>
          </w:p>
        </w:tc>
        <w:tc>
          <w:tcPr>
            <w:tcW w:w="180" w:type="dxa"/>
            <w:vAlign w:val="bottom"/>
          </w:tcPr>
          <w:p>
            <w:pPr>
              <w:spacing w:after="0"/>
              <w:rPr>
                <w:sz w:val="16"/>
                <w:szCs w:val="16"/>
                <w:color w:val="auto"/>
              </w:rPr>
            </w:pPr>
          </w:p>
        </w:tc>
        <w:tc>
          <w:tcPr>
            <w:tcW w:w="6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6,295</w:t>
            </w:r>
          </w:p>
        </w:tc>
        <w:tc>
          <w:tcPr>
            <w:tcW w:w="2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Performance-based share-based compensaton </w:t>
            </w:r>
            <w:r>
              <w:rPr>
                <w:rFonts w:ascii="Calibri" w:cs="Calibri" w:eastAsia="Calibri" w:hAnsi="Calibri"/>
                <w:sz w:val="22"/>
                <w:szCs w:val="22"/>
                <w:b w:val="1"/>
                <w:bCs w:val="1"/>
                <w:color w:val="AF0000"/>
                <w:vertAlign w:val="superscript"/>
              </w:rPr>
              <w:t>(2)</w:t>
            </w:r>
          </w:p>
        </w:tc>
        <w:tc>
          <w:tcPr>
            <w:tcW w:w="9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8,526</w:t>
            </w:r>
          </w:p>
        </w:tc>
        <w:tc>
          <w:tcPr>
            <w:tcW w:w="26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(1,121)</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7,405</w:t>
            </w:r>
          </w:p>
        </w:tc>
        <w:tc>
          <w:tcPr>
            <w:tcW w:w="28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Corporate transformaton and restructuring </w:t>
            </w:r>
            <w:r>
              <w:rPr>
                <w:rFonts w:ascii="Calibri" w:cs="Calibri" w:eastAsia="Calibri" w:hAnsi="Calibri"/>
                <w:sz w:val="22"/>
                <w:szCs w:val="22"/>
                <w:b w:val="1"/>
                <w:bCs w:val="1"/>
                <w:color w:val="AF0000"/>
                <w:vertAlign w:val="superscript"/>
              </w:rPr>
              <w:t>(3)</w:t>
            </w:r>
          </w:p>
        </w:tc>
        <w:tc>
          <w:tcPr>
            <w:tcW w:w="9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19,365</w:t>
            </w:r>
          </w:p>
        </w:tc>
        <w:tc>
          <w:tcPr>
            <w:tcW w:w="26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(4,646)</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14,719</w:t>
            </w:r>
          </w:p>
        </w:tc>
        <w:tc>
          <w:tcPr>
            <w:tcW w:w="28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Acquisiton-related</w:t>
            </w:r>
          </w:p>
        </w:tc>
        <w:tc>
          <w:tcPr>
            <w:tcW w:w="900" w:type="dxa"/>
            <w:vAlign w:val="bottom"/>
          </w:tcPr>
          <w:p>
            <w:pPr>
              <w:spacing w:after="0"/>
              <w:rPr>
                <w:sz w:val="16"/>
                <w:szCs w:val="16"/>
                <w:color w:val="auto"/>
              </w:rPr>
            </w:pPr>
          </w:p>
        </w:tc>
        <w:tc>
          <w:tcPr>
            <w:tcW w:w="680" w:type="dxa"/>
            <w:vAlign w:val="bottom"/>
          </w:tcPr>
          <w:p>
            <w:pPr>
              <w:jc w:val="right"/>
              <w:spacing w:after="0" w:line="187" w:lineRule="exact"/>
              <w:rPr>
                <w:sz w:val="20"/>
                <w:szCs w:val="20"/>
                <w:color w:val="auto"/>
              </w:rPr>
            </w:pPr>
            <w:r>
              <w:rPr>
                <w:rFonts w:ascii="Calibri" w:cs="Calibri" w:eastAsia="Calibri" w:hAnsi="Calibri"/>
                <w:sz w:val="16"/>
                <w:szCs w:val="16"/>
                <w:color w:val="auto"/>
              </w:rPr>
              <w:t>5,286</w:t>
            </w:r>
          </w:p>
        </w:tc>
        <w:tc>
          <w:tcPr>
            <w:tcW w:w="26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(1,269)</w:t>
            </w:r>
          </w:p>
        </w:tc>
        <w:tc>
          <w:tcPr>
            <w:tcW w:w="180" w:type="dxa"/>
            <w:vAlign w:val="bottom"/>
          </w:tcPr>
          <w:p>
            <w:pPr>
              <w:spacing w:after="0"/>
              <w:rPr>
                <w:sz w:val="16"/>
                <w:szCs w:val="16"/>
                <w:color w:val="auto"/>
              </w:rPr>
            </w:pPr>
          </w:p>
        </w:tc>
        <w:tc>
          <w:tcPr>
            <w:tcW w:w="6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4,017</w:t>
            </w:r>
          </w:p>
        </w:tc>
        <w:tc>
          <w:tcPr>
            <w:tcW w:w="2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0.07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Medical Device Regulaton expenses </w:t>
            </w:r>
            <w:r>
              <w:rPr>
                <w:rFonts w:ascii="Calibri" w:cs="Calibri" w:eastAsia="Calibri" w:hAnsi="Calibri"/>
                <w:sz w:val="22"/>
                <w:szCs w:val="22"/>
                <w:b w:val="1"/>
                <w:bCs w:val="1"/>
                <w:color w:val="AF0000"/>
                <w:vertAlign w:val="superscript"/>
              </w:rPr>
              <w:t>(4)</w:t>
            </w:r>
          </w:p>
        </w:tc>
        <w:tc>
          <w:tcPr>
            <w:tcW w:w="9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11,822</w:t>
            </w:r>
          </w:p>
        </w:tc>
        <w:tc>
          <w:tcPr>
            <w:tcW w:w="26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(2,838)</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8,984</w:t>
            </w:r>
          </w:p>
        </w:tc>
        <w:tc>
          <w:tcPr>
            <w:tcW w:w="28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Other </w:t>
            </w:r>
            <w:r>
              <w:rPr>
                <w:rFonts w:ascii="Calibri" w:cs="Calibri" w:eastAsia="Calibri" w:hAnsi="Calibri"/>
                <w:sz w:val="22"/>
                <w:szCs w:val="22"/>
                <w:b w:val="1"/>
                <w:bCs w:val="1"/>
                <w:color w:val="AF0000"/>
                <w:vertAlign w:val="superscript"/>
              </w:rPr>
              <w:t>(5)</w:t>
            </w:r>
          </w:p>
        </w:tc>
        <w:tc>
          <w:tcPr>
            <w:tcW w:w="9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(1,268)</w:t>
            </w:r>
          </w:p>
        </w:tc>
        <w:tc>
          <w:tcPr>
            <w:tcW w:w="26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304</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(964)</w:t>
            </w:r>
          </w:p>
        </w:tc>
        <w:tc>
          <w:tcPr>
            <w:tcW w:w="28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100"/>
              <w:spacing w:after="0" w:line="187" w:lineRule="exact"/>
              <w:rPr>
                <w:sz w:val="20"/>
                <w:szCs w:val="20"/>
                <w:color w:val="auto"/>
              </w:rPr>
            </w:pPr>
            <w:r>
              <w:rPr>
                <w:rFonts w:ascii="Calibri" w:cs="Calibri" w:eastAsia="Calibri" w:hAnsi="Calibri"/>
                <w:sz w:val="16"/>
                <w:szCs w:val="16"/>
                <w:color w:val="auto"/>
              </w:rPr>
              <w:t>Other (Income) Expense</w:t>
            </w: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38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long-term debt issuance costs</w:t>
            </w:r>
          </w:p>
        </w:tc>
        <w:tc>
          <w:tcPr>
            <w:tcW w:w="900" w:type="dxa"/>
            <w:vAlign w:val="bottom"/>
          </w:tcPr>
          <w:p>
            <w:pPr>
              <w:spacing w:after="0"/>
              <w:rPr>
                <w:sz w:val="16"/>
                <w:szCs w:val="16"/>
                <w:color w:val="auto"/>
              </w:rPr>
            </w:pPr>
          </w:p>
        </w:tc>
        <w:tc>
          <w:tcPr>
            <w:tcW w:w="680" w:type="dxa"/>
            <w:vAlign w:val="bottom"/>
          </w:tcPr>
          <w:p>
            <w:pPr>
              <w:jc w:val="right"/>
              <w:spacing w:after="0" w:line="187" w:lineRule="exact"/>
              <w:rPr>
                <w:sz w:val="20"/>
                <w:szCs w:val="20"/>
                <w:color w:val="auto"/>
              </w:rPr>
            </w:pPr>
            <w:r>
              <w:rPr>
                <w:rFonts w:ascii="Calibri" w:cs="Calibri" w:eastAsia="Calibri" w:hAnsi="Calibri"/>
                <w:sz w:val="16"/>
                <w:szCs w:val="16"/>
                <w:color w:val="auto"/>
              </w:rPr>
              <w:t>1,639</w:t>
            </w:r>
          </w:p>
        </w:tc>
        <w:tc>
          <w:tcPr>
            <w:tcW w:w="26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(393)</w:t>
            </w:r>
          </w:p>
        </w:tc>
        <w:tc>
          <w:tcPr>
            <w:tcW w:w="180" w:type="dxa"/>
            <w:vAlign w:val="bottom"/>
          </w:tcPr>
          <w:p>
            <w:pPr>
              <w:spacing w:after="0"/>
              <w:rPr>
                <w:sz w:val="16"/>
                <w:szCs w:val="16"/>
                <w:color w:val="auto"/>
              </w:rPr>
            </w:pPr>
          </w:p>
        </w:tc>
        <w:tc>
          <w:tcPr>
            <w:tcW w:w="6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1,246</w:t>
            </w:r>
          </w:p>
        </w:tc>
        <w:tc>
          <w:tcPr>
            <w:tcW w:w="2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0.02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Gain on disposal of business unit</w:t>
            </w:r>
          </w:p>
        </w:tc>
        <w:tc>
          <w:tcPr>
            <w:tcW w:w="900" w:type="dxa"/>
            <w:vAlign w:val="bottom"/>
          </w:tcPr>
          <w:p>
            <w:pPr>
              <w:spacing w:after="0"/>
              <w:rPr>
                <w:sz w:val="16"/>
                <w:szCs w:val="16"/>
                <w:color w:val="auto"/>
              </w:rPr>
            </w:pPr>
          </w:p>
        </w:tc>
        <w:tc>
          <w:tcPr>
            <w:tcW w:w="680" w:type="dxa"/>
            <w:vAlign w:val="bottom"/>
          </w:tcPr>
          <w:p>
            <w:pPr>
              <w:jc w:val="right"/>
              <w:spacing w:after="0" w:line="187" w:lineRule="exact"/>
              <w:rPr>
                <w:sz w:val="20"/>
                <w:szCs w:val="20"/>
                <w:color w:val="auto"/>
              </w:rPr>
            </w:pPr>
            <w:r>
              <w:rPr>
                <w:rFonts w:ascii="Calibri" w:cs="Calibri" w:eastAsia="Calibri" w:hAnsi="Calibri"/>
                <w:sz w:val="16"/>
                <w:szCs w:val="16"/>
                <w:color w:val="auto"/>
              </w:rPr>
              <w:t>(431)</w:t>
            </w:r>
          </w:p>
        </w:tc>
        <w:tc>
          <w:tcPr>
            <w:tcW w:w="26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6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(431)</w:t>
            </w:r>
          </w:p>
        </w:tc>
        <w:tc>
          <w:tcPr>
            <w:tcW w:w="2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(0.01)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38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80" w:type="dxa"/>
            <w:vAlign w:val="bottom"/>
            <w:tcBorders>
              <w:bottom w:val="single" w:sz="8" w:color="A6A6A6"/>
            </w:tcBorders>
          </w:tcPr>
          <w:p>
            <w:pPr>
              <w:spacing w:after="0" w:line="183" w:lineRule="exact"/>
              <w:rPr>
                <w:sz w:val="20"/>
                <w:szCs w:val="20"/>
                <w:color w:val="auto"/>
              </w:rPr>
            </w:pPr>
            <w:r>
              <w:rPr>
                <w:rFonts w:ascii="Calibri" w:cs="Calibri" w:eastAsia="Calibri" w:hAnsi="Calibri"/>
                <w:sz w:val="16"/>
                <w:szCs w:val="16"/>
                <w:color w:val="auto"/>
              </w:rPr>
              <w:t>Non-GAAP net income</w:t>
            </w:r>
          </w:p>
        </w:tc>
        <w:tc>
          <w:tcPr>
            <w:tcW w:w="90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68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217,607</w:t>
            </w:r>
          </w:p>
        </w:tc>
        <w:tc>
          <w:tcPr>
            <w:tcW w:w="26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(41,783)</w:t>
            </w:r>
          </w:p>
        </w:tc>
        <w:tc>
          <w:tcPr>
            <w:tcW w:w="18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680" w:type="dxa"/>
            <w:vAlign w:val="bottom"/>
            <w:tcBorders>
              <w:bottom w:val="single" w:sz="8" w:color="A6A6A6"/>
            </w:tcBorders>
          </w:tcPr>
          <w:p>
            <w:pPr>
              <w:jc w:val="right"/>
              <w:ind w:right="19"/>
              <w:spacing w:after="0" w:line="183" w:lineRule="exact"/>
              <w:rPr>
                <w:sz w:val="20"/>
                <w:szCs w:val="20"/>
                <w:color w:val="auto"/>
              </w:rPr>
            </w:pPr>
            <w:r>
              <w:rPr>
                <w:rFonts w:ascii="Calibri" w:cs="Calibri" w:eastAsia="Calibri" w:hAnsi="Calibri"/>
                <w:sz w:val="16"/>
                <w:szCs w:val="16"/>
                <w:color w:val="auto"/>
              </w:rPr>
              <w:t>175,824</w:t>
            </w:r>
          </w:p>
        </w:tc>
        <w:tc>
          <w:tcPr>
            <w:tcW w:w="28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color w:val="auto"/>
              </w:rPr>
              <w:t>$</w:t>
            </w:r>
          </w:p>
        </w:tc>
        <w:tc>
          <w:tcPr>
            <w:tcW w:w="56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3.01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8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80" w:type="dxa"/>
            <w:vAlign w:val="bottom"/>
            <w:tcBorders>
              <w:bottom w:val="single" w:sz="8" w:color="AF0000"/>
            </w:tcBorders>
          </w:tcPr>
          <w:p>
            <w:pPr>
              <w:spacing w:after="0" w:line="183" w:lineRule="exact"/>
              <w:rPr>
                <w:sz w:val="20"/>
                <w:szCs w:val="20"/>
                <w:color w:val="auto"/>
              </w:rPr>
            </w:pPr>
            <w:r>
              <w:rPr>
                <w:rFonts w:ascii="Calibri" w:cs="Calibri" w:eastAsia="Calibri" w:hAnsi="Calibri"/>
                <w:sz w:val="16"/>
                <w:szCs w:val="16"/>
                <w:color w:val="auto"/>
              </w:rPr>
              <w:t>Diluted shares</w:t>
            </w:r>
          </w:p>
        </w:tc>
        <w:tc>
          <w:tcPr>
            <w:tcW w:w="900" w:type="dxa"/>
            <w:vAlign w:val="bottom"/>
            <w:tcBorders>
              <w:bottom w:val="single" w:sz="8" w:color="AF0000"/>
            </w:tcBorders>
          </w:tcPr>
          <w:p>
            <w:pPr>
              <w:spacing w:after="0"/>
              <w:rPr>
                <w:sz w:val="16"/>
                <w:szCs w:val="16"/>
                <w:color w:val="auto"/>
              </w:rPr>
            </w:pPr>
          </w:p>
        </w:tc>
        <w:tc>
          <w:tcPr>
            <w:tcW w:w="680" w:type="dxa"/>
            <w:vAlign w:val="bottom"/>
            <w:tcBorders>
              <w:bottom w:val="single" w:sz="8" w:color="AF0000"/>
            </w:tcBorders>
          </w:tcPr>
          <w:p>
            <w:pPr>
              <w:spacing w:after="0"/>
              <w:rPr>
                <w:sz w:val="16"/>
                <w:szCs w:val="16"/>
                <w:color w:val="auto"/>
              </w:rPr>
            </w:pPr>
          </w:p>
        </w:tc>
        <w:tc>
          <w:tcPr>
            <w:tcW w:w="260" w:type="dxa"/>
            <w:vAlign w:val="bottom"/>
            <w:tcBorders>
              <w:bottom w:val="single" w:sz="8" w:color="AF0000"/>
            </w:tcBorders>
          </w:tcPr>
          <w:p>
            <w:pPr>
              <w:spacing w:after="0"/>
              <w:rPr>
                <w:sz w:val="16"/>
                <w:szCs w:val="16"/>
                <w:color w:val="auto"/>
              </w:rPr>
            </w:pPr>
          </w:p>
        </w:tc>
        <w:tc>
          <w:tcPr>
            <w:tcW w:w="660" w:type="dxa"/>
            <w:vAlign w:val="bottom"/>
            <w:tcBorders>
              <w:bottom w:val="single" w:sz="8" w:color="AF0000"/>
            </w:tcBorders>
          </w:tcPr>
          <w:p>
            <w:pPr>
              <w:spacing w:after="0"/>
              <w:rPr>
                <w:sz w:val="16"/>
                <w:szCs w:val="16"/>
                <w:color w:val="auto"/>
              </w:rPr>
            </w:pPr>
          </w:p>
        </w:tc>
        <w:tc>
          <w:tcPr>
            <w:tcW w:w="180" w:type="dxa"/>
            <w:vAlign w:val="bottom"/>
            <w:tcBorders>
              <w:bottom w:val="single" w:sz="8" w:color="AF0000"/>
            </w:tcBorders>
          </w:tcPr>
          <w:p>
            <w:pPr>
              <w:spacing w:after="0"/>
              <w:rPr>
                <w:sz w:val="16"/>
                <w:szCs w:val="16"/>
                <w:color w:val="auto"/>
              </w:rPr>
            </w:pPr>
          </w:p>
        </w:tc>
        <w:tc>
          <w:tcPr>
            <w:tcW w:w="680" w:type="dxa"/>
            <w:vAlign w:val="bottom"/>
            <w:tcBorders>
              <w:bottom w:val="single" w:sz="8" w:color="AF0000"/>
            </w:tcBorders>
          </w:tcPr>
          <w:p>
            <w:pPr>
              <w:spacing w:after="0"/>
              <w:rPr>
                <w:sz w:val="16"/>
                <w:szCs w:val="16"/>
                <w:color w:val="auto"/>
              </w:rPr>
            </w:pPr>
          </w:p>
        </w:tc>
        <w:tc>
          <w:tcPr>
            <w:tcW w:w="280" w:type="dxa"/>
            <w:vAlign w:val="bottom"/>
            <w:tcBorders>
              <w:bottom w:val="single" w:sz="8" w:color="AF0000"/>
            </w:tcBorders>
          </w:tcPr>
          <w:p>
            <w:pPr>
              <w:spacing w:after="0"/>
              <w:rPr>
                <w:sz w:val="16"/>
                <w:szCs w:val="16"/>
                <w:color w:val="auto"/>
              </w:rPr>
            </w:pPr>
          </w:p>
        </w:tc>
        <w:tc>
          <w:tcPr>
            <w:tcW w:w="560" w:type="dxa"/>
            <w:vAlign w:val="bottom"/>
            <w:tcBorders>
              <w:bottom w:val="single" w:sz="8" w:color="AF0000"/>
            </w:tcBorders>
          </w:tcPr>
          <w:p>
            <w:pPr>
              <w:jc w:val="right"/>
              <w:spacing w:after="0" w:line="183" w:lineRule="exact"/>
              <w:rPr>
                <w:sz w:val="20"/>
                <w:szCs w:val="20"/>
                <w:color w:val="auto"/>
              </w:rPr>
            </w:pPr>
            <w:r>
              <w:rPr>
                <w:rFonts w:ascii="Calibri" w:cs="Calibri" w:eastAsia="Calibri" w:hAnsi="Calibri"/>
                <w:sz w:val="16"/>
                <w:szCs w:val="16"/>
                <w:color w:val="auto"/>
              </w:rPr>
              <w:t>58,356</w:t>
            </w:r>
          </w:p>
        </w:tc>
        <w:tc>
          <w:tcPr>
            <w:tcW w:w="20" w:type="dxa"/>
            <w:vAlign w:val="bottom"/>
            <w:tcBorders>
              <w:bottom w:val="single" w:sz="8" w:color="AF0000"/>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92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96" w:name="page97"/>
    <w:bookmarkEnd w:id="96"/>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6720"/>
        <w:spacing w:after="0"/>
        <w:rPr>
          <w:sz w:val="20"/>
          <w:szCs w:val="20"/>
          <w:color w:val="auto"/>
        </w:rPr>
      </w:pPr>
      <w:r>
        <w:rPr>
          <w:rFonts w:ascii="Calibri" w:cs="Calibri" w:eastAsia="Calibri" w:hAnsi="Calibri"/>
          <w:sz w:val="17"/>
          <w:szCs w:val="17"/>
          <w:color w:val="auto"/>
        </w:rPr>
        <w:t>OTHER PROXY INFORMATION</w:t>
      </w:r>
    </w:p>
    <w:p>
      <w:pPr>
        <w:spacing w:after="0" w:line="17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RECONCILIATION OF GAAP NET INCOME AND EARNINGS PER SHARE</w:t>
      </w:r>
    </w:p>
    <w:p>
      <w:pPr>
        <w:spacing w:after="0" w:line="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TO NON-GAAP NET INCOME AND EARNINGS PER SHARE</w:t>
      </w:r>
    </w:p>
    <w:p>
      <w:pPr>
        <w:spacing w:after="0" w:line="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(UNAUDITED,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151765</wp:posOffset>
            </wp:positionV>
            <wp:extent cx="545211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60" w:type="dxa"/>
            <w:vAlign w:val="bottom"/>
            <w:gridSpan w:val="5"/>
          </w:tcPr>
          <w:p>
            <w:pPr>
              <w:jc w:val="right"/>
              <w:ind w:right="79"/>
              <w:spacing w:after="0"/>
              <w:rPr>
                <w:sz w:val="20"/>
                <w:szCs w:val="20"/>
                <w:color w:val="auto"/>
              </w:rPr>
            </w:pPr>
            <w:r>
              <w:rPr>
                <w:rFonts w:ascii="Calibri" w:cs="Calibri" w:eastAsia="Calibri" w:hAnsi="Calibri"/>
                <w:sz w:val="16"/>
                <w:szCs w:val="16"/>
                <w:b w:val="1"/>
                <w:bCs w:val="1"/>
                <w:color w:val="auto"/>
              </w:rPr>
              <w:t>Year Ended December 31, 2022</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w w:val="95"/>
              </w:rPr>
              <w:t>Pre-Tax</w:t>
            </w:r>
          </w:p>
        </w:tc>
        <w:tc>
          <w:tcPr>
            <w:tcW w:w="1080" w:type="dxa"/>
            <w:vAlign w:val="bottom"/>
            <w:gridSpan w:val="2"/>
            <w:vMerge w:val="restart"/>
          </w:tcPr>
          <w:p>
            <w:pPr>
              <w:jc w:val="right"/>
              <w:ind w:right="119"/>
              <w:spacing w:after="0"/>
              <w:rPr>
                <w:sz w:val="20"/>
                <w:szCs w:val="20"/>
                <w:color w:val="auto"/>
              </w:rPr>
            </w:pPr>
            <w:r>
              <w:rPr>
                <w:rFonts w:ascii="Calibri" w:cs="Calibri" w:eastAsia="Calibri" w:hAnsi="Calibri"/>
                <w:sz w:val="16"/>
                <w:szCs w:val="16"/>
                <w:b w:val="1"/>
                <w:bCs w:val="1"/>
                <w:color w:val="auto"/>
              </w:rPr>
              <w:t>Tax Impact</w:t>
            </w:r>
          </w:p>
        </w:tc>
        <w:tc>
          <w:tcPr>
            <w:tcW w:w="880" w:type="dxa"/>
            <w:vAlign w:val="bottom"/>
            <w:gridSpan w:val="2"/>
            <w:vMerge w:val="restart"/>
          </w:tcPr>
          <w:p>
            <w:pPr>
              <w:jc w:val="right"/>
              <w:ind w:right="119"/>
              <w:spacing w:after="0"/>
              <w:rPr>
                <w:sz w:val="20"/>
                <w:szCs w:val="20"/>
                <w:color w:val="auto"/>
              </w:rPr>
            </w:pPr>
            <w:r>
              <w:rPr>
                <w:rFonts w:ascii="Calibri" w:cs="Calibri" w:eastAsia="Calibri" w:hAnsi="Calibri"/>
                <w:sz w:val="16"/>
                <w:szCs w:val="16"/>
                <w:b w:val="1"/>
                <w:bCs w:val="1"/>
                <w:color w:val="auto"/>
              </w:rPr>
              <w:t>Afer-Tax</w:t>
            </w:r>
          </w:p>
        </w:tc>
        <w:tc>
          <w:tcPr>
            <w:tcW w:w="820" w:type="dxa"/>
            <w:vAlign w:val="bottom"/>
            <w:gridSpan w:val="3"/>
          </w:tcPr>
          <w:p>
            <w:pPr>
              <w:jc w:val="center"/>
              <w:ind w:right="100"/>
              <w:spacing w:after="0"/>
              <w:rPr>
                <w:sz w:val="20"/>
                <w:szCs w:val="20"/>
                <w:color w:val="auto"/>
              </w:rPr>
            </w:pPr>
            <w:r>
              <w:rPr>
                <w:rFonts w:ascii="Calibri" w:cs="Calibri" w:eastAsia="Calibri" w:hAnsi="Calibri"/>
                <w:sz w:val="16"/>
                <w:szCs w:val="16"/>
                <w:b w:val="1"/>
                <w:bCs w:val="1"/>
                <w:color w:val="auto"/>
              </w:rPr>
              <w:t>Per Share</w:t>
            </w:r>
          </w:p>
        </w:tc>
        <w:tc>
          <w:tcPr>
            <w:tcW w:w="0" w:type="dxa"/>
            <w:vAlign w:val="bottom"/>
          </w:tcPr>
          <w:p>
            <w:pPr>
              <w:spacing w:after="0"/>
              <w:rPr>
                <w:sz w:val="1"/>
                <w:szCs w:val="1"/>
                <w:color w:val="auto"/>
              </w:rPr>
            </w:pPr>
          </w:p>
        </w:tc>
      </w:tr>
      <w:tr>
        <w:trPr>
          <w:trHeight w:val="99"/>
        </w:trPr>
        <w:tc>
          <w:tcPr>
            <w:tcW w:w="4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20" w:type="dxa"/>
            <w:vAlign w:val="bottom"/>
            <w:gridSpan w:val="3"/>
            <w:vMerge w:val="restart"/>
          </w:tcPr>
          <w:p>
            <w:pPr>
              <w:jc w:val="center"/>
              <w:ind w:right="80"/>
              <w:spacing w:after="0" w:line="193" w:lineRule="exact"/>
              <w:rPr>
                <w:sz w:val="20"/>
                <w:szCs w:val="20"/>
                <w:color w:val="auto"/>
              </w:rPr>
            </w:pPr>
            <w:r>
              <w:rPr>
                <w:rFonts w:ascii="Calibri" w:cs="Calibri" w:eastAsia="Calibri" w:hAnsi="Calibri"/>
                <w:sz w:val="16"/>
                <w:szCs w:val="16"/>
                <w:b w:val="1"/>
                <w:bCs w:val="1"/>
                <w:color w:val="auto"/>
                <w:w w:val="99"/>
              </w:rPr>
              <w:t>Impact</w:t>
            </w:r>
          </w:p>
        </w:tc>
        <w:tc>
          <w:tcPr>
            <w:tcW w:w="0" w:type="dxa"/>
            <w:vAlign w:val="bottom"/>
          </w:tcPr>
          <w:p>
            <w:pPr>
              <w:spacing w:after="0"/>
              <w:rPr>
                <w:sz w:val="1"/>
                <w:szCs w:val="1"/>
                <w:color w:val="auto"/>
              </w:rPr>
            </w:pPr>
          </w:p>
        </w:tc>
      </w:tr>
      <w:tr>
        <w:trPr>
          <w:trHeight w:val="95"/>
        </w:trPr>
        <w:tc>
          <w:tcPr>
            <w:tcW w:w="4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4380" w:type="dxa"/>
            <w:vAlign w:val="bottom"/>
            <w:tcBorders>
              <w:bottom w:val="single" w:sz="8" w:color="AF0000"/>
            </w:tcBorders>
          </w:tcPr>
          <w:p>
            <w:pPr>
              <w:spacing w:after="0"/>
              <w:rPr>
                <w:sz w:val="3"/>
                <w:szCs w:val="3"/>
                <w:color w:val="auto"/>
              </w:rPr>
            </w:pPr>
          </w:p>
        </w:tc>
        <w:tc>
          <w:tcPr>
            <w:tcW w:w="880" w:type="dxa"/>
            <w:vAlign w:val="bottom"/>
            <w:tcBorders>
              <w:bottom w:val="single" w:sz="8" w:color="AF0000"/>
            </w:tcBorders>
          </w:tcPr>
          <w:p>
            <w:pPr>
              <w:spacing w:after="0"/>
              <w:rPr>
                <w:sz w:val="3"/>
                <w:szCs w:val="3"/>
                <w:color w:val="auto"/>
              </w:rPr>
            </w:pPr>
          </w:p>
        </w:tc>
        <w:tc>
          <w:tcPr>
            <w:tcW w:w="560" w:type="dxa"/>
            <w:vAlign w:val="bottom"/>
            <w:tcBorders>
              <w:bottom w:val="single" w:sz="8" w:color="AF0000"/>
            </w:tcBorders>
          </w:tcPr>
          <w:p>
            <w:pPr>
              <w:spacing w:after="0"/>
              <w:rPr>
                <w:sz w:val="3"/>
                <w:szCs w:val="3"/>
                <w:color w:val="auto"/>
              </w:rPr>
            </w:pPr>
          </w:p>
        </w:tc>
        <w:tc>
          <w:tcPr>
            <w:tcW w:w="380" w:type="dxa"/>
            <w:vAlign w:val="bottom"/>
            <w:tcBorders>
              <w:bottom w:val="single" w:sz="8" w:color="AF0000"/>
            </w:tcBorders>
          </w:tcPr>
          <w:p>
            <w:pPr>
              <w:spacing w:after="0"/>
              <w:rPr>
                <w:sz w:val="3"/>
                <w:szCs w:val="3"/>
                <w:color w:val="auto"/>
              </w:rPr>
            </w:pPr>
          </w:p>
        </w:tc>
        <w:tc>
          <w:tcPr>
            <w:tcW w:w="700" w:type="dxa"/>
            <w:vAlign w:val="bottom"/>
            <w:tcBorders>
              <w:bottom w:val="single" w:sz="8" w:color="AF0000"/>
            </w:tcBorders>
          </w:tcPr>
          <w:p>
            <w:pPr>
              <w:spacing w:after="0"/>
              <w:rPr>
                <w:sz w:val="3"/>
                <w:szCs w:val="3"/>
                <w:color w:val="auto"/>
              </w:rPr>
            </w:pPr>
          </w:p>
        </w:tc>
        <w:tc>
          <w:tcPr>
            <w:tcW w:w="220" w:type="dxa"/>
            <w:vAlign w:val="bottom"/>
            <w:tcBorders>
              <w:bottom w:val="single" w:sz="8" w:color="AF0000"/>
            </w:tcBorders>
          </w:tcPr>
          <w:p>
            <w:pPr>
              <w:spacing w:after="0"/>
              <w:rPr>
                <w:sz w:val="3"/>
                <w:szCs w:val="3"/>
                <w:color w:val="auto"/>
              </w:rPr>
            </w:pPr>
          </w:p>
        </w:tc>
        <w:tc>
          <w:tcPr>
            <w:tcW w:w="660" w:type="dxa"/>
            <w:vAlign w:val="bottom"/>
            <w:tcBorders>
              <w:bottom w:val="single" w:sz="8" w:color="AF0000"/>
            </w:tcBorders>
          </w:tcPr>
          <w:p>
            <w:pPr>
              <w:spacing w:after="0"/>
              <w:rPr>
                <w:sz w:val="3"/>
                <w:szCs w:val="3"/>
                <w:color w:val="auto"/>
              </w:rPr>
            </w:pPr>
          </w:p>
        </w:tc>
        <w:tc>
          <w:tcPr>
            <w:tcW w:w="300" w:type="dxa"/>
            <w:vAlign w:val="bottom"/>
            <w:tcBorders>
              <w:bottom w:val="single" w:sz="8" w:color="AF0000"/>
            </w:tcBorders>
          </w:tcPr>
          <w:p>
            <w:pPr>
              <w:spacing w:after="0"/>
              <w:rPr>
                <w:sz w:val="3"/>
                <w:szCs w:val="3"/>
                <w:color w:val="auto"/>
              </w:rPr>
            </w:pPr>
          </w:p>
        </w:tc>
        <w:tc>
          <w:tcPr>
            <w:tcW w:w="500" w:type="dxa"/>
            <w:vAlign w:val="bottom"/>
            <w:tcBorders>
              <w:bottom w:val="single" w:sz="8" w:color="AF000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380" w:type="dxa"/>
            <w:vAlign w:val="bottom"/>
            <w:tcBorders>
              <w:bottom w:val="single" w:sz="8" w:color="A6A6A6"/>
            </w:tcBorders>
          </w:tcPr>
          <w:p>
            <w:pPr>
              <w:spacing w:after="0" w:line="189" w:lineRule="exact"/>
              <w:rPr>
                <w:sz w:val="20"/>
                <w:szCs w:val="20"/>
                <w:color w:val="auto"/>
              </w:rPr>
            </w:pPr>
            <w:r>
              <w:rPr>
                <w:rFonts w:ascii="Calibri" w:cs="Calibri" w:eastAsia="Calibri" w:hAnsi="Calibri"/>
                <w:sz w:val="16"/>
                <w:szCs w:val="16"/>
                <w:color w:val="auto"/>
              </w:rPr>
              <w:t>GAAP net income</w:t>
            </w:r>
          </w:p>
        </w:tc>
        <w:tc>
          <w:tcPr>
            <w:tcW w:w="88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56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82,629</w:t>
            </w:r>
          </w:p>
        </w:tc>
        <w:tc>
          <w:tcPr>
            <w:tcW w:w="38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70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(8,113)</w:t>
            </w:r>
          </w:p>
        </w:tc>
        <w:tc>
          <w:tcPr>
            <w:tcW w:w="22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660" w:type="dxa"/>
            <w:vAlign w:val="bottom"/>
            <w:tcBorders>
              <w:bottom w:val="single" w:sz="8" w:color="A6A6A6"/>
            </w:tcBorders>
          </w:tcPr>
          <w:p>
            <w:pPr>
              <w:jc w:val="right"/>
              <w:ind w:right="39"/>
              <w:spacing w:after="0" w:line="189" w:lineRule="exact"/>
              <w:rPr>
                <w:sz w:val="20"/>
                <w:szCs w:val="20"/>
                <w:color w:val="auto"/>
              </w:rPr>
            </w:pPr>
            <w:r>
              <w:rPr>
                <w:rFonts w:ascii="Calibri" w:cs="Calibri" w:eastAsia="Calibri" w:hAnsi="Calibri"/>
                <w:sz w:val="16"/>
                <w:szCs w:val="16"/>
                <w:color w:val="auto"/>
              </w:rPr>
              <w:t>74,516</w:t>
            </w:r>
          </w:p>
        </w:tc>
        <w:tc>
          <w:tcPr>
            <w:tcW w:w="30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50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1.29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80" w:type="dxa"/>
            <w:vAlign w:val="bottom"/>
            <w:tcBorders>
              <w:bottom w:val="single" w:sz="8" w:color="A6A6A6"/>
            </w:tcBorders>
          </w:tcPr>
          <w:p>
            <w:pPr>
              <w:spacing w:after="0" w:line="183" w:lineRule="exact"/>
              <w:rPr>
                <w:sz w:val="20"/>
                <w:szCs w:val="20"/>
                <w:color w:val="auto"/>
              </w:rPr>
            </w:pPr>
            <w:r>
              <w:rPr>
                <w:rFonts w:ascii="Calibri" w:cs="Calibri" w:eastAsia="Calibri" w:hAnsi="Calibri"/>
                <w:sz w:val="16"/>
                <w:szCs w:val="16"/>
                <w:i w:val="1"/>
                <w:iCs w:val="1"/>
                <w:color w:val="auto"/>
              </w:rPr>
              <w:t>Non-GAAP adjustments:</w:t>
            </w:r>
          </w:p>
        </w:tc>
        <w:tc>
          <w:tcPr>
            <w:tcW w:w="8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80" w:type="dxa"/>
            <w:vAlign w:val="bottom"/>
            <w:tcBorders>
              <w:bottom w:val="single" w:sz="8" w:color="A6A6A6"/>
            </w:tcBorders>
          </w:tcPr>
          <w:p>
            <w:pPr>
              <w:ind w:left="100"/>
              <w:spacing w:after="0" w:line="183" w:lineRule="exact"/>
              <w:rPr>
                <w:sz w:val="20"/>
                <w:szCs w:val="20"/>
                <w:color w:val="auto"/>
              </w:rPr>
            </w:pPr>
            <w:r>
              <w:rPr>
                <w:rFonts w:ascii="Calibri" w:cs="Calibri" w:eastAsia="Calibri" w:hAnsi="Calibri"/>
                <w:sz w:val="16"/>
                <w:szCs w:val="16"/>
                <w:color w:val="auto"/>
              </w:rPr>
              <w:t>Cost of Sales</w:t>
            </w:r>
          </w:p>
        </w:tc>
        <w:tc>
          <w:tcPr>
            <w:tcW w:w="8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intangibles</w:t>
            </w:r>
          </w:p>
        </w:tc>
        <w:tc>
          <w:tcPr>
            <w:tcW w:w="8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42,154</w:t>
            </w:r>
          </w:p>
        </w:tc>
        <w:tc>
          <w:tcPr>
            <w:tcW w:w="380" w:type="dxa"/>
            <w:vAlign w:val="bottom"/>
          </w:tcPr>
          <w:p>
            <w:pPr>
              <w:spacing w:after="0"/>
              <w:rPr>
                <w:sz w:val="16"/>
                <w:szCs w:val="16"/>
                <w:color w:val="auto"/>
              </w:rPr>
            </w:pPr>
          </w:p>
        </w:tc>
        <w:tc>
          <w:tcPr>
            <w:tcW w:w="700" w:type="dxa"/>
            <w:vAlign w:val="bottom"/>
          </w:tcPr>
          <w:p>
            <w:pPr>
              <w:jc w:val="right"/>
              <w:spacing w:after="0" w:line="187" w:lineRule="exact"/>
              <w:rPr>
                <w:sz w:val="20"/>
                <w:szCs w:val="20"/>
                <w:color w:val="auto"/>
              </w:rPr>
            </w:pPr>
            <w:r>
              <w:rPr>
                <w:rFonts w:ascii="Calibri" w:cs="Calibri" w:eastAsia="Calibri" w:hAnsi="Calibri"/>
                <w:sz w:val="16"/>
                <w:szCs w:val="16"/>
                <w:color w:val="auto"/>
              </w:rPr>
              <w:t>(10,335)</w:t>
            </w:r>
          </w:p>
        </w:tc>
        <w:tc>
          <w:tcPr>
            <w:tcW w:w="220" w:type="dxa"/>
            <w:vAlign w:val="bottom"/>
          </w:tcPr>
          <w:p>
            <w:pPr>
              <w:spacing w:after="0"/>
              <w:rPr>
                <w:sz w:val="16"/>
                <w:szCs w:val="16"/>
                <w:color w:val="auto"/>
              </w:rPr>
            </w:pPr>
          </w:p>
        </w:tc>
        <w:tc>
          <w:tcPr>
            <w:tcW w:w="66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31,819</w:t>
            </w:r>
          </w:p>
        </w:tc>
        <w:tc>
          <w:tcPr>
            <w:tcW w:w="30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100"/>
              <w:spacing w:after="0" w:line="187" w:lineRule="exact"/>
              <w:rPr>
                <w:sz w:val="20"/>
                <w:szCs w:val="20"/>
                <w:color w:val="auto"/>
              </w:rPr>
            </w:pPr>
            <w:r>
              <w:rPr>
                <w:rFonts w:ascii="Calibri" w:cs="Calibri" w:eastAsia="Calibri" w:hAnsi="Calibri"/>
                <w:sz w:val="16"/>
                <w:szCs w:val="16"/>
                <w:color w:val="auto"/>
              </w:rPr>
              <w:t>Operatng expenses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Contngent consideraton expense</w:t>
            </w:r>
          </w:p>
        </w:tc>
        <w:tc>
          <w:tcPr>
            <w:tcW w:w="8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4,611</w:t>
            </w:r>
          </w:p>
        </w:tc>
        <w:tc>
          <w:tcPr>
            <w:tcW w:w="380" w:type="dxa"/>
            <w:vAlign w:val="bottom"/>
          </w:tcPr>
          <w:p>
            <w:pPr>
              <w:spacing w:after="0"/>
              <w:rPr>
                <w:sz w:val="16"/>
                <w:szCs w:val="16"/>
                <w:color w:val="auto"/>
              </w:rPr>
            </w:pPr>
          </w:p>
        </w:tc>
        <w:tc>
          <w:tcPr>
            <w:tcW w:w="700" w:type="dxa"/>
            <w:vAlign w:val="bottom"/>
          </w:tcPr>
          <w:p>
            <w:pPr>
              <w:jc w:val="right"/>
              <w:spacing w:after="0" w:line="187" w:lineRule="exact"/>
              <w:rPr>
                <w:sz w:val="20"/>
                <w:szCs w:val="20"/>
                <w:color w:val="auto"/>
              </w:rPr>
            </w:pPr>
            <w:r>
              <w:rPr>
                <w:rFonts w:ascii="Calibri" w:cs="Calibri" w:eastAsia="Calibri" w:hAnsi="Calibri"/>
                <w:sz w:val="16"/>
                <w:szCs w:val="16"/>
                <w:color w:val="auto"/>
              </w:rPr>
              <w:t>14</w:t>
            </w:r>
          </w:p>
        </w:tc>
        <w:tc>
          <w:tcPr>
            <w:tcW w:w="220" w:type="dxa"/>
            <w:vAlign w:val="bottom"/>
          </w:tcPr>
          <w:p>
            <w:pPr>
              <w:spacing w:after="0"/>
              <w:rPr>
                <w:sz w:val="16"/>
                <w:szCs w:val="16"/>
                <w:color w:val="auto"/>
              </w:rPr>
            </w:pPr>
          </w:p>
        </w:tc>
        <w:tc>
          <w:tcPr>
            <w:tcW w:w="66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4,625</w:t>
            </w:r>
          </w:p>
        </w:tc>
        <w:tc>
          <w:tcPr>
            <w:tcW w:w="30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Impairment charges</w:t>
            </w:r>
          </w:p>
        </w:tc>
        <w:tc>
          <w:tcPr>
            <w:tcW w:w="8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2,219</w:t>
            </w:r>
          </w:p>
        </w:tc>
        <w:tc>
          <w:tcPr>
            <w:tcW w:w="380" w:type="dxa"/>
            <w:vAlign w:val="bottom"/>
          </w:tcPr>
          <w:p>
            <w:pPr>
              <w:spacing w:after="0"/>
              <w:rPr>
                <w:sz w:val="16"/>
                <w:szCs w:val="16"/>
                <w:color w:val="auto"/>
              </w:rPr>
            </w:pPr>
          </w:p>
        </w:tc>
        <w:tc>
          <w:tcPr>
            <w:tcW w:w="700" w:type="dxa"/>
            <w:vAlign w:val="bottom"/>
          </w:tcPr>
          <w:p>
            <w:pPr>
              <w:jc w:val="right"/>
              <w:spacing w:after="0" w:line="187" w:lineRule="exact"/>
              <w:rPr>
                <w:sz w:val="20"/>
                <w:szCs w:val="20"/>
                <w:color w:val="auto"/>
              </w:rPr>
            </w:pPr>
            <w:r>
              <w:rPr>
                <w:rFonts w:ascii="Calibri" w:cs="Calibri" w:eastAsia="Calibri" w:hAnsi="Calibri"/>
                <w:sz w:val="16"/>
                <w:szCs w:val="16"/>
                <w:color w:val="auto"/>
              </w:rPr>
              <w:t>(318)</w:t>
            </w:r>
          </w:p>
        </w:tc>
        <w:tc>
          <w:tcPr>
            <w:tcW w:w="220" w:type="dxa"/>
            <w:vAlign w:val="bottom"/>
          </w:tcPr>
          <w:p>
            <w:pPr>
              <w:spacing w:after="0"/>
              <w:rPr>
                <w:sz w:val="16"/>
                <w:szCs w:val="16"/>
                <w:color w:val="auto"/>
              </w:rPr>
            </w:pPr>
          </w:p>
        </w:tc>
        <w:tc>
          <w:tcPr>
            <w:tcW w:w="66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1,901</w:t>
            </w:r>
          </w:p>
        </w:tc>
        <w:tc>
          <w:tcPr>
            <w:tcW w:w="30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intangibles</w:t>
            </w:r>
          </w:p>
        </w:tc>
        <w:tc>
          <w:tcPr>
            <w:tcW w:w="8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6,300</w:t>
            </w:r>
          </w:p>
        </w:tc>
        <w:tc>
          <w:tcPr>
            <w:tcW w:w="380" w:type="dxa"/>
            <w:vAlign w:val="bottom"/>
          </w:tcPr>
          <w:p>
            <w:pPr>
              <w:spacing w:after="0"/>
              <w:rPr>
                <w:sz w:val="16"/>
                <w:szCs w:val="16"/>
                <w:color w:val="auto"/>
              </w:rPr>
            </w:pPr>
          </w:p>
        </w:tc>
        <w:tc>
          <w:tcPr>
            <w:tcW w:w="700" w:type="dxa"/>
            <w:vAlign w:val="bottom"/>
          </w:tcPr>
          <w:p>
            <w:pPr>
              <w:jc w:val="right"/>
              <w:spacing w:after="0" w:line="187" w:lineRule="exact"/>
              <w:rPr>
                <w:sz w:val="20"/>
                <w:szCs w:val="20"/>
                <w:color w:val="auto"/>
              </w:rPr>
            </w:pPr>
            <w:r>
              <w:rPr>
                <w:rFonts w:ascii="Calibri" w:cs="Calibri" w:eastAsia="Calibri" w:hAnsi="Calibri"/>
                <w:sz w:val="16"/>
                <w:szCs w:val="16"/>
                <w:color w:val="auto"/>
              </w:rPr>
              <w:t>(1,558)</w:t>
            </w:r>
          </w:p>
        </w:tc>
        <w:tc>
          <w:tcPr>
            <w:tcW w:w="220" w:type="dxa"/>
            <w:vAlign w:val="bottom"/>
          </w:tcPr>
          <w:p>
            <w:pPr>
              <w:spacing w:after="0"/>
              <w:rPr>
                <w:sz w:val="16"/>
                <w:szCs w:val="16"/>
                <w:color w:val="auto"/>
              </w:rPr>
            </w:pPr>
          </w:p>
        </w:tc>
        <w:tc>
          <w:tcPr>
            <w:tcW w:w="66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4,742</w:t>
            </w:r>
          </w:p>
        </w:tc>
        <w:tc>
          <w:tcPr>
            <w:tcW w:w="30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Performance-based share-based compensaton </w:t>
            </w:r>
            <w:r>
              <w:rPr>
                <w:rFonts w:ascii="Calibri" w:cs="Calibri" w:eastAsia="Calibri" w:hAnsi="Calibri"/>
                <w:sz w:val="22"/>
                <w:szCs w:val="22"/>
                <w:b w:val="1"/>
                <w:bCs w:val="1"/>
                <w:color w:val="AF0000"/>
                <w:vertAlign w:val="superscript"/>
              </w:rPr>
              <w:t>(2)</w:t>
            </w:r>
          </w:p>
        </w:tc>
        <w:tc>
          <w:tcPr>
            <w:tcW w:w="88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5,506</w:t>
            </w:r>
          </w:p>
        </w:tc>
        <w:tc>
          <w:tcPr>
            <w:tcW w:w="3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(546)</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ind w:right="39"/>
              <w:spacing w:after="0" w:line="193" w:lineRule="exact"/>
              <w:rPr>
                <w:sz w:val="20"/>
                <w:szCs w:val="20"/>
                <w:color w:val="auto"/>
              </w:rPr>
            </w:pPr>
            <w:r>
              <w:rPr>
                <w:rFonts w:ascii="Calibri" w:cs="Calibri" w:eastAsia="Calibri" w:hAnsi="Calibri"/>
                <w:sz w:val="16"/>
                <w:szCs w:val="16"/>
                <w:color w:val="auto"/>
              </w:rPr>
              <w:t>4,960</w:t>
            </w: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Corporate transformaton and restructuring </w:t>
            </w:r>
            <w:r>
              <w:rPr>
                <w:rFonts w:ascii="Calibri" w:cs="Calibri" w:eastAsia="Calibri" w:hAnsi="Calibri"/>
                <w:sz w:val="22"/>
                <w:szCs w:val="22"/>
                <w:b w:val="1"/>
                <w:bCs w:val="1"/>
                <w:color w:val="AF0000"/>
                <w:vertAlign w:val="superscript"/>
              </w:rPr>
              <w:t>(3)</w:t>
            </w:r>
          </w:p>
        </w:tc>
        <w:tc>
          <w:tcPr>
            <w:tcW w:w="88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23,757</w:t>
            </w:r>
          </w:p>
        </w:tc>
        <w:tc>
          <w:tcPr>
            <w:tcW w:w="3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(5,516)</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ind w:right="39"/>
              <w:spacing w:after="0" w:line="193" w:lineRule="exact"/>
              <w:rPr>
                <w:sz w:val="20"/>
                <w:szCs w:val="20"/>
                <w:color w:val="auto"/>
              </w:rPr>
            </w:pPr>
            <w:r>
              <w:rPr>
                <w:rFonts w:ascii="Calibri" w:cs="Calibri" w:eastAsia="Calibri" w:hAnsi="Calibri"/>
                <w:sz w:val="16"/>
                <w:szCs w:val="16"/>
                <w:color w:val="auto"/>
              </w:rPr>
              <w:t>18,241</w:t>
            </w: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Acquisiton-related</w:t>
            </w:r>
          </w:p>
        </w:tc>
        <w:tc>
          <w:tcPr>
            <w:tcW w:w="8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2,114</w:t>
            </w:r>
          </w:p>
        </w:tc>
        <w:tc>
          <w:tcPr>
            <w:tcW w:w="380" w:type="dxa"/>
            <w:vAlign w:val="bottom"/>
          </w:tcPr>
          <w:p>
            <w:pPr>
              <w:spacing w:after="0"/>
              <w:rPr>
                <w:sz w:val="16"/>
                <w:szCs w:val="16"/>
                <w:color w:val="auto"/>
              </w:rPr>
            </w:pPr>
          </w:p>
        </w:tc>
        <w:tc>
          <w:tcPr>
            <w:tcW w:w="700" w:type="dxa"/>
            <w:vAlign w:val="bottom"/>
          </w:tcPr>
          <w:p>
            <w:pPr>
              <w:jc w:val="right"/>
              <w:spacing w:after="0" w:line="187" w:lineRule="exact"/>
              <w:rPr>
                <w:sz w:val="20"/>
                <w:szCs w:val="20"/>
                <w:color w:val="auto"/>
              </w:rPr>
            </w:pPr>
            <w:r>
              <w:rPr>
                <w:rFonts w:ascii="Calibri" w:cs="Calibri" w:eastAsia="Calibri" w:hAnsi="Calibri"/>
                <w:sz w:val="16"/>
                <w:szCs w:val="16"/>
                <w:color w:val="auto"/>
              </w:rPr>
              <w:t>(517)</w:t>
            </w:r>
          </w:p>
        </w:tc>
        <w:tc>
          <w:tcPr>
            <w:tcW w:w="220" w:type="dxa"/>
            <w:vAlign w:val="bottom"/>
          </w:tcPr>
          <w:p>
            <w:pPr>
              <w:spacing w:after="0"/>
              <w:rPr>
                <w:sz w:val="16"/>
                <w:szCs w:val="16"/>
                <w:color w:val="auto"/>
              </w:rPr>
            </w:pPr>
          </w:p>
        </w:tc>
        <w:tc>
          <w:tcPr>
            <w:tcW w:w="66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1,597</w:t>
            </w:r>
          </w:p>
        </w:tc>
        <w:tc>
          <w:tcPr>
            <w:tcW w:w="30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Medical Device Regulaton expenses </w:t>
            </w:r>
            <w:r>
              <w:rPr>
                <w:rFonts w:ascii="Calibri" w:cs="Calibri" w:eastAsia="Calibri" w:hAnsi="Calibri"/>
                <w:sz w:val="22"/>
                <w:szCs w:val="22"/>
                <w:b w:val="1"/>
                <w:bCs w:val="1"/>
                <w:color w:val="AF0000"/>
                <w:vertAlign w:val="superscript"/>
              </w:rPr>
              <w:t>(4)</w:t>
            </w:r>
          </w:p>
        </w:tc>
        <w:tc>
          <w:tcPr>
            <w:tcW w:w="88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12,933</w:t>
            </w:r>
          </w:p>
        </w:tc>
        <w:tc>
          <w:tcPr>
            <w:tcW w:w="3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(3,166)</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ind w:right="39"/>
              <w:spacing w:after="0" w:line="193" w:lineRule="exact"/>
              <w:rPr>
                <w:sz w:val="20"/>
                <w:szCs w:val="20"/>
                <w:color w:val="auto"/>
              </w:rPr>
            </w:pPr>
            <w:r>
              <w:rPr>
                <w:rFonts w:ascii="Calibri" w:cs="Calibri" w:eastAsia="Calibri" w:hAnsi="Calibri"/>
                <w:sz w:val="16"/>
                <w:szCs w:val="16"/>
                <w:color w:val="auto"/>
              </w:rPr>
              <w:t>9,767</w:t>
            </w: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Other </w:t>
            </w:r>
            <w:r>
              <w:rPr>
                <w:rFonts w:ascii="Calibri" w:cs="Calibri" w:eastAsia="Calibri" w:hAnsi="Calibri"/>
                <w:sz w:val="22"/>
                <w:szCs w:val="22"/>
                <w:b w:val="1"/>
                <w:bCs w:val="1"/>
                <w:color w:val="AF0000"/>
                <w:vertAlign w:val="superscript"/>
              </w:rPr>
              <w:t>(5)</w:t>
            </w:r>
          </w:p>
        </w:tc>
        <w:tc>
          <w:tcPr>
            <w:tcW w:w="88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7,966</w:t>
            </w:r>
          </w:p>
        </w:tc>
        <w:tc>
          <w:tcPr>
            <w:tcW w:w="3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(1,893)</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ind w:right="39"/>
              <w:spacing w:after="0" w:line="193" w:lineRule="exact"/>
              <w:rPr>
                <w:sz w:val="20"/>
                <w:szCs w:val="20"/>
                <w:color w:val="auto"/>
              </w:rPr>
            </w:pPr>
            <w:r>
              <w:rPr>
                <w:rFonts w:ascii="Calibri" w:cs="Calibri" w:eastAsia="Calibri" w:hAnsi="Calibri"/>
                <w:sz w:val="16"/>
                <w:szCs w:val="16"/>
                <w:color w:val="auto"/>
              </w:rPr>
              <w:t>6,073</w:t>
            </w: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100"/>
              <w:spacing w:after="0" w:line="187" w:lineRule="exact"/>
              <w:rPr>
                <w:sz w:val="20"/>
                <w:szCs w:val="20"/>
                <w:color w:val="auto"/>
              </w:rPr>
            </w:pPr>
            <w:r>
              <w:rPr>
                <w:rFonts w:ascii="Calibri" w:cs="Calibri" w:eastAsia="Calibri" w:hAnsi="Calibri"/>
                <w:sz w:val="16"/>
                <w:szCs w:val="16"/>
                <w:color w:val="auto"/>
              </w:rPr>
              <w:t>Other (Income) Expense</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long-term debt issuance costs</w:t>
            </w:r>
          </w:p>
        </w:tc>
        <w:tc>
          <w:tcPr>
            <w:tcW w:w="8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604</w:t>
            </w:r>
          </w:p>
        </w:tc>
        <w:tc>
          <w:tcPr>
            <w:tcW w:w="380" w:type="dxa"/>
            <w:vAlign w:val="bottom"/>
          </w:tcPr>
          <w:p>
            <w:pPr>
              <w:spacing w:after="0"/>
              <w:rPr>
                <w:sz w:val="16"/>
                <w:szCs w:val="16"/>
                <w:color w:val="auto"/>
              </w:rPr>
            </w:pPr>
          </w:p>
        </w:tc>
        <w:tc>
          <w:tcPr>
            <w:tcW w:w="700" w:type="dxa"/>
            <w:vAlign w:val="bottom"/>
          </w:tcPr>
          <w:p>
            <w:pPr>
              <w:jc w:val="right"/>
              <w:spacing w:after="0" w:line="187" w:lineRule="exact"/>
              <w:rPr>
                <w:sz w:val="20"/>
                <w:szCs w:val="20"/>
                <w:color w:val="auto"/>
              </w:rPr>
            </w:pPr>
            <w:r>
              <w:rPr>
                <w:rFonts w:ascii="Calibri" w:cs="Calibri" w:eastAsia="Calibri" w:hAnsi="Calibri"/>
                <w:sz w:val="16"/>
                <w:szCs w:val="16"/>
                <w:color w:val="auto"/>
              </w:rPr>
              <w:t>(148)</w:t>
            </w:r>
          </w:p>
        </w:tc>
        <w:tc>
          <w:tcPr>
            <w:tcW w:w="220" w:type="dxa"/>
            <w:vAlign w:val="bottom"/>
          </w:tcPr>
          <w:p>
            <w:pPr>
              <w:spacing w:after="0"/>
              <w:rPr>
                <w:sz w:val="16"/>
                <w:szCs w:val="16"/>
                <w:color w:val="auto"/>
              </w:rPr>
            </w:pPr>
          </w:p>
        </w:tc>
        <w:tc>
          <w:tcPr>
            <w:tcW w:w="66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456</w:t>
            </w:r>
          </w:p>
        </w:tc>
        <w:tc>
          <w:tcPr>
            <w:tcW w:w="30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320"/>
              <w:spacing w:after="0" w:line="187" w:lineRule="exact"/>
              <w:rPr>
                <w:sz w:val="20"/>
                <w:szCs w:val="20"/>
                <w:color w:val="auto"/>
              </w:rPr>
            </w:pPr>
            <w:r>
              <w:rPr>
                <w:rFonts w:ascii="Calibri" w:cs="Calibri" w:eastAsia="Calibri" w:hAnsi="Calibri"/>
                <w:sz w:val="16"/>
                <w:szCs w:val="16"/>
                <w:color w:val="auto"/>
              </w:rPr>
              <w:t>Loss on disposal of business unit</w:t>
            </w:r>
          </w:p>
        </w:tc>
        <w:tc>
          <w:tcPr>
            <w:tcW w:w="88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1,407</w:t>
            </w:r>
          </w:p>
        </w:tc>
        <w:tc>
          <w:tcPr>
            <w:tcW w:w="380" w:type="dxa"/>
            <w:vAlign w:val="bottom"/>
          </w:tcPr>
          <w:p>
            <w:pPr>
              <w:spacing w:after="0"/>
              <w:rPr>
                <w:sz w:val="16"/>
                <w:szCs w:val="16"/>
                <w:color w:val="auto"/>
              </w:rPr>
            </w:pPr>
          </w:p>
        </w:tc>
        <w:tc>
          <w:tcPr>
            <w:tcW w:w="700" w:type="dxa"/>
            <w:vAlign w:val="bottom"/>
          </w:tcPr>
          <w:p>
            <w:pPr>
              <w:jc w:val="right"/>
              <w:spacing w:after="0" w:line="187" w:lineRule="exact"/>
              <w:rPr>
                <w:sz w:val="20"/>
                <w:szCs w:val="20"/>
                <w:color w:val="auto"/>
              </w:rPr>
            </w:pPr>
            <w:r>
              <w:rPr>
                <w:rFonts w:ascii="Calibri" w:cs="Calibri" w:eastAsia="Calibri" w:hAnsi="Calibri"/>
                <w:sz w:val="16"/>
                <w:szCs w:val="16"/>
                <w:color w:val="auto"/>
              </w:rPr>
              <w:t>(29)</w:t>
            </w:r>
          </w:p>
        </w:tc>
        <w:tc>
          <w:tcPr>
            <w:tcW w:w="220" w:type="dxa"/>
            <w:vAlign w:val="bottom"/>
          </w:tcPr>
          <w:p>
            <w:pPr>
              <w:spacing w:after="0"/>
              <w:rPr>
                <w:sz w:val="16"/>
                <w:szCs w:val="16"/>
                <w:color w:val="auto"/>
              </w:rPr>
            </w:pPr>
          </w:p>
        </w:tc>
        <w:tc>
          <w:tcPr>
            <w:tcW w:w="66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1,378</w:t>
            </w:r>
          </w:p>
        </w:tc>
        <w:tc>
          <w:tcPr>
            <w:tcW w:w="30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6A6A6"/>
            </w:tcBorders>
          </w:tcPr>
          <w:p>
            <w:pPr>
              <w:ind w:left="100"/>
              <w:spacing w:after="0" w:line="196" w:lineRule="exact"/>
              <w:rPr>
                <w:sz w:val="20"/>
                <w:szCs w:val="20"/>
                <w:color w:val="auto"/>
              </w:rPr>
            </w:pPr>
            <w:r>
              <w:rPr>
                <w:rFonts w:ascii="Calibri" w:cs="Calibri" w:eastAsia="Calibri" w:hAnsi="Calibri"/>
                <w:sz w:val="14"/>
                <w:szCs w:val="14"/>
                <w:color w:val="auto"/>
              </w:rPr>
              <w:t xml:space="preserve">Tax expense related to restructuring </w:t>
            </w:r>
            <w:r>
              <w:rPr>
                <w:rFonts w:ascii="Calibri" w:cs="Calibri" w:eastAsia="Calibri" w:hAnsi="Calibri"/>
                <w:sz w:val="21"/>
                <w:szCs w:val="21"/>
                <w:b w:val="1"/>
                <w:bCs w:val="1"/>
                <w:color w:val="AF0000"/>
                <w:vertAlign w:val="superscript"/>
              </w:rPr>
              <w:t>(6)</w:t>
            </w:r>
          </w:p>
        </w:tc>
        <w:tc>
          <w:tcPr>
            <w:tcW w:w="88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w:t>
            </w:r>
          </w:p>
        </w:tc>
        <w:tc>
          <w:tcPr>
            <w:tcW w:w="38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jc w:val="right"/>
              <w:ind w:right="99"/>
              <w:spacing w:after="0" w:line="193" w:lineRule="exact"/>
              <w:rPr>
                <w:sz w:val="20"/>
                <w:szCs w:val="20"/>
                <w:color w:val="auto"/>
              </w:rPr>
            </w:pPr>
            <w:r>
              <w:rPr>
                <w:rFonts w:ascii="Calibri" w:cs="Calibri" w:eastAsia="Calibri" w:hAnsi="Calibri"/>
                <w:sz w:val="16"/>
                <w:szCs w:val="16"/>
                <w:color w:val="auto"/>
              </w:rPr>
              <w:t>(4,324)</w:t>
            </w:r>
          </w:p>
        </w:tc>
        <w:tc>
          <w:tcPr>
            <w:tcW w:w="220" w:type="dxa"/>
            <w:vAlign w:val="bottom"/>
            <w:tcBorders>
              <w:bottom w:val="single" w:sz="8" w:color="A6A6A6"/>
            </w:tcBorders>
          </w:tcPr>
          <w:p>
            <w:pPr>
              <w:spacing w:after="0"/>
              <w:rPr>
                <w:sz w:val="17"/>
                <w:szCs w:val="17"/>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(4,324)</w:t>
            </w:r>
          </w:p>
        </w:tc>
        <w:tc>
          <w:tcPr>
            <w:tcW w:w="30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(0.07)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80" w:type="dxa"/>
            <w:vAlign w:val="bottom"/>
            <w:tcBorders>
              <w:bottom w:val="single" w:sz="8" w:color="A6A6A6"/>
            </w:tcBorders>
          </w:tcPr>
          <w:p>
            <w:pPr>
              <w:spacing w:after="0" w:line="183" w:lineRule="exact"/>
              <w:rPr>
                <w:sz w:val="20"/>
                <w:szCs w:val="20"/>
                <w:color w:val="auto"/>
              </w:rPr>
            </w:pPr>
            <w:r>
              <w:rPr>
                <w:rFonts w:ascii="Calibri" w:cs="Calibri" w:eastAsia="Calibri" w:hAnsi="Calibri"/>
                <w:sz w:val="16"/>
                <w:szCs w:val="16"/>
                <w:color w:val="auto"/>
              </w:rPr>
              <w:t>Non-GAAP net income</w:t>
            </w:r>
          </w:p>
        </w:tc>
        <w:tc>
          <w:tcPr>
            <w:tcW w:w="88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56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192,200</w:t>
            </w:r>
          </w:p>
        </w:tc>
        <w:tc>
          <w:tcPr>
            <w:tcW w:w="38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70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(36,449)</w:t>
            </w:r>
          </w:p>
        </w:tc>
        <w:tc>
          <w:tcPr>
            <w:tcW w:w="22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66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color w:val="auto"/>
                <w:w w:val="98"/>
              </w:rPr>
              <w:t>155,751</w:t>
            </w:r>
          </w:p>
        </w:tc>
        <w:tc>
          <w:tcPr>
            <w:tcW w:w="30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50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2.70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80" w:type="dxa"/>
            <w:vAlign w:val="bottom"/>
            <w:tcBorders>
              <w:bottom w:val="single" w:sz="8" w:color="AF0000"/>
            </w:tcBorders>
          </w:tcPr>
          <w:p>
            <w:pPr>
              <w:spacing w:after="0" w:line="183" w:lineRule="exact"/>
              <w:rPr>
                <w:sz w:val="20"/>
                <w:szCs w:val="20"/>
                <w:color w:val="auto"/>
              </w:rPr>
            </w:pPr>
            <w:r>
              <w:rPr>
                <w:rFonts w:ascii="Calibri" w:cs="Calibri" w:eastAsia="Calibri" w:hAnsi="Calibri"/>
                <w:sz w:val="16"/>
                <w:szCs w:val="16"/>
                <w:color w:val="auto"/>
              </w:rPr>
              <w:t>Diluted shares</w:t>
            </w:r>
          </w:p>
        </w:tc>
        <w:tc>
          <w:tcPr>
            <w:tcW w:w="880" w:type="dxa"/>
            <w:vAlign w:val="bottom"/>
            <w:tcBorders>
              <w:bottom w:val="single" w:sz="8" w:color="AF0000"/>
            </w:tcBorders>
          </w:tcPr>
          <w:p>
            <w:pPr>
              <w:spacing w:after="0"/>
              <w:rPr>
                <w:sz w:val="16"/>
                <w:szCs w:val="16"/>
                <w:color w:val="auto"/>
              </w:rPr>
            </w:pPr>
          </w:p>
        </w:tc>
        <w:tc>
          <w:tcPr>
            <w:tcW w:w="560" w:type="dxa"/>
            <w:vAlign w:val="bottom"/>
            <w:tcBorders>
              <w:bottom w:val="single" w:sz="8" w:color="AF0000"/>
            </w:tcBorders>
          </w:tcPr>
          <w:p>
            <w:pPr>
              <w:spacing w:after="0"/>
              <w:rPr>
                <w:sz w:val="16"/>
                <w:szCs w:val="16"/>
                <w:color w:val="auto"/>
              </w:rPr>
            </w:pPr>
          </w:p>
        </w:tc>
        <w:tc>
          <w:tcPr>
            <w:tcW w:w="380" w:type="dxa"/>
            <w:vAlign w:val="bottom"/>
            <w:tcBorders>
              <w:bottom w:val="single" w:sz="8" w:color="AF0000"/>
            </w:tcBorders>
          </w:tcPr>
          <w:p>
            <w:pPr>
              <w:spacing w:after="0"/>
              <w:rPr>
                <w:sz w:val="16"/>
                <w:szCs w:val="16"/>
                <w:color w:val="auto"/>
              </w:rPr>
            </w:pPr>
          </w:p>
        </w:tc>
        <w:tc>
          <w:tcPr>
            <w:tcW w:w="700" w:type="dxa"/>
            <w:vAlign w:val="bottom"/>
            <w:tcBorders>
              <w:bottom w:val="single" w:sz="8" w:color="AF0000"/>
            </w:tcBorders>
          </w:tcPr>
          <w:p>
            <w:pPr>
              <w:spacing w:after="0"/>
              <w:rPr>
                <w:sz w:val="16"/>
                <w:szCs w:val="16"/>
                <w:color w:val="auto"/>
              </w:rPr>
            </w:pPr>
          </w:p>
        </w:tc>
        <w:tc>
          <w:tcPr>
            <w:tcW w:w="220" w:type="dxa"/>
            <w:vAlign w:val="bottom"/>
            <w:tcBorders>
              <w:bottom w:val="single" w:sz="8" w:color="AF0000"/>
            </w:tcBorders>
          </w:tcPr>
          <w:p>
            <w:pPr>
              <w:spacing w:after="0"/>
              <w:rPr>
                <w:sz w:val="16"/>
                <w:szCs w:val="16"/>
                <w:color w:val="auto"/>
              </w:rPr>
            </w:pPr>
          </w:p>
        </w:tc>
        <w:tc>
          <w:tcPr>
            <w:tcW w:w="660" w:type="dxa"/>
            <w:vAlign w:val="bottom"/>
            <w:tcBorders>
              <w:bottom w:val="single" w:sz="8" w:color="AF0000"/>
            </w:tcBorders>
          </w:tcPr>
          <w:p>
            <w:pPr>
              <w:spacing w:after="0"/>
              <w:rPr>
                <w:sz w:val="16"/>
                <w:szCs w:val="16"/>
                <w:color w:val="auto"/>
              </w:rPr>
            </w:pPr>
          </w:p>
        </w:tc>
        <w:tc>
          <w:tcPr>
            <w:tcW w:w="300" w:type="dxa"/>
            <w:vAlign w:val="bottom"/>
            <w:tcBorders>
              <w:bottom w:val="single" w:sz="8" w:color="AF0000"/>
            </w:tcBorders>
          </w:tcPr>
          <w:p>
            <w:pPr>
              <w:spacing w:after="0"/>
              <w:rPr>
                <w:sz w:val="16"/>
                <w:szCs w:val="16"/>
                <w:color w:val="auto"/>
              </w:rPr>
            </w:pPr>
          </w:p>
        </w:tc>
        <w:tc>
          <w:tcPr>
            <w:tcW w:w="500" w:type="dxa"/>
            <w:vAlign w:val="bottom"/>
            <w:tcBorders>
              <w:bottom w:val="single" w:sz="8" w:color="AF0000"/>
            </w:tcBorders>
          </w:tcPr>
          <w:p>
            <w:pPr>
              <w:jc w:val="right"/>
              <w:spacing w:after="0" w:line="183" w:lineRule="exact"/>
              <w:rPr>
                <w:sz w:val="20"/>
                <w:szCs w:val="20"/>
                <w:color w:val="auto"/>
              </w:rPr>
            </w:pPr>
            <w:r>
              <w:rPr>
                <w:rFonts w:ascii="Calibri" w:cs="Calibri" w:eastAsia="Calibri" w:hAnsi="Calibri"/>
                <w:sz w:val="16"/>
                <w:szCs w:val="16"/>
                <w:color w:val="auto"/>
              </w:rPr>
              <w:t>57,671</w:t>
            </w:r>
          </w:p>
        </w:tc>
        <w:tc>
          <w:tcPr>
            <w:tcW w:w="20" w:type="dxa"/>
            <w:vAlign w:val="bottom"/>
            <w:tcBorders>
              <w:bottom w:val="single" w:sz="8" w:color="AF0000"/>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97" w:name="page98"/>
    <w:bookmarkEnd w:id="97"/>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OTHER PROXY INFORMATION</w:t>
      </w:r>
    </w:p>
    <w:p>
      <w:pPr>
        <w:spacing w:after="0" w:line="131" w:lineRule="exact"/>
        <w:rPr>
          <w:sz w:val="20"/>
          <w:szCs w:val="20"/>
          <w:color w:val="auto"/>
        </w:rPr>
      </w:pPr>
    </w:p>
    <w:p>
      <w:pPr>
        <w:ind w:left="2040"/>
        <w:spacing w:after="0"/>
        <w:rPr>
          <w:sz w:val="20"/>
          <w:szCs w:val="20"/>
          <w:color w:val="auto"/>
        </w:rPr>
      </w:pPr>
      <w:r>
        <w:rPr>
          <w:rFonts w:ascii="Calibri" w:cs="Calibri" w:eastAsia="Calibri" w:hAnsi="Calibri"/>
          <w:sz w:val="18"/>
          <w:szCs w:val="18"/>
          <w:b w:val="1"/>
          <w:bCs w:val="1"/>
          <w:color w:val="auto"/>
        </w:rPr>
        <w:t>RECONCILIATION OF GAAP NET INCOME AND EARNINGS PER SHARE</w:t>
      </w:r>
    </w:p>
    <w:p>
      <w:pPr>
        <w:spacing w:after="0" w:line="37" w:lineRule="exact"/>
        <w:rPr>
          <w:sz w:val="20"/>
          <w:szCs w:val="20"/>
          <w:color w:val="auto"/>
        </w:rPr>
      </w:pPr>
    </w:p>
    <w:p>
      <w:pPr>
        <w:ind w:left="2480"/>
        <w:spacing w:after="0"/>
        <w:rPr>
          <w:sz w:val="20"/>
          <w:szCs w:val="20"/>
          <w:color w:val="auto"/>
        </w:rPr>
      </w:pPr>
      <w:r>
        <w:rPr>
          <w:rFonts w:ascii="Calibri" w:cs="Calibri" w:eastAsia="Calibri" w:hAnsi="Calibri"/>
          <w:sz w:val="18"/>
          <w:szCs w:val="18"/>
          <w:b w:val="1"/>
          <w:bCs w:val="1"/>
          <w:color w:val="auto"/>
        </w:rPr>
        <w:t>TO NON-GAAP NET INCOME AND EARNINGS PER SHARE</w:t>
      </w:r>
    </w:p>
    <w:p>
      <w:pPr>
        <w:spacing w:after="0" w:line="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(UNAUDITED,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134620</wp:posOffset>
            </wp:positionV>
            <wp:extent cx="545211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60" w:type="dxa"/>
            <w:vAlign w:val="bottom"/>
            <w:gridSpan w:val="6"/>
          </w:tcPr>
          <w:p>
            <w:pPr>
              <w:jc w:val="right"/>
              <w:ind w:right="59"/>
              <w:spacing w:after="0"/>
              <w:rPr>
                <w:sz w:val="20"/>
                <w:szCs w:val="20"/>
                <w:color w:val="auto"/>
              </w:rPr>
            </w:pPr>
            <w:r>
              <w:rPr>
                <w:rFonts w:ascii="Calibri" w:cs="Calibri" w:eastAsia="Calibri" w:hAnsi="Calibri"/>
                <w:sz w:val="16"/>
                <w:szCs w:val="16"/>
                <w:b w:val="1"/>
                <w:bCs w:val="1"/>
                <w:color w:val="auto"/>
              </w:rPr>
              <w:t>Year Ended December 31, 2021</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vMerge w:val="restart"/>
          </w:tcPr>
          <w:p>
            <w:pPr>
              <w:jc w:val="right"/>
              <w:ind w:right="59"/>
              <w:spacing w:after="0"/>
              <w:rPr>
                <w:sz w:val="20"/>
                <w:szCs w:val="20"/>
                <w:color w:val="auto"/>
              </w:rPr>
            </w:pPr>
            <w:r>
              <w:rPr>
                <w:rFonts w:ascii="Calibri" w:cs="Calibri" w:eastAsia="Calibri" w:hAnsi="Calibri"/>
                <w:sz w:val="16"/>
                <w:szCs w:val="16"/>
                <w:b w:val="1"/>
                <w:bCs w:val="1"/>
                <w:color w:val="auto"/>
                <w:w w:val="99"/>
              </w:rPr>
              <w:t>Pre-Tax</w:t>
            </w:r>
          </w:p>
        </w:tc>
        <w:tc>
          <w:tcPr>
            <w:tcW w:w="940" w:type="dxa"/>
            <w:vAlign w:val="bottom"/>
            <w:gridSpan w:val="2"/>
            <w:vMerge w:val="restart"/>
          </w:tcPr>
          <w:p>
            <w:pPr>
              <w:jc w:val="right"/>
              <w:ind w:right="79"/>
              <w:spacing w:after="0"/>
              <w:rPr>
                <w:sz w:val="20"/>
                <w:szCs w:val="20"/>
                <w:color w:val="auto"/>
              </w:rPr>
            </w:pPr>
            <w:r>
              <w:rPr>
                <w:rFonts w:ascii="Calibri" w:cs="Calibri" w:eastAsia="Calibri" w:hAnsi="Calibri"/>
                <w:sz w:val="16"/>
                <w:szCs w:val="16"/>
                <w:b w:val="1"/>
                <w:bCs w:val="1"/>
                <w:color w:val="auto"/>
              </w:rPr>
              <w:t>Tax Impact</w:t>
            </w:r>
          </w:p>
        </w:tc>
        <w:tc>
          <w:tcPr>
            <w:tcW w:w="860" w:type="dxa"/>
            <w:vAlign w:val="bottom"/>
            <w:gridSpan w:val="2"/>
            <w:vMerge w:val="restart"/>
          </w:tcPr>
          <w:p>
            <w:pPr>
              <w:jc w:val="right"/>
              <w:ind w:right="99"/>
              <w:spacing w:after="0"/>
              <w:rPr>
                <w:sz w:val="20"/>
                <w:szCs w:val="20"/>
                <w:color w:val="auto"/>
              </w:rPr>
            </w:pPr>
            <w:r>
              <w:rPr>
                <w:rFonts w:ascii="Calibri" w:cs="Calibri" w:eastAsia="Calibri" w:hAnsi="Calibri"/>
                <w:sz w:val="16"/>
                <w:szCs w:val="16"/>
                <w:b w:val="1"/>
                <w:bCs w:val="1"/>
                <w:color w:val="auto"/>
              </w:rPr>
              <w:t>Afer-Tax</w:t>
            </w:r>
          </w:p>
        </w:tc>
        <w:tc>
          <w:tcPr>
            <w:tcW w:w="820" w:type="dxa"/>
            <w:vAlign w:val="bottom"/>
            <w:gridSpan w:val="3"/>
          </w:tcPr>
          <w:p>
            <w:pPr>
              <w:jc w:val="center"/>
              <w:ind w:right="60"/>
              <w:spacing w:after="0"/>
              <w:rPr>
                <w:sz w:val="20"/>
                <w:szCs w:val="20"/>
                <w:color w:val="auto"/>
              </w:rPr>
            </w:pPr>
            <w:r>
              <w:rPr>
                <w:rFonts w:ascii="Calibri" w:cs="Calibri" w:eastAsia="Calibri" w:hAnsi="Calibri"/>
                <w:sz w:val="16"/>
                <w:szCs w:val="16"/>
                <w:b w:val="1"/>
                <w:bCs w:val="1"/>
                <w:color w:val="auto"/>
              </w:rPr>
              <w:t>Per Share</w:t>
            </w:r>
          </w:p>
        </w:tc>
        <w:tc>
          <w:tcPr>
            <w:tcW w:w="0" w:type="dxa"/>
            <w:vAlign w:val="bottom"/>
          </w:tcPr>
          <w:p>
            <w:pPr>
              <w:spacing w:after="0"/>
              <w:rPr>
                <w:sz w:val="1"/>
                <w:szCs w:val="1"/>
                <w:color w:val="auto"/>
              </w:rPr>
            </w:pPr>
          </w:p>
        </w:tc>
      </w:tr>
      <w:tr>
        <w:trPr>
          <w:trHeight w:val="94"/>
        </w:trPr>
        <w:tc>
          <w:tcPr>
            <w:tcW w:w="4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20" w:type="dxa"/>
            <w:vAlign w:val="bottom"/>
            <w:gridSpan w:val="3"/>
            <w:vMerge w:val="restart"/>
          </w:tcPr>
          <w:p>
            <w:pPr>
              <w:jc w:val="center"/>
              <w:ind w:right="40"/>
              <w:spacing w:after="0"/>
              <w:rPr>
                <w:sz w:val="20"/>
                <w:szCs w:val="20"/>
                <w:color w:val="auto"/>
              </w:rPr>
            </w:pPr>
            <w:r>
              <w:rPr>
                <w:rFonts w:ascii="Calibri" w:cs="Calibri" w:eastAsia="Calibri" w:hAnsi="Calibri"/>
                <w:sz w:val="16"/>
                <w:szCs w:val="16"/>
                <w:b w:val="1"/>
                <w:bCs w:val="1"/>
                <w:color w:val="auto"/>
                <w:w w:val="99"/>
              </w:rPr>
              <w:t>Impact</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00" w:type="dxa"/>
            <w:vAlign w:val="bottom"/>
            <w:tcBorders>
              <w:top w:val="single" w:sz="8" w:color="AF0000"/>
              <w:bottom w:val="single" w:sz="8" w:color="A6A6A6"/>
            </w:tcBorders>
          </w:tcPr>
          <w:p>
            <w:pPr>
              <w:spacing w:after="0" w:line="189" w:lineRule="exact"/>
              <w:rPr>
                <w:sz w:val="20"/>
                <w:szCs w:val="20"/>
                <w:color w:val="auto"/>
              </w:rPr>
            </w:pPr>
            <w:r>
              <w:rPr>
                <w:rFonts w:ascii="Calibri" w:cs="Calibri" w:eastAsia="Calibri" w:hAnsi="Calibri"/>
                <w:sz w:val="16"/>
                <w:szCs w:val="16"/>
                <w:color w:val="auto"/>
              </w:rPr>
              <w:t>GAAP net income</w:t>
            </w:r>
          </w:p>
        </w:tc>
        <w:tc>
          <w:tcPr>
            <w:tcW w:w="92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66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53,917</w:t>
            </w:r>
          </w:p>
        </w:tc>
        <w:tc>
          <w:tcPr>
            <w:tcW w:w="28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66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(5,463)</w:t>
            </w:r>
          </w:p>
        </w:tc>
        <w:tc>
          <w:tcPr>
            <w:tcW w:w="24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62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48,454</w:t>
            </w:r>
          </w:p>
        </w:tc>
        <w:tc>
          <w:tcPr>
            <w:tcW w:w="30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50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0.84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A6A6A6"/>
            </w:tcBorders>
          </w:tcPr>
          <w:p>
            <w:pPr>
              <w:spacing w:after="0" w:line="183" w:lineRule="exact"/>
              <w:rPr>
                <w:sz w:val="20"/>
                <w:szCs w:val="20"/>
                <w:color w:val="auto"/>
              </w:rPr>
            </w:pPr>
            <w:r>
              <w:rPr>
                <w:rFonts w:ascii="Calibri" w:cs="Calibri" w:eastAsia="Calibri" w:hAnsi="Calibri"/>
                <w:sz w:val="16"/>
                <w:szCs w:val="16"/>
                <w:i w:val="1"/>
                <w:iCs w:val="1"/>
                <w:color w:val="auto"/>
              </w:rPr>
              <w:t>Non-GAAP adjustments:</w:t>
            </w:r>
          </w:p>
        </w:tc>
        <w:tc>
          <w:tcPr>
            <w:tcW w:w="9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A6A6A6"/>
            </w:tcBorders>
          </w:tcPr>
          <w:p>
            <w:pPr>
              <w:ind w:left="100"/>
              <w:spacing w:after="0" w:line="183" w:lineRule="exact"/>
              <w:rPr>
                <w:sz w:val="20"/>
                <w:szCs w:val="20"/>
                <w:color w:val="auto"/>
              </w:rPr>
            </w:pPr>
            <w:r>
              <w:rPr>
                <w:rFonts w:ascii="Calibri" w:cs="Calibri" w:eastAsia="Calibri" w:hAnsi="Calibri"/>
                <w:sz w:val="16"/>
                <w:szCs w:val="16"/>
                <w:color w:val="auto"/>
              </w:rPr>
              <w:t>Cost of Sales</w:t>
            </w:r>
          </w:p>
        </w:tc>
        <w:tc>
          <w:tcPr>
            <w:tcW w:w="9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0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intangibles</w:t>
            </w:r>
          </w:p>
        </w:tc>
        <w:tc>
          <w:tcPr>
            <w:tcW w:w="92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42,453</w:t>
            </w:r>
          </w:p>
        </w:tc>
        <w:tc>
          <w:tcPr>
            <w:tcW w:w="28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(10,543)</w:t>
            </w:r>
          </w:p>
        </w:tc>
        <w:tc>
          <w:tcPr>
            <w:tcW w:w="240" w:type="dxa"/>
            <w:vAlign w:val="bottom"/>
          </w:tcPr>
          <w:p>
            <w:pPr>
              <w:spacing w:after="0"/>
              <w:rPr>
                <w:sz w:val="16"/>
                <w:szCs w:val="16"/>
                <w:color w:val="auto"/>
              </w:rPr>
            </w:pPr>
          </w:p>
        </w:tc>
        <w:tc>
          <w:tcPr>
            <w:tcW w:w="620" w:type="dxa"/>
            <w:vAlign w:val="bottom"/>
          </w:tcPr>
          <w:p>
            <w:pPr>
              <w:jc w:val="right"/>
              <w:spacing w:after="0" w:line="187" w:lineRule="exact"/>
              <w:rPr>
                <w:sz w:val="20"/>
                <w:szCs w:val="20"/>
                <w:color w:val="auto"/>
              </w:rPr>
            </w:pPr>
            <w:r>
              <w:rPr>
                <w:rFonts w:ascii="Calibri" w:cs="Calibri" w:eastAsia="Calibri" w:hAnsi="Calibri"/>
                <w:sz w:val="16"/>
                <w:szCs w:val="16"/>
                <w:color w:val="auto"/>
              </w:rPr>
              <w:t>31,910</w:t>
            </w:r>
          </w:p>
        </w:tc>
        <w:tc>
          <w:tcPr>
            <w:tcW w:w="30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Borders>
              <w:bottom w:val="single" w:sz="8" w:color="A6A6A6"/>
            </w:tcBorders>
          </w:tcPr>
          <w:p>
            <w:pPr>
              <w:spacing w:after="0" w:line="20" w:lineRule="exact"/>
              <w:rPr>
                <w:sz w:val="1"/>
                <w:szCs w:val="1"/>
                <w:color w:val="auto"/>
              </w:rPr>
            </w:pPr>
          </w:p>
        </w:tc>
        <w:tc>
          <w:tcPr>
            <w:tcW w:w="9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62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Inventory write-of </w:t>
            </w:r>
            <w:r>
              <w:rPr>
                <w:rFonts w:ascii="Calibri" w:cs="Calibri" w:eastAsia="Calibri" w:hAnsi="Calibri"/>
                <w:sz w:val="22"/>
                <w:szCs w:val="22"/>
                <w:b w:val="1"/>
                <w:bCs w:val="1"/>
                <w:color w:val="AF0000"/>
                <w:vertAlign w:val="superscript"/>
              </w:rPr>
              <w:t>(1)</w:t>
            </w:r>
          </w:p>
        </w:tc>
        <w:tc>
          <w:tcPr>
            <w:tcW w:w="9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1,620</w:t>
            </w:r>
          </w:p>
        </w:tc>
        <w:tc>
          <w:tcPr>
            <w:tcW w:w="28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ind w:right="59"/>
              <w:spacing w:after="0" w:line="193" w:lineRule="exact"/>
              <w:rPr>
                <w:sz w:val="20"/>
                <w:szCs w:val="20"/>
                <w:color w:val="auto"/>
              </w:rPr>
            </w:pPr>
            <w:r>
              <w:rPr>
                <w:rFonts w:ascii="Calibri" w:cs="Calibri" w:eastAsia="Calibri" w:hAnsi="Calibri"/>
                <w:sz w:val="16"/>
                <w:szCs w:val="16"/>
                <w:color w:val="auto"/>
              </w:rPr>
              <w:t>(202)</w:t>
            </w:r>
          </w:p>
        </w:tc>
        <w:tc>
          <w:tcPr>
            <w:tcW w:w="24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1,418</w:t>
            </w: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400" w:type="dxa"/>
            <w:vAlign w:val="bottom"/>
          </w:tcPr>
          <w:p>
            <w:pPr>
              <w:ind w:left="100"/>
              <w:spacing w:after="0" w:line="187" w:lineRule="exact"/>
              <w:rPr>
                <w:sz w:val="20"/>
                <w:szCs w:val="20"/>
                <w:color w:val="auto"/>
              </w:rPr>
            </w:pPr>
            <w:r>
              <w:rPr>
                <w:rFonts w:ascii="Calibri" w:cs="Calibri" w:eastAsia="Calibri" w:hAnsi="Calibri"/>
                <w:sz w:val="16"/>
                <w:szCs w:val="16"/>
                <w:color w:val="auto"/>
              </w:rPr>
              <w:t>Operatng expenses</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Borders>
              <w:bottom w:val="single" w:sz="8" w:color="A6A6A6"/>
            </w:tcBorders>
          </w:tcPr>
          <w:p>
            <w:pPr>
              <w:spacing w:after="0" w:line="20" w:lineRule="exact"/>
              <w:rPr>
                <w:sz w:val="1"/>
                <w:szCs w:val="1"/>
                <w:color w:val="auto"/>
              </w:rPr>
            </w:pPr>
          </w:p>
        </w:tc>
        <w:tc>
          <w:tcPr>
            <w:tcW w:w="9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62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400" w:type="dxa"/>
            <w:vAlign w:val="bottom"/>
          </w:tcPr>
          <w:p>
            <w:pPr>
              <w:ind w:left="320"/>
              <w:spacing w:after="0" w:line="187" w:lineRule="exact"/>
              <w:rPr>
                <w:sz w:val="20"/>
                <w:szCs w:val="20"/>
                <w:color w:val="auto"/>
              </w:rPr>
            </w:pPr>
            <w:r>
              <w:rPr>
                <w:rFonts w:ascii="Calibri" w:cs="Calibri" w:eastAsia="Calibri" w:hAnsi="Calibri"/>
                <w:sz w:val="16"/>
                <w:szCs w:val="16"/>
                <w:color w:val="auto"/>
              </w:rPr>
              <w:t>Contngent consideraton expense</w:t>
            </w:r>
          </w:p>
        </w:tc>
        <w:tc>
          <w:tcPr>
            <w:tcW w:w="92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3,161</w:t>
            </w:r>
          </w:p>
        </w:tc>
        <w:tc>
          <w:tcPr>
            <w:tcW w:w="28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52</w:t>
            </w:r>
          </w:p>
        </w:tc>
        <w:tc>
          <w:tcPr>
            <w:tcW w:w="240" w:type="dxa"/>
            <w:vAlign w:val="bottom"/>
          </w:tcPr>
          <w:p>
            <w:pPr>
              <w:spacing w:after="0"/>
              <w:rPr>
                <w:sz w:val="16"/>
                <w:szCs w:val="16"/>
                <w:color w:val="auto"/>
              </w:rPr>
            </w:pPr>
          </w:p>
        </w:tc>
        <w:tc>
          <w:tcPr>
            <w:tcW w:w="620" w:type="dxa"/>
            <w:vAlign w:val="bottom"/>
          </w:tcPr>
          <w:p>
            <w:pPr>
              <w:jc w:val="right"/>
              <w:spacing w:after="0" w:line="187" w:lineRule="exact"/>
              <w:rPr>
                <w:sz w:val="20"/>
                <w:szCs w:val="20"/>
                <w:color w:val="auto"/>
              </w:rPr>
            </w:pPr>
            <w:r>
              <w:rPr>
                <w:rFonts w:ascii="Calibri" w:cs="Calibri" w:eastAsia="Calibri" w:hAnsi="Calibri"/>
                <w:sz w:val="16"/>
                <w:szCs w:val="16"/>
                <w:color w:val="auto"/>
              </w:rPr>
              <w:t>3,213</w:t>
            </w:r>
          </w:p>
        </w:tc>
        <w:tc>
          <w:tcPr>
            <w:tcW w:w="30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Borders>
              <w:bottom w:val="single" w:sz="8" w:color="A6A6A6"/>
            </w:tcBorders>
          </w:tcPr>
          <w:p>
            <w:pPr>
              <w:spacing w:after="0" w:line="20" w:lineRule="exact"/>
              <w:rPr>
                <w:sz w:val="1"/>
                <w:szCs w:val="1"/>
                <w:color w:val="auto"/>
              </w:rPr>
            </w:pPr>
          </w:p>
        </w:tc>
        <w:tc>
          <w:tcPr>
            <w:tcW w:w="9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62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400" w:type="dxa"/>
            <w:vAlign w:val="bottom"/>
          </w:tcPr>
          <w:p>
            <w:pPr>
              <w:ind w:left="320"/>
              <w:spacing w:after="0" w:line="187" w:lineRule="exact"/>
              <w:rPr>
                <w:sz w:val="20"/>
                <w:szCs w:val="20"/>
                <w:color w:val="auto"/>
              </w:rPr>
            </w:pPr>
            <w:r>
              <w:rPr>
                <w:rFonts w:ascii="Calibri" w:cs="Calibri" w:eastAsia="Calibri" w:hAnsi="Calibri"/>
                <w:sz w:val="16"/>
                <w:szCs w:val="16"/>
                <w:color w:val="auto"/>
              </w:rPr>
              <w:t>Impairment charges</w:t>
            </w:r>
          </w:p>
        </w:tc>
        <w:tc>
          <w:tcPr>
            <w:tcW w:w="92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4,283</w:t>
            </w:r>
          </w:p>
        </w:tc>
        <w:tc>
          <w:tcPr>
            <w:tcW w:w="28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(481)</w:t>
            </w:r>
          </w:p>
        </w:tc>
        <w:tc>
          <w:tcPr>
            <w:tcW w:w="240" w:type="dxa"/>
            <w:vAlign w:val="bottom"/>
          </w:tcPr>
          <w:p>
            <w:pPr>
              <w:spacing w:after="0"/>
              <w:rPr>
                <w:sz w:val="16"/>
                <w:szCs w:val="16"/>
                <w:color w:val="auto"/>
              </w:rPr>
            </w:pPr>
          </w:p>
        </w:tc>
        <w:tc>
          <w:tcPr>
            <w:tcW w:w="620" w:type="dxa"/>
            <w:vAlign w:val="bottom"/>
          </w:tcPr>
          <w:p>
            <w:pPr>
              <w:jc w:val="right"/>
              <w:spacing w:after="0" w:line="187" w:lineRule="exact"/>
              <w:rPr>
                <w:sz w:val="20"/>
                <w:szCs w:val="20"/>
                <w:color w:val="auto"/>
              </w:rPr>
            </w:pPr>
            <w:r>
              <w:rPr>
                <w:rFonts w:ascii="Calibri" w:cs="Calibri" w:eastAsia="Calibri" w:hAnsi="Calibri"/>
                <w:sz w:val="16"/>
                <w:szCs w:val="16"/>
                <w:color w:val="auto"/>
              </w:rPr>
              <w:t>3,802</w:t>
            </w:r>
          </w:p>
        </w:tc>
        <w:tc>
          <w:tcPr>
            <w:tcW w:w="30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Borders>
              <w:bottom w:val="single" w:sz="8" w:color="A6A6A6"/>
            </w:tcBorders>
          </w:tcPr>
          <w:p>
            <w:pPr>
              <w:spacing w:after="0" w:line="20" w:lineRule="exact"/>
              <w:rPr>
                <w:sz w:val="1"/>
                <w:szCs w:val="1"/>
                <w:color w:val="auto"/>
              </w:rPr>
            </w:pPr>
          </w:p>
        </w:tc>
        <w:tc>
          <w:tcPr>
            <w:tcW w:w="9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62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40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intangibles</w:t>
            </w:r>
          </w:p>
        </w:tc>
        <w:tc>
          <w:tcPr>
            <w:tcW w:w="92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7,183</w:t>
            </w:r>
          </w:p>
        </w:tc>
        <w:tc>
          <w:tcPr>
            <w:tcW w:w="28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(1,798)</w:t>
            </w:r>
          </w:p>
        </w:tc>
        <w:tc>
          <w:tcPr>
            <w:tcW w:w="240" w:type="dxa"/>
            <w:vAlign w:val="bottom"/>
          </w:tcPr>
          <w:p>
            <w:pPr>
              <w:spacing w:after="0"/>
              <w:rPr>
                <w:sz w:val="16"/>
                <w:szCs w:val="16"/>
                <w:color w:val="auto"/>
              </w:rPr>
            </w:pPr>
          </w:p>
        </w:tc>
        <w:tc>
          <w:tcPr>
            <w:tcW w:w="620" w:type="dxa"/>
            <w:vAlign w:val="bottom"/>
          </w:tcPr>
          <w:p>
            <w:pPr>
              <w:jc w:val="right"/>
              <w:spacing w:after="0" w:line="187" w:lineRule="exact"/>
              <w:rPr>
                <w:sz w:val="20"/>
                <w:szCs w:val="20"/>
                <w:color w:val="auto"/>
              </w:rPr>
            </w:pPr>
            <w:r>
              <w:rPr>
                <w:rFonts w:ascii="Calibri" w:cs="Calibri" w:eastAsia="Calibri" w:hAnsi="Calibri"/>
                <w:sz w:val="16"/>
                <w:szCs w:val="16"/>
                <w:color w:val="auto"/>
              </w:rPr>
              <w:t>5,385</w:t>
            </w:r>
          </w:p>
        </w:tc>
        <w:tc>
          <w:tcPr>
            <w:tcW w:w="30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Borders>
              <w:bottom w:val="single" w:sz="8" w:color="A6A6A6"/>
            </w:tcBorders>
          </w:tcPr>
          <w:p>
            <w:pPr>
              <w:spacing w:after="0" w:line="20" w:lineRule="exact"/>
              <w:rPr>
                <w:sz w:val="1"/>
                <w:szCs w:val="1"/>
                <w:color w:val="auto"/>
              </w:rPr>
            </w:pPr>
          </w:p>
        </w:tc>
        <w:tc>
          <w:tcPr>
            <w:tcW w:w="9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62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40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Performance-based share-based compensaton </w:t>
            </w:r>
            <w:r>
              <w:rPr>
                <w:rFonts w:ascii="Calibri" w:cs="Calibri" w:eastAsia="Calibri" w:hAnsi="Calibri"/>
                <w:sz w:val="22"/>
                <w:szCs w:val="22"/>
                <w:b w:val="1"/>
                <w:bCs w:val="1"/>
                <w:color w:val="AF0000"/>
                <w:vertAlign w:val="superscript"/>
              </w:rPr>
              <w:t>(2)</w:t>
            </w:r>
          </w:p>
        </w:tc>
        <w:tc>
          <w:tcPr>
            <w:tcW w:w="9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5,035</w:t>
            </w:r>
          </w:p>
        </w:tc>
        <w:tc>
          <w:tcPr>
            <w:tcW w:w="28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(604)</w:t>
            </w:r>
          </w:p>
        </w:tc>
        <w:tc>
          <w:tcPr>
            <w:tcW w:w="24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4,431</w:t>
            </w: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Corporate transformaton and restructuring </w:t>
            </w:r>
            <w:r>
              <w:rPr>
                <w:rFonts w:ascii="Calibri" w:cs="Calibri" w:eastAsia="Calibri" w:hAnsi="Calibri"/>
                <w:sz w:val="22"/>
                <w:szCs w:val="22"/>
                <w:b w:val="1"/>
                <w:bCs w:val="1"/>
                <w:color w:val="AF0000"/>
                <w:vertAlign w:val="superscript"/>
              </w:rPr>
              <w:t>(3)</w:t>
            </w:r>
          </w:p>
        </w:tc>
        <w:tc>
          <w:tcPr>
            <w:tcW w:w="9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18,649</w:t>
            </w:r>
          </w:p>
        </w:tc>
        <w:tc>
          <w:tcPr>
            <w:tcW w:w="28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(4,620)</w:t>
            </w:r>
          </w:p>
        </w:tc>
        <w:tc>
          <w:tcPr>
            <w:tcW w:w="24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14,029</w:t>
            </w: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400" w:type="dxa"/>
            <w:vAlign w:val="bottom"/>
          </w:tcPr>
          <w:p>
            <w:pPr>
              <w:ind w:left="320"/>
              <w:spacing w:after="0" w:line="187" w:lineRule="exact"/>
              <w:rPr>
                <w:sz w:val="20"/>
                <w:szCs w:val="20"/>
                <w:color w:val="auto"/>
              </w:rPr>
            </w:pPr>
            <w:r>
              <w:rPr>
                <w:rFonts w:ascii="Calibri" w:cs="Calibri" w:eastAsia="Calibri" w:hAnsi="Calibri"/>
                <w:sz w:val="16"/>
                <w:szCs w:val="16"/>
                <w:color w:val="auto"/>
              </w:rPr>
              <w:t>Acquisiton-related</w:t>
            </w:r>
          </w:p>
        </w:tc>
        <w:tc>
          <w:tcPr>
            <w:tcW w:w="92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8,473</w:t>
            </w:r>
          </w:p>
        </w:tc>
        <w:tc>
          <w:tcPr>
            <w:tcW w:w="28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(2,100)</w:t>
            </w:r>
          </w:p>
        </w:tc>
        <w:tc>
          <w:tcPr>
            <w:tcW w:w="240" w:type="dxa"/>
            <w:vAlign w:val="bottom"/>
          </w:tcPr>
          <w:p>
            <w:pPr>
              <w:spacing w:after="0"/>
              <w:rPr>
                <w:sz w:val="16"/>
                <w:szCs w:val="16"/>
                <w:color w:val="auto"/>
              </w:rPr>
            </w:pPr>
          </w:p>
        </w:tc>
        <w:tc>
          <w:tcPr>
            <w:tcW w:w="620" w:type="dxa"/>
            <w:vAlign w:val="bottom"/>
          </w:tcPr>
          <w:p>
            <w:pPr>
              <w:jc w:val="right"/>
              <w:spacing w:after="0" w:line="187" w:lineRule="exact"/>
              <w:rPr>
                <w:sz w:val="20"/>
                <w:szCs w:val="20"/>
                <w:color w:val="auto"/>
              </w:rPr>
            </w:pPr>
            <w:r>
              <w:rPr>
                <w:rFonts w:ascii="Calibri" w:cs="Calibri" w:eastAsia="Calibri" w:hAnsi="Calibri"/>
                <w:sz w:val="16"/>
                <w:szCs w:val="16"/>
                <w:color w:val="auto"/>
              </w:rPr>
              <w:t>6,373</w:t>
            </w:r>
          </w:p>
        </w:tc>
        <w:tc>
          <w:tcPr>
            <w:tcW w:w="30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Borders>
              <w:bottom w:val="single" w:sz="8" w:color="A6A6A6"/>
            </w:tcBorders>
          </w:tcPr>
          <w:p>
            <w:pPr>
              <w:spacing w:after="0" w:line="20" w:lineRule="exact"/>
              <w:rPr>
                <w:sz w:val="1"/>
                <w:szCs w:val="1"/>
                <w:color w:val="auto"/>
              </w:rPr>
            </w:pPr>
          </w:p>
        </w:tc>
        <w:tc>
          <w:tcPr>
            <w:tcW w:w="9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62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Medical Device Regulaton expenses </w:t>
            </w:r>
            <w:r>
              <w:rPr>
                <w:rFonts w:ascii="Calibri" w:cs="Calibri" w:eastAsia="Calibri" w:hAnsi="Calibri"/>
                <w:sz w:val="22"/>
                <w:szCs w:val="22"/>
                <w:b w:val="1"/>
                <w:bCs w:val="1"/>
                <w:color w:val="AF0000"/>
                <w:vertAlign w:val="superscript"/>
              </w:rPr>
              <w:t>(4)</w:t>
            </w:r>
          </w:p>
        </w:tc>
        <w:tc>
          <w:tcPr>
            <w:tcW w:w="9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4,036</w:t>
            </w:r>
          </w:p>
        </w:tc>
        <w:tc>
          <w:tcPr>
            <w:tcW w:w="28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(1,001)</w:t>
            </w:r>
          </w:p>
        </w:tc>
        <w:tc>
          <w:tcPr>
            <w:tcW w:w="24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3,035</w:t>
            </w: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Other </w:t>
            </w:r>
            <w:r>
              <w:rPr>
                <w:rFonts w:ascii="Calibri" w:cs="Calibri" w:eastAsia="Calibri" w:hAnsi="Calibri"/>
                <w:sz w:val="22"/>
                <w:szCs w:val="22"/>
                <w:b w:val="1"/>
                <w:bCs w:val="1"/>
                <w:color w:val="AF0000"/>
                <w:vertAlign w:val="superscript"/>
              </w:rPr>
              <w:t>(5)</w:t>
            </w:r>
          </w:p>
        </w:tc>
        <w:tc>
          <w:tcPr>
            <w:tcW w:w="9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16,652</w:t>
            </w:r>
          </w:p>
        </w:tc>
        <w:tc>
          <w:tcPr>
            <w:tcW w:w="28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(2,977)</w:t>
            </w:r>
          </w:p>
        </w:tc>
        <w:tc>
          <w:tcPr>
            <w:tcW w:w="24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13,675</w:t>
            </w:r>
          </w:p>
        </w:tc>
        <w:tc>
          <w:tcPr>
            <w:tcW w:w="30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400" w:type="dxa"/>
            <w:vAlign w:val="bottom"/>
          </w:tcPr>
          <w:p>
            <w:pPr>
              <w:ind w:left="100"/>
              <w:spacing w:after="0" w:line="187" w:lineRule="exact"/>
              <w:rPr>
                <w:sz w:val="20"/>
                <w:szCs w:val="20"/>
                <w:color w:val="auto"/>
              </w:rPr>
            </w:pPr>
            <w:r>
              <w:rPr>
                <w:rFonts w:ascii="Calibri" w:cs="Calibri" w:eastAsia="Calibri" w:hAnsi="Calibri"/>
                <w:sz w:val="16"/>
                <w:szCs w:val="16"/>
                <w:color w:val="auto"/>
              </w:rPr>
              <w:t>Other (Income) Expense</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Borders>
              <w:bottom w:val="single" w:sz="8" w:color="A6A6A6"/>
            </w:tcBorders>
          </w:tcPr>
          <w:p>
            <w:pPr>
              <w:spacing w:after="0" w:line="20" w:lineRule="exact"/>
              <w:rPr>
                <w:sz w:val="1"/>
                <w:szCs w:val="1"/>
                <w:color w:val="auto"/>
              </w:rPr>
            </w:pPr>
          </w:p>
        </w:tc>
        <w:tc>
          <w:tcPr>
            <w:tcW w:w="9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62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40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long-term debt issuance costs</w:t>
            </w:r>
          </w:p>
        </w:tc>
        <w:tc>
          <w:tcPr>
            <w:tcW w:w="92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604</w:t>
            </w:r>
          </w:p>
        </w:tc>
        <w:tc>
          <w:tcPr>
            <w:tcW w:w="28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(150)</w:t>
            </w:r>
          </w:p>
        </w:tc>
        <w:tc>
          <w:tcPr>
            <w:tcW w:w="240" w:type="dxa"/>
            <w:vAlign w:val="bottom"/>
          </w:tcPr>
          <w:p>
            <w:pPr>
              <w:spacing w:after="0"/>
              <w:rPr>
                <w:sz w:val="16"/>
                <w:szCs w:val="16"/>
                <w:color w:val="auto"/>
              </w:rPr>
            </w:pPr>
          </w:p>
        </w:tc>
        <w:tc>
          <w:tcPr>
            <w:tcW w:w="620" w:type="dxa"/>
            <w:vAlign w:val="bottom"/>
          </w:tcPr>
          <w:p>
            <w:pPr>
              <w:jc w:val="right"/>
              <w:spacing w:after="0" w:line="187" w:lineRule="exact"/>
              <w:rPr>
                <w:sz w:val="20"/>
                <w:szCs w:val="20"/>
                <w:color w:val="auto"/>
              </w:rPr>
            </w:pPr>
            <w:r>
              <w:rPr>
                <w:rFonts w:ascii="Calibri" w:cs="Calibri" w:eastAsia="Calibri" w:hAnsi="Calibri"/>
                <w:sz w:val="16"/>
                <w:szCs w:val="16"/>
                <w:color w:val="auto"/>
              </w:rPr>
              <w:t>454</w:t>
            </w:r>
          </w:p>
        </w:tc>
        <w:tc>
          <w:tcPr>
            <w:tcW w:w="30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Borders>
              <w:bottom w:val="single" w:sz="8" w:color="A6A6A6"/>
            </w:tcBorders>
          </w:tcPr>
          <w:p>
            <w:pPr>
              <w:spacing w:after="0" w:line="20" w:lineRule="exact"/>
              <w:rPr>
                <w:sz w:val="1"/>
                <w:szCs w:val="1"/>
                <w:color w:val="auto"/>
              </w:rPr>
            </w:pPr>
          </w:p>
        </w:tc>
        <w:tc>
          <w:tcPr>
            <w:tcW w:w="9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62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A6A6A6"/>
            </w:tcBorders>
          </w:tcPr>
          <w:p>
            <w:pPr>
              <w:spacing w:after="0" w:line="183" w:lineRule="exact"/>
              <w:rPr>
                <w:sz w:val="20"/>
                <w:szCs w:val="20"/>
                <w:color w:val="auto"/>
              </w:rPr>
            </w:pPr>
            <w:r>
              <w:rPr>
                <w:rFonts w:ascii="Calibri" w:cs="Calibri" w:eastAsia="Calibri" w:hAnsi="Calibri"/>
                <w:sz w:val="16"/>
                <w:szCs w:val="16"/>
                <w:color w:val="auto"/>
              </w:rPr>
              <w:t>Non-GAAP net income</w:t>
            </w:r>
          </w:p>
        </w:tc>
        <w:tc>
          <w:tcPr>
            <w:tcW w:w="92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166,066</w:t>
            </w:r>
          </w:p>
        </w:tc>
        <w:tc>
          <w:tcPr>
            <w:tcW w:w="28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66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(29,887)</w:t>
            </w:r>
          </w:p>
        </w:tc>
        <w:tc>
          <w:tcPr>
            <w:tcW w:w="24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62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w w:val="98"/>
              </w:rPr>
              <w:t>136,179</w:t>
            </w:r>
          </w:p>
        </w:tc>
        <w:tc>
          <w:tcPr>
            <w:tcW w:w="30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50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2.37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F0000"/>
            </w:tcBorders>
          </w:tcPr>
          <w:p>
            <w:pPr>
              <w:spacing w:after="0" w:line="183" w:lineRule="exact"/>
              <w:rPr>
                <w:sz w:val="20"/>
                <w:szCs w:val="20"/>
                <w:color w:val="auto"/>
              </w:rPr>
            </w:pPr>
            <w:r>
              <w:rPr>
                <w:rFonts w:ascii="Calibri" w:cs="Calibri" w:eastAsia="Calibri" w:hAnsi="Calibri"/>
                <w:sz w:val="16"/>
                <w:szCs w:val="16"/>
                <w:color w:val="auto"/>
              </w:rPr>
              <w:t>Diluted shares</w:t>
            </w:r>
          </w:p>
        </w:tc>
        <w:tc>
          <w:tcPr>
            <w:tcW w:w="920" w:type="dxa"/>
            <w:vAlign w:val="bottom"/>
            <w:tcBorders>
              <w:bottom w:val="single" w:sz="8" w:color="AF0000"/>
            </w:tcBorders>
          </w:tcPr>
          <w:p>
            <w:pPr>
              <w:spacing w:after="0"/>
              <w:rPr>
                <w:sz w:val="16"/>
                <w:szCs w:val="16"/>
                <w:color w:val="auto"/>
              </w:rPr>
            </w:pPr>
          </w:p>
        </w:tc>
        <w:tc>
          <w:tcPr>
            <w:tcW w:w="660" w:type="dxa"/>
            <w:vAlign w:val="bottom"/>
            <w:tcBorders>
              <w:bottom w:val="single" w:sz="8" w:color="AF0000"/>
            </w:tcBorders>
          </w:tcPr>
          <w:p>
            <w:pPr>
              <w:spacing w:after="0"/>
              <w:rPr>
                <w:sz w:val="16"/>
                <w:szCs w:val="16"/>
                <w:color w:val="auto"/>
              </w:rPr>
            </w:pPr>
          </w:p>
        </w:tc>
        <w:tc>
          <w:tcPr>
            <w:tcW w:w="280" w:type="dxa"/>
            <w:vAlign w:val="bottom"/>
            <w:tcBorders>
              <w:bottom w:val="single" w:sz="8" w:color="AF0000"/>
            </w:tcBorders>
          </w:tcPr>
          <w:p>
            <w:pPr>
              <w:spacing w:after="0"/>
              <w:rPr>
                <w:sz w:val="16"/>
                <w:szCs w:val="16"/>
                <w:color w:val="auto"/>
              </w:rPr>
            </w:pPr>
          </w:p>
        </w:tc>
        <w:tc>
          <w:tcPr>
            <w:tcW w:w="660" w:type="dxa"/>
            <w:vAlign w:val="bottom"/>
            <w:tcBorders>
              <w:bottom w:val="single" w:sz="8" w:color="AF0000"/>
            </w:tcBorders>
          </w:tcPr>
          <w:p>
            <w:pPr>
              <w:spacing w:after="0"/>
              <w:rPr>
                <w:sz w:val="16"/>
                <w:szCs w:val="16"/>
                <w:color w:val="auto"/>
              </w:rPr>
            </w:pPr>
          </w:p>
        </w:tc>
        <w:tc>
          <w:tcPr>
            <w:tcW w:w="240" w:type="dxa"/>
            <w:vAlign w:val="bottom"/>
            <w:tcBorders>
              <w:bottom w:val="single" w:sz="8" w:color="AF0000"/>
            </w:tcBorders>
          </w:tcPr>
          <w:p>
            <w:pPr>
              <w:spacing w:after="0"/>
              <w:rPr>
                <w:sz w:val="16"/>
                <w:szCs w:val="16"/>
                <w:color w:val="auto"/>
              </w:rPr>
            </w:pPr>
          </w:p>
        </w:tc>
        <w:tc>
          <w:tcPr>
            <w:tcW w:w="620" w:type="dxa"/>
            <w:vAlign w:val="bottom"/>
            <w:tcBorders>
              <w:bottom w:val="single" w:sz="8" w:color="AF0000"/>
            </w:tcBorders>
          </w:tcPr>
          <w:p>
            <w:pPr>
              <w:spacing w:after="0"/>
              <w:rPr>
                <w:sz w:val="16"/>
                <w:szCs w:val="16"/>
                <w:color w:val="auto"/>
              </w:rPr>
            </w:pPr>
          </w:p>
        </w:tc>
        <w:tc>
          <w:tcPr>
            <w:tcW w:w="300" w:type="dxa"/>
            <w:vAlign w:val="bottom"/>
            <w:tcBorders>
              <w:bottom w:val="single" w:sz="8" w:color="AF0000"/>
            </w:tcBorders>
          </w:tcPr>
          <w:p>
            <w:pPr>
              <w:spacing w:after="0"/>
              <w:rPr>
                <w:sz w:val="16"/>
                <w:szCs w:val="16"/>
                <w:color w:val="auto"/>
              </w:rPr>
            </w:pPr>
          </w:p>
        </w:tc>
        <w:tc>
          <w:tcPr>
            <w:tcW w:w="500" w:type="dxa"/>
            <w:vAlign w:val="bottom"/>
            <w:tcBorders>
              <w:bottom w:val="single" w:sz="8" w:color="AF0000"/>
            </w:tcBorders>
          </w:tcPr>
          <w:p>
            <w:pPr>
              <w:jc w:val="right"/>
              <w:spacing w:after="0" w:line="183" w:lineRule="exact"/>
              <w:rPr>
                <w:sz w:val="20"/>
                <w:szCs w:val="20"/>
                <w:color w:val="auto"/>
              </w:rPr>
            </w:pPr>
            <w:r>
              <w:rPr>
                <w:rFonts w:ascii="Calibri" w:cs="Calibri" w:eastAsia="Calibri" w:hAnsi="Calibri"/>
                <w:sz w:val="16"/>
                <w:szCs w:val="16"/>
                <w:color w:val="auto"/>
              </w:rPr>
              <w:t>57,359</w:t>
            </w:r>
          </w:p>
        </w:tc>
        <w:tc>
          <w:tcPr>
            <w:tcW w:w="20" w:type="dxa"/>
            <w:vAlign w:val="bottom"/>
            <w:tcBorders>
              <w:bottom w:val="single" w:sz="8" w:color="AF0000"/>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94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98" w:name="page99"/>
    <w:bookmarkEnd w:id="98"/>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6720"/>
        <w:spacing w:after="0"/>
        <w:rPr>
          <w:sz w:val="20"/>
          <w:szCs w:val="20"/>
          <w:color w:val="auto"/>
        </w:rPr>
      </w:pPr>
      <w:r>
        <w:rPr>
          <w:rFonts w:ascii="Calibri" w:cs="Calibri" w:eastAsia="Calibri" w:hAnsi="Calibri"/>
          <w:sz w:val="17"/>
          <w:szCs w:val="17"/>
          <w:color w:val="auto"/>
        </w:rPr>
        <w:t>OTHER PROXY INFORMATION</w:t>
      </w:r>
    </w:p>
    <w:p>
      <w:pPr>
        <w:spacing w:after="0" w:line="17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RECONCILIATION OF GAAP NET (LOSS) AND (LOSS) PER SHARE</w:t>
      </w:r>
    </w:p>
    <w:p>
      <w:pPr>
        <w:spacing w:after="0" w:line="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TO NON-GAAP NET INCOME AND EARNINGS PER SHARE</w:t>
      </w:r>
    </w:p>
    <w:p>
      <w:pPr>
        <w:spacing w:after="0" w:line="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(UNAUDITED,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135255</wp:posOffset>
            </wp:positionV>
            <wp:extent cx="545211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20" w:type="dxa"/>
            <w:vAlign w:val="bottom"/>
            <w:gridSpan w:val="5"/>
          </w:tcPr>
          <w:p>
            <w:pPr>
              <w:ind w:left="460"/>
              <w:spacing w:after="0"/>
              <w:rPr>
                <w:sz w:val="20"/>
                <w:szCs w:val="20"/>
                <w:color w:val="auto"/>
              </w:rPr>
            </w:pPr>
            <w:r>
              <w:rPr>
                <w:rFonts w:ascii="Calibri" w:cs="Calibri" w:eastAsia="Calibri" w:hAnsi="Calibri"/>
                <w:sz w:val="16"/>
                <w:szCs w:val="16"/>
                <w:b w:val="1"/>
                <w:bCs w:val="1"/>
                <w:color w:val="auto"/>
              </w:rPr>
              <w:t>Year Ended December 31, 2020</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gridSpan w:val="3"/>
          </w:tcPr>
          <w:p>
            <w:pPr>
              <w:ind w:left="80"/>
              <w:spacing w:after="0"/>
              <w:rPr>
                <w:sz w:val="20"/>
                <w:szCs w:val="20"/>
                <w:color w:val="auto"/>
              </w:rPr>
            </w:pPr>
            <w:r>
              <w:rPr>
                <w:rFonts w:ascii="Calibri" w:cs="Calibri" w:eastAsia="Calibri" w:hAnsi="Calibri"/>
                <w:sz w:val="16"/>
                <w:szCs w:val="16"/>
                <w:b w:val="1"/>
                <w:bCs w:val="1"/>
                <w:color w:val="auto"/>
              </w:rPr>
              <w:t>Per Share</w:t>
            </w:r>
          </w:p>
        </w:tc>
        <w:tc>
          <w:tcPr>
            <w:tcW w:w="0" w:type="dxa"/>
            <w:vAlign w:val="bottom"/>
          </w:tcPr>
          <w:p>
            <w:pPr>
              <w:spacing w:after="0"/>
              <w:rPr>
                <w:sz w:val="1"/>
                <w:szCs w:val="1"/>
                <w:color w:val="auto"/>
              </w:rPr>
            </w:pPr>
          </w:p>
        </w:tc>
      </w:tr>
      <w:tr>
        <w:trPr>
          <w:trHeight w:val="193"/>
        </w:trPr>
        <w:tc>
          <w:tcPr>
            <w:tcW w:w="4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Pre-Tax</w:t>
            </w:r>
          </w:p>
        </w:tc>
        <w:tc>
          <w:tcPr>
            <w:tcW w:w="900" w:type="dxa"/>
            <w:vAlign w:val="bottom"/>
            <w:gridSpan w:val="2"/>
          </w:tcPr>
          <w:p>
            <w:pPr>
              <w:ind w:left="100"/>
              <w:spacing w:after="0" w:line="193" w:lineRule="exact"/>
              <w:rPr>
                <w:sz w:val="20"/>
                <w:szCs w:val="20"/>
                <w:color w:val="auto"/>
              </w:rPr>
            </w:pPr>
            <w:r>
              <w:rPr>
                <w:rFonts w:ascii="Calibri" w:cs="Calibri" w:eastAsia="Calibri" w:hAnsi="Calibri"/>
                <w:sz w:val="16"/>
                <w:szCs w:val="16"/>
                <w:b w:val="1"/>
                <w:bCs w:val="1"/>
                <w:color w:val="auto"/>
              </w:rPr>
              <w:t>Tax Impact</w:t>
            </w:r>
          </w:p>
        </w:tc>
        <w:tc>
          <w:tcPr>
            <w:tcW w:w="78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Afer-Tax</w:t>
            </w:r>
          </w:p>
        </w:tc>
        <w:tc>
          <w:tcPr>
            <w:tcW w:w="760" w:type="dxa"/>
            <w:vAlign w:val="bottom"/>
            <w:gridSpan w:val="3"/>
          </w:tcPr>
          <w:p>
            <w:pPr>
              <w:ind w:left="180"/>
              <w:spacing w:after="0" w:line="193" w:lineRule="exact"/>
              <w:rPr>
                <w:sz w:val="20"/>
                <w:szCs w:val="20"/>
                <w:color w:val="auto"/>
              </w:rPr>
            </w:pPr>
            <w:r>
              <w:rPr>
                <w:rFonts w:ascii="Calibri" w:cs="Calibri" w:eastAsia="Calibri" w:hAnsi="Calibri"/>
                <w:sz w:val="16"/>
                <w:szCs w:val="16"/>
                <w:b w:val="1"/>
                <w:bCs w:val="1"/>
                <w:color w:val="auto"/>
              </w:rPr>
              <w:t>Impact</w:t>
            </w:r>
          </w:p>
        </w:tc>
        <w:tc>
          <w:tcPr>
            <w:tcW w:w="0" w:type="dxa"/>
            <w:vAlign w:val="bottom"/>
          </w:tcPr>
          <w:p>
            <w:pPr>
              <w:spacing w:after="0"/>
              <w:rPr>
                <w:sz w:val="1"/>
                <w:szCs w:val="1"/>
                <w:color w:val="auto"/>
              </w:rPr>
            </w:pPr>
          </w:p>
        </w:tc>
      </w:tr>
      <w:tr>
        <w:trPr>
          <w:trHeight w:val="35"/>
        </w:trPr>
        <w:tc>
          <w:tcPr>
            <w:tcW w:w="4460" w:type="dxa"/>
            <w:vAlign w:val="bottom"/>
            <w:tcBorders>
              <w:bottom w:val="single" w:sz="8" w:color="AF0000"/>
            </w:tcBorders>
          </w:tcPr>
          <w:p>
            <w:pPr>
              <w:spacing w:after="0"/>
              <w:rPr>
                <w:sz w:val="3"/>
                <w:szCs w:val="3"/>
                <w:color w:val="auto"/>
              </w:rPr>
            </w:pPr>
          </w:p>
        </w:tc>
        <w:tc>
          <w:tcPr>
            <w:tcW w:w="1000" w:type="dxa"/>
            <w:vAlign w:val="bottom"/>
            <w:tcBorders>
              <w:bottom w:val="single" w:sz="8" w:color="AF0000"/>
            </w:tcBorders>
          </w:tcPr>
          <w:p>
            <w:pPr>
              <w:spacing w:after="0"/>
              <w:rPr>
                <w:sz w:val="3"/>
                <w:szCs w:val="3"/>
                <w:color w:val="auto"/>
              </w:rPr>
            </w:pPr>
          </w:p>
        </w:tc>
        <w:tc>
          <w:tcPr>
            <w:tcW w:w="700" w:type="dxa"/>
            <w:vAlign w:val="bottom"/>
            <w:tcBorders>
              <w:bottom w:val="single" w:sz="8" w:color="AF0000"/>
            </w:tcBorders>
          </w:tcPr>
          <w:p>
            <w:pPr>
              <w:spacing w:after="0"/>
              <w:rPr>
                <w:sz w:val="3"/>
                <w:szCs w:val="3"/>
                <w:color w:val="auto"/>
              </w:rPr>
            </w:pPr>
          </w:p>
        </w:tc>
        <w:tc>
          <w:tcPr>
            <w:tcW w:w="200" w:type="dxa"/>
            <w:vAlign w:val="bottom"/>
            <w:tcBorders>
              <w:bottom w:val="single" w:sz="8" w:color="AF0000"/>
            </w:tcBorders>
          </w:tcPr>
          <w:p>
            <w:pPr>
              <w:spacing w:after="0"/>
              <w:rPr>
                <w:sz w:val="3"/>
                <w:szCs w:val="3"/>
                <w:color w:val="auto"/>
              </w:rPr>
            </w:pPr>
          </w:p>
        </w:tc>
        <w:tc>
          <w:tcPr>
            <w:tcW w:w="700" w:type="dxa"/>
            <w:vAlign w:val="bottom"/>
            <w:tcBorders>
              <w:bottom w:val="single" w:sz="8" w:color="AF0000"/>
            </w:tcBorders>
          </w:tcPr>
          <w:p>
            <w:pPr>
              <w:spacing w:after="0"/>
              <w:rPr>
                <w:sz w:val="3"/>
                <w:szCs w:val="3"/>
                <w:color w:val="auto"/>
              </w:rPr>
            </w:pPr>
          </w:p>
        </w:tc>
        <w:tc>
          <w:tcPr>
            <w:tcW w:w="780" w:type="dxa"/>
            <w:vAlign w:val="bottom"/>
            <w:tcBorders>
              <w:bottom w:val="single" w:sz="8" w:color="AF0000"/>
            </w:tcBorders>
          </w:tcPr>
          <w:p>
            <w:pPr>
              <w:spacing w:after="0"/>
              <w:rPr>
                <w:sz w:val="3"/>
                <w:szCs w:val="3"/>
                <w:color w:val="auto"/>
              </w:rPr>
            </w:pPr>
          </w:p>
        </w:tc>
        <w:tc>
          <w:tcPr>
            <w:tcW w:w="240" w:type="dxa"/>
            <w:vAlign w:val="bottom"/>
            <w:tcBorders>
              <w:bottom w:val="single" w:sz="8" w:color="AF0000"/>
            </w:tcBorders>
          </w:tcPr>
          <w:p>
            <w:pPr>
              <w:spacing w:after="0"/>
              <w:rPr>
                <w:sz w:val="3"/>
                <w:szCs w:val="3"/>
                <w:color w:val="auto"/>
              </w:rPr>
            </w:pPr>
          </w:p>
        </w:tc>
        <w:tc>
          <w:tcPr>
            <w:tcW w:w="500" w:type="dxa"/>
            <w:vAlign w:val="bottom"/>
            <w:tcBorders>
              <w:bottom w:val="single" w:sz="8" w:color="AF000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60" w:type="dxa"/>
            <w:vAlign w:val="bottom"/>
            <w:tcBorders>
              <w:bottom w:val="single" w:sz="8" w:color="A6A6A6"/>
            </w:tcBorders>
          </w:tcPr>
          <w:p>
            <w:pPr>
              <w:spacing w:after="0" w:line="189" w:lineRule="exact"/>
              <w:rPr>
                <w:sz w:val="20"/>
                <w:szCs w:val="20"/>
                <w:color w:val="auto"/>
              </w:rPr>
            </w:pPr>
            <w:r>
              <w:rPr>
                <w:rFonts w:ascii="Calibri" w:cs="Calibri" w:eastAsia="Calibri" w:hAnsi="Calibri"/>
                <w:sz w:val="16"/>
                <w:szCs w:val="16"/>
                <w:color w:val="auto"/>
              </w:rPr>
              <w:t>GAAP net loss</w:t>
            </w:r>
          </w:p>
        </w:tc>
        <w:tc>
          <w:tcPr>
            <w:tcW w:w="100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700" w:type="dxa"/>
            <w:vAlign w:val="bottom"/>
            <w:tcBorders>
              <w:bottom w:val="single" w:sz="8" w:color="A6A6A6"/>
            </w:tcBorders>
          </w:tcPr>
          <w:p>
            <w:pPr>
              <w:jc w:val="right"/>
              <w:ind w:right="19"/>
              <w:spacing w:after="0" w:line="189" w:lineRule="exact"/>
              <w:rPr>
                <w:sz w:val="20"/>
                <w:szCs w:val="20"/>
                <w:color w:val="auto"/>
              </w:rPr>
            </w:pPr>
            <w:r>
              <w:rPr>
                <w:rFonts w:ascii="Calibri" w:cs="Calibri" w:eastAsia="Calibri" w:hAnsi="Calibri"/>
                <w:sz w:val="16"/>
                <w:szCs w:val="16"/>
                <w:color w:val="auto"/>
              </w:rPr>
              <w:t>(13,231)</w:t>
            </w:r>
          </w:p>
        </w:tc>
        <w:tc>
          <w:tcPr>
            <w:tcW w:w="200" w:type="dxa"/>
            <w:vAlign w:val="bottom"/>
            <w:tcBorders>
              <w:bottom w:val="single" w:sz="8" w:color="A6A6A6"/>
            </w:tcBorders>
          </w:tcPr>
          <w:p>
            <w:pPr>
              <w:ind w:left="100"/>
              <w:spacing w:after="0" w:line="189" w:lineRule="exact"/>
              <w:rPr>
                <w:sz w:val="20"/>
                <w:szCs w:val="20"/>
                <w:color w:val="auto"/>
              </w:rPr>
            </w:pPr>
            <w:r>
              <w:rPr>
                <w:rFonts w:ascii="Calibri" w:cs="Calibri" w:eastAsia="Calibri" w:hAnsi="Calibri"/>
                <w:sz w:val="16"/>
                <w:szCs w:val="16"/>
                <w:color w:val="auto"/>
                <w:w w:val="97"/>
              </w:rPr>
              <w:t>$</w:t>
            </w:r>
          </w:p>
        </w:tc>
        <w:tc>
          <w:tcPr>
            <w:tcW w:w="700" w:type="dxa"/>
            <w:vAlign w:val="bottom"/>
            <w:tcBorders>
              <w:bottom w:val="single" w:sz="8" w:color="A6A6A6"/>
            </w:tcBorders>
          </w:tcPr>
          <w:p>
            <w:pPr>
              <w:jc w:val="right"/>
              <w:ind w:right="39"/>
              <w:spacing w:after="0" w:line="189" w:lineRule="exact"/>
              <w:rPr>
                <w:sz w:val="20"/>
                <w:szCs w:val="20"/>
                <w:color w:val="auto"/>
              </w:rPr>
            </w:pPr>
            <w:r>
              <w:rPr>
                <w:rFonts w:ascii="Calibri" w:cs="Calibri" w:eastAsia="Calibri" w:hAnsi="Calibri"/>
                <w:sz w:val="16"/>
                <w:szCs w:val="16"/>
                <w:color w:val="auto"/>
              </w:rPr>
              <w:t>3,388</w:t>
            </w:r>
          </w:p>
        </w:tc>
        <w:tc>
          <w:tcPr>
            <w:tcW w:w="780" w:type="dxa"/>
            <w:vAlign w:val="bottom"/>
            <w:tcBorders>
              <w:bottom w:val="single" w:sz="8" w:color="A6A6A6"/>
            </w:tcBorders>
          </w:tcPr>
          <w:p>
            <w:pPr>
              <w:jc w:val="right"/>
              <w:ind w:right="19"/>
              <w:spacing w:after="0" w:line="189" w:lineRule="exact"/>
              <w:rPr>
                <w:sz w:val="20"/>
                <w:szCs w:val="20"/>
                <w:color w:val="auto"/>
              </w:rPr>
            </w:pPr>
            <w:r>
              <w:rPr>
                <w:rFonts w:ascii="Calibri" w:cs="Calibri" w:eastAsia="Calibri" w:hAnsi="Calibri"/>
                <w:sz w:val="16"/>
                <w:szCs w:val="16"/>
                <w:color w:val="auto"/>
              </w:rPr>
              <w:t>$ (9,843)</w:t>
            </w:r>
          </w:p>
        </w:tc>
        <w:tc>
          <w:tcPr>
            <w:tcW w:w="240" w:type="dxa"/>
            <w:vAlign w:val="bottom"/>
            <w:tcBorders>
              <w:bottom w:val="single" w:sz="8" w:color="A6A6A6"/>
            </w:tcBorders>
          </w:tcPr>
          <w:p>
            <w:pPr>
              <w:ind w:left="100"/>
              <w:spacing w:after="0" w:line="189" w:lineRule="exact"/>
              <w:rPr>
                <w:sz w:val="20"/>
                <w:szCs w:val="20"/>
                <w:color w:val="auto"/>
              </w:rPr>
            </w:pPr>
            <w:r>
              <w:rPr>
                <w:rFonts w:ascii="Calibri" w:cs="Calibri" w:eastAsia="Calibri" w:hAnsi="Calibri"/>
                <w:sz w:val="16"/>
                <w:szCs w:val="16"/>
                <w:color w:val="auto"/>
              </w:rPr>
              <w:t>$</w:t>
            </w:r>
          </w:p>
        </w:tc>
        <w:tc>
          <w:tcPr>
            <w:tcW w:w="50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60" w:type="dxa"/>
            <w:vAlign w:val="bottom"/>
            <w:tcBorders>
              <w:bottom w:val="single" w:sz="8" w:color="A6A6A6"/>
            </w:tcBorders>
          </w:tcPr>
          <w:p>
            <w:pPr>
              <w:spacing w:after="0" w:line="183" w:lineRule="exact"/>
              <w:rPr>
                <w:sz w:val="20"/>
                <w:szCs w:val="20"/>
                <w:color w:val="auto"/>
              </w:rPr>
            </w:pPr>
            <w:r>
              <w:rPr>
                <w:rFonts w:ascii="Calibri" w:cs="Calibri" w:eastAsia="Calibri" w:hAnsi="Calibri"/>
                <w:sz w:val="16"/>
                <w:szCs w:val="16"/>
                <w:i w:val="1"/>
                <w:iCs w:val="1"/>
                <w:color w:val="auto"/>
              </w:rPr>
              <w:t>Non-GAAP adjustments:</w:t>
            </w:r>
          </w:p>
        </w:tc>
        <w:tc>
          <w:tcPr>
            <w:tcW w:w="10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60" w:type="dxa"/>
            <w:vAlign w:val="bottom"/>
            <w:tcBorders>
              <w:bottom w:val="single" w:sz="8" w:color="A6A6A6"/>
            </w:tcBorders>
          </w:tcPr>
          <w:p>
            <w:pPr>
              <w:ind w:left="100"/>
              <w:spacing w:after="0" w:line="183" w:lineRule="exact"/>
              <w:rPr>
                <w:sz w:val="20"/>
                <w:szCs w:val="20"/>
                <w:color w:val="auto"/>
              </w:rPr>
            </w:pPr>
            <w:r>
              <w:rPr>
                <w:rFonts w:ascii="Calibri" w:cs="Calibri" w:eastAsia="Calibri" w:hAnsi="Calibri"/>
                <w:sz w:val="16"/>
                <w:szCs w:val="16"/>
                <w:color w:val="auto"/>
              </w:rPr>
              <w:t>Cost of Sales</w:t>
            </w:r>
          </w:p>
        </w:tc>
        <w:tc>
          <w:tcPr>
            <w:tcW w:w="10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6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intangibles</w:t>
            </w:r>
          </w:p>
        </w:tc>
        <w:tc>
          <w:tcPr>
            <w:tcW w:w="1000" w:type="dxa"/>
            <w:vAlign w:val="bottom"/>
          </w:tcPr>
          <w:p>
            <w:pPr>
              <w:spacing w:after="0"/>
              <w:rPr>
                <w:sz w:val="16"/>
                <w:szCs w:val="16"/>
                <w:color w:val="auto"/>
              </w:rPr>
            </w:pPr>
          </w:p>
        </w:tc>
        <w:tc>
          <w:tcPr>
            <w:tcW w:w="70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50,696</w:t>
            </w:r>
          </w:p>
        </w:tc>
        <w:tc>
          <w:tcPr>
            <w:tcW w:w="200" w:type="dxa"/>
            <w:vAlign w:val="bottom"/>
          </w:tcPr>
          <w:p>
            <w:pPr>
              <w:spacing w:after="0"/>
              <w:rPr>
                <w:sz w:val="16"/>
                <w:szCs w:val="16"/>
                <w:color w:val="auto"/>
              </w:rPr>
            </w:pPr>
          </w:p>
        </w:tc>
        <w:tc>
          <w:tcPr>
            <w:tcW w:w="70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(13,065)</w:t>
            </w:r>
          </w:p>
        </w:tc>
        <w:tc>
          <w:tcPr>
            <w:tcW w:w="7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37,631</w:t>
            </w:r>
          </w:p>
        </w:tc>
        <w:tc>
          <w:tcPr>
            <w:tcW w:w="24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Inventory write-of </w:t>
            </w:r>
            <w:r>
              <w:rPr>
                <w:rFonts w:ascii="Calibri" w:cs="Calibri" w:eastAsia="Calibri" w:hAnsi="Calibri"/>
                <w:sz w:val="22"/>
                <w:szCs w:val="22"/>
                <w:b w:val="1"/>
                <w:bCs w:val="1"/>
                <w:color w:val="AF0000"/>
                <w:vertAlign w:val="superscript"/>
              </w:rPr>
              <w:t>(1)</w:t>
            </w:r>
          </w:p>
        </w:tc>
        <w:tc>
          <w:tcPr>
            <w:tcW w:w="10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1,752</w:t>
            </w:r>
          </w:p>
        </w:tc>
        <w:tc>
          <w:tcPr>
            <w:tcW w:w="2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ind w:right="99"/>
              <w:spacing w:after="0" w:line="193" w:lineRule="exact"/>
              <w:rPr>
                <w:sz w:val="20"/>
                <w:szCs w:val="20"/>
                <w:color w:val="auto"/>
              </w:rPr>
            </w:pPr>
            <w:r>
              <w:rPr>
                <w:rFonts w:ascii="Calibri" w:cs="Calibri" w:eastAsia="Calibri" w:hAnsi="Calibri"/>
                <w:sz w:val="16"/>
                <w:szCs w:val="16"/>
                <w:color w:val="auto"/>
              </w:rPr>
              <w:t>(465)</w:t>
            </w:r>
          </w:p>
        </w:tc>
        <w:tc>
          <w:tcPr>
            <w:tcW w:w="78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1,287</w:t>
            </w:r>
          </w:p>
        </w:tc>
        <w:tc>
          <w:tcPr>
            <w:tcW w:w="24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460" w:type="dxa"/>
            <w:vAlign w:val="bottom"/>
          </w:tcPr>
          <w:p>
            <w:pPr>
              <w:ind w:left="320"/>
              <w:spacing w:after="0" w:line="187" w:lineRule="exact"/>
              <w:rPr>
                <w:sz w:val="20"/>
                <w:szCs w:val="20"/>
                <w:color w:val="auto"/>
              </w:rPr>
            </w:pPr>
            <w:r>
              <w:rPr>
                <w:rFonts w:ascii="Calibri" w:cs="Calibri" w:eastAsia="Calibri" w:hAnsi="Calibri"/>
                <w:sz w:val="16"/>
                <w:szCs w:val="16"/>
                <w:color w:val="auto"/>
              </w:rPr>
              <w:t>Inventory mark-up related to acquisitons</w:t>
            </w:r>
          </w:p>
        </w:tc>
        <w:tc>
          <w:tcPr>
            <w:tcW w:w="1000" w:type="dxa"/>
            <w:vAlign w:val="bottom"/>
          </w:tcPr>
          <w:p>
            <w:pPr>
              <w:spacing w:after="0"/>
              <w:rPr>
                <w:sz w:val="16"/>
                <w:szCs w:val="16"/>
                <w:color w:val="auto"/>
              </w:rPr>
            </w:pPr>
          </w:p>
        </w:tc>
        <w:tc>
          <w:tcPr>
            <w:tcW w:w="70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191</w:t>
            </w:r>
          </w:p>
        </w:tc>
        <w:tc>
          <w:tcPr>
            <w:tcW w:w="200" w:type="dxa"/>
            <w:vAlign w:val="bottom"/>
          </w:tcPr>
          <w:p>
            <w:pPr>
              <w:spacing w:after="0"/>
              <w:rPr>
                <w:sz w:val="16"/>
                <w:szCs w:val="16"/>
                <w:color w:val="auto"/>
              </w:rPr>
            </w:pPr>
          </w:p>
        </w:tc>
        <w:tc>
          <w:tcPr>
            <w:tcW w:w="700" w:type="dxa"/>
            <w:vAlign w:val="bottom"/>
          </w:tcPr>
          <w:p>
            <w:pPr>
              <w:jc w:val="right"/>
              <w:ind w:right="99"/>
              <w:spacing w:after="0" w:line="187" w:lineRule="exact"/>
              <w:rPr>
                <w:sz w:val="20"/>
                <w:szCs w:val="20"/>
                <w:color w:val="auto"/>
              </w:rPr>
            </w:pPr>
            <w:r>
              <w:rPr>
                <w:rFonts w:ascii="Calibri" w:cs="Calibri" w:eastAsia="Calibri" w:hAnsi="Calibri"/>
                <w:sz w:val="16"/>
                <w:szCs w:val="16"/>
                <w:color w:val="auto"/>
              </w:rPr>
              <w:t>(49)</w:t>
            </w:r>
          </w:p>
        </w:tc>
        <w:tc>
          <w:tcPr>
            <w:tcW w:w="7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142</w:t>
            </w:r>
          </w:p>
        </w:tc>
        <w:tc>
          <w:tcPr>
            <w:tcW w:w="24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460" w:type="dxa"/>
            <w:vAlign w:val="bottom"/>
          </w:tcPr>
          <w:p>
            <w:pPr>
              <w:ind w:left="100"/>
              <w:spacing w:after="0" w:line="187" w:lineRule="exact"/>
              <w:rPr>
                <w:sz w:val="20"/>
                <w:szCs w:val="20"/>
                <w:color w:val="auto"/>
              </w:rPr>
            </w:pPr>
            <w:r>
              <w:rPr>
                <w:rFonts w:ascii="Calibri" w:cs="Calibri" w:eastAsia="Calibri" w:hAnsi="Calibri"/>
                <w:sz w:val="16"/>
                <w:szCs w:val="16"/>
                <w:color w:val="auto"/>
              </w:rPr>
              <w:t>Operatng expenses</w:t>
            </w: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460" w:type="dxa"/>
            <w:vAlign w:val="bottom"/>
          </w:tcPr>
          <w:p>
            <w:pPr>
              <w:ind w:left="320"/>
              <w:spacing w:after="0" w:line="187" w:lineRule="exact"/>
              <w:rPr>
                <w:sz w:val="20"/>
                <w:szCs w:val="20"/>
                <w:color w:val="auto"/>
              </w:rPr>
            </w:pPr>
            <w:r>
              <w:rPr>
                <w:rFonts w:ascii="Calibri" w:cs="Calibri" w:eastAsia="Calibri" w:hAnsi="Calibri"/>
                <w:sz w:val="16"/>
                <w:szCs w:val="16"/>
                <w:color w:val="auto"/>
              </w:rPr>
              <w:t>Contngent consideraton beneft</w:t>
            </w:r>
          </w:p>
        </w:tc>
        <w:tc>
          <w:tcPr>
            <w:tcW w:w="1000" w:type="dxa"/>
            <w:vAlign w:val="bottom"/>
          </w:tcPr>
          <w:p>
            <w:pPr>
              <w:spacing w:after="0"/>
              <w:rPr>
                <w:sz w:val="16"/>
                <w:szCs w:val="16"/>
                <w:color w:val="auto"/>
              </w:rPr>
            </w:pPr>
          </w:p>
        </w:tc>
        <w:tc>
          <w:tcPr>
            <w:tcW w:w="70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(7,960)</w:t>
            </w:r>
          </w:p>
        </w:tc>
        <w:tc>
          <w:tcPr>
            <w:tcW w:w="200" w:type="dxa"/>
            <w:vAlign w:val="bottom"/>
          </w:tcPr>
          <w:p>
            <w:pPr>
              <w:spacing w:after="0"/>
              <w:rPr>
                <w:sz w:val="16"/>
                <w:szCs w:val="16"/>
                <w:color w:val="auto"/>
              </w:rPr>
            </w:pPr>
          </w:p>
        </w:tc>
        <w:tc>
          <w:tcPr>
            <w:tcW w:w="70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466</w:t>
            </w:r>
          </w:p>
        </w:tc>
        <w:tc>
          <w:tcPr>
            <w:tcW w:w="7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(7,494)</w:t>
            </w:r>
          </w:p>
        </w:tc>
        <w:tc>
          <w:tcPr>
            <w:tcW w:w="24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460" w:type="dxa"/>
            <w:vAlign w:val="bottom"/>
          </w:tcPr>
          <w:p>
            <w:pPr>
              <w:ind w:left="320"/>
              <w:spacing w:after="0" w:line="187" w:lineRule="exact"/>
              <w:rPr>
                <w:sz w:val="20"/>
                <w:szCs w:val="20"/>
                <w:color w:val="auto"/>
              </w:rPr>
            </w:pPr>
            <w:r>
              <w:rPr>
                <w:rFonts w:ascii="Calibri" w:cs="Calibri" w:eastAsia="Calibri" w:hAnsi="Calibri"/>
                <w:sz w:val="16"/>
                <w:szCs w:val="16"/>
                <w:color w:val="auto"/>
              </w:rPr>
              <w:t>Impairment charges</w:t>
            </w:r>
          </w:p>
        </w:tc>
        <w:tc>
          <w:tcPr>
            <w:tcW w:w="1000" w:type="dxa"/>
            <w:vAlign w:val="bottom"/>
          </w:tcPr>
          <w:p>
            <w:pPr>
              <w:spacing w:after="0"/>
              <w:rPr>
                <w:sz w:val="16"/>
                <w:szCs w:val="16"/>
                <w:color w:val="auto"/>
              </w:rPr>
            </w:pPr>
          </w:p>
        </w:tc>
        <w:tc>
          <w:tcPr>
            <w:tcW w:w="70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36,504</w:t>
            </w:r>
          </w:p>
        </w:tc>
        <w:tc>
          <w:tcPr>
            <w:tcW w:w="200" w:type="dxa"/>
            <w:vAlign w:val="bottom"/>
          </w:tcPr>
          <w:p>
            <w:pPr>
              <w:spacing w:after="0"/>
              <w:rPr>
                <w:sz w:val="16"/>
                <w:szCs w:val="16"/>
                <w:color w:val="auto"/>
              </w:rPr>
            </w:pPr>
          </w:p>
        </w:tc>
        <w:tc>
          <w:tcPr>
            <w:tcW w:w="70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(7,115)</w:t>
            </w:r>
          </w:p>
        </w:tc>
        <w:tc>
          <w:tcPr>
            <w:tcW w:w="7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29,389</w:t>
            </w:r>
          </w:p>
        </w:tc>
        <w:tc>
          <w:tcPr>
            <w:tcW w:w="24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46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intangibles</w:t>
            </w:r>
          </w:p>
        </w:tc>
        <w:tc>
          <w:tcPr>
            <w:tcW w:w="1000" w:type="dxa"/>
            <w:vAlign w:val="bottom"/>
          </w:tcPr>
          <w:p>
            <w:pPr>
              <w:spacing w:after="0"/>
              <w:rPr>
                <w:sz w:val="16"/>
                <w:szCs w:val="16"/>
                <w:color w:val="auto"/>
              </w:rPr>
            </w:pPr>
          </w:p>
        </w:tc>
        <w:tc>
          <w:tcPr>
            <w:tcW w:w="70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7,943</w:t>
            </w:r>
          </w:p>
        </w:tc>
        <w:tc>
          <w:tcPr>
            <w:tcW w:w="200" w:type="dxa"/>
            <w:vAlign w:val="bottom"/>
          </w:tcPr>
          <w:p>
            <w:pPr>
              <w:spacing w:after="0"/>
              <w:rPr>
                <w:sz w:val="16"/>
                <w:szCs w:val="16"/>
                <w:color w:val="auto"/>
              </w:rPr>
            </w:pPr>
          </w:p>
        </w:tc>
        <w:tc>
          <w:tcPr>
            <w:tcW w:w="70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(2,141)</w:t>
            </w:r>
          </w:p>
        </w:tc>
        <w:tc>
          <w:tcPr>
            <w:tcW w:w="7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5,802</w:t>
            </w:r>
          </w:p>
        </w:tc>
        <w:tc>
          <w:tcPr>
            <w:tcW w:w="24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Performance-based share-based compensaton </w:t>
            </w:r>
            <w:r>
              <w:rPr>
                <w:rFonts w:ascii="Calibri" w:cs="Calibri" w:eastAsia="Calibri" w:hAnsi="Calibri"/>
                <w:sz w:val="22"/>
                <w:szCs w:val="22"/>
                <w:b w:val="1"/>
                <w:bCs w:val="1"/>
                <w:color w:val="AF0000"/>
                <w:vertAlign w:val="superscript"/>
              </w:rPr>
              <w:t>(2)</w:t>
            </w:r>
          </w:p>
        </w:tc>
        <w:tc>
          <w:tcPr>
            <w:tcW w:w="10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3,735</w:t>
            </w:r>
          </w:p>
        </w:tc>
        <w:tc>
          <w:tcPr>
            <w:tcW w:w="2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ind w:right="39"/>
              <w:spacing w:after="0" w:line="193" w:lineRule="exact"/>
              <w:rPr>
                <w:sz w:val="20"/>
                <w:szCs w:val="20"/>
                <w:color w:val="auto"/>
              </w:rPr>
            </w:pPr>
            <w:r>
              <w:rPr>
                <w:rFonts w:ascii="Calibri" w:cs="Calibri" w:eastAsia="Calibri" w:hAnsi="Calibri"/>
                <w:sz w:val="16"/>
                <w:szCs w:val="16"/>
                <w:color w:val="auto"/>
              </w:rPr>
              <w:t>(475)</w:t>
            </w:r>
          </w:p>
        </w:tc>
        <w:tc>
          <w:tcPr>
            <w:tcW w:w="78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3,260</w:t>
            </w:r>
          </w:p>
        </w:tc>
        <w:tc>
          <w:tcPr>
            <w:tcW w:w="24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Corporate transformaton and restructuring </w:t>
            </w:r>
            <w:r>
              <w:rPr>
                <w:rFonts w:ascii="Calibri" w:cs="Calibri" w:eastAsia="Calibri" w:hAnsi="Calibri"/>
                <w:sz w:val="22"/>
                <w:szCs w:val="22"/>
                <w:b w:val="1"/>
                <w:bCs w:val="1"/>
                <w:color w:val="AF0000"/>
                <w:vertAlign w:val="superscript"/>
              </w:rPr>
              <w:t>(3)</w:t>
            </w:r>
          </w:p>
        </w:tc>
        <w:tc>
          <w:tcPr>
            <w:tcW w:w="10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14,175</w:t>
            </w:r>
          </w:p>
        </w:tc>
        <w:tc>
          <w:tcPr>
            <w:tcW w:w="2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ind w:right="39"/>
              <w:spacing w:after="0" w:line="193" w:lineRule="exact"/>
              <w:rPr>
                <w:sz w:val="20"/>
                <w:szCs w:val="20"/>
                <w:color w:val="auto"/>
              </w:rPr>
            </w:pPr>
            <w:r>
              <w:rPr>
                <w:rFonts w:ascii="Calibri" w:cs="Calibri" w:eastAsia="Calibri" w:hAnsi="Calibri"/>
                <w:sz w:val="16"/>
                <w:szCs w:val="16"/>
                <w:color w:val="auto"/>
              </w:rPr>
              <w:t>(3,700)</w:t>
            </w:r>
          </w:p>
        </w:tc>
        <w:tc>
          <w:tcPr>
            <w:tcW w:w="78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10,475</w:t>
            </w:r>
          </w:p>
        </w:tc>
        <w:tc>
          <w:tcPr>
            <w:tcW w:w="24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460" w:type="dxa"/>
            <w:vAlign w:val="bottom"/>
          </w:tcPr>
          <w:p>
            <w:pPr>
              <w:ind w:left="320"/>
              <w:spacing w:after="0" w:line="187" w:lineRule="exact"/>
              <w:rPr>
                <w:sz w:val="20"/>
                <w:szCs w:val="20"/>
                <w:color w:val="auto"/>
              </w:rPr>
            </w:pPr>
            <w:r>
              <w:rPr>
                <w:rFonts w:ascii="Calibri" w:cs="Calibri" w:eastAsia="Calibri" w:hAnsi="Calibri"/>
                <w:sz w:val="16"/>
                <w:szCs w:val="16"/>
                <w:color w:val="auto"/>
              </w:rPr>
              <w:t>Acquisiton-related</w:t>
            </w:r>
          </w:p>
        </w:tc>
        <w:tc>
          <w:tcPr>
            <w:tcW w:w="1000" w:type="dxa"/>
            <w:vAlign w:val="bottom"/>
          </w:tcPr>
          <w:p>
            <w:pPr>
              <w:spacing w:after="0"/>
              <w:rPr>
                <w:sz w:val="16"/>
                <w:szCs w:val="16"/>
                <w:color w:val="auto"/>
              </w:rPr>
            </w:pPr>
          </w:p>
        </w:tc>
        <w:tc>
          <w:tcPr>
            <w:tcW w:w="70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1,229</w:t>
            </w:r>
          </w:p>
        </w:tc>
        <w:tc>
          <w:tcPr>
            <w:tcW w:w="200" w:type="dxa"/>
            <w:vAlign w:val="bottom"/>
          </w:tcPr>
          <w:p>
            <w:pPr>
              <w:spacing w:after="0"/>
              <w:rPr>
                <w:sz w:val="16"/>
                <w:szCs w:val="16"/>
                <w:color w:val="auto"/>
              </w:rPr>
            </w:pPr>
          </w:p>
        </w:tc>
        <w:tc>
          <w:tcPr>
            <w:tcW w:w="70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(317)</w:t>
            </w:r>
          </w:p>
        </w:tc>
        <w:tc>
          <w:tcPr>
            <w:tcW w:w="7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912</w:t>
            </w:r>
          </w:p>
        </w:tc>
        <w:tc>
          <w:tcPr>
            <w:tcW w:w="24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Medical Device Regulaton expenses </w:t>
            </w:r>
            <w:r>
              <w:rPr>
                <w:rFonts w:ascii="Calibri" w:cs="Calibri" w:eastAsia="Calibri" w:hAnsi="Calibri"/>
                <w:sz w:val="22"/>
                <w:szCs w:val="22"/>
                <w:b w:val="1"/>
                <w:bCs w:val="1"/>
                <w:color w:val="AF0000"/>
                <w:vertAlign w:val="superscript"/>
              </w:rPr>
              <w:t>(4)</w:t>
            </w:r>
          </w:p>
        </w:tc>
        <w:tc>
          <w:tcPr>
            <w:tcW w:w="10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1,379</w:t>
            </w:r>
          </w:p>
        </w:tc>
        <w:tc>
          <w:tcPr>
            <w:tcW w:w="2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ind w:right="39"/>
              <w:spacing w:after="0" w:line="193" w:lineRule="exact"/>
              <w:rPr>
                <w:sz w:val="20"/>
                <w:szCs w:val="20"/>
                <w:color w:val="auto"/>
              </w:rPr>
            </w:pPr>
            <w:r>
              <w:rPr>
                <w:rFonts w:ascii="Calibri" w:cs="Calibri" w:eastAsia="Calibri" w:hAnsi="Calibri"/>
                <w:sz w:val="16"/>
                <w:szCs w:val="16"/>
                <w:color w:val="auto"/>
              </w:rPr>
              <w:t>(359)</w:t>
            </w:r>
          </w:p>
        </w:tc>
        <w:tc>
          <w:tcPr>
            <w:tcW w:w="78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1,020</w:t>
            </w:r>
          </w:p>
        </w:tc>
        <w:tc>
          <w:tcPr>
            <w:tcW w:w="24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Other </w:t>
            </w:r>
            <w:r>
              <w:rPr>
                <w:rFonts w:ascii="Calibri" w:cs="Calibri" w:eastAsia="Calibri" w:hAnsi="Calibri"/>
                <w:sz w:val="22"/>
                <w:szCs w:val="22"/>
                <w:b w:val="1"/>
                <w:bCs w:val="1"/>
                <w:color w:val="AF0000"/>
                <w:vertAlign w:val="superscript"/>
              </w:rPr>
              <w:t>(5)</w:t>
            </w:r>
          </w:p>
        </w:tc>
        <w:tc>
          <w:tcPr>
            <w:tcW w:w="10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24,438</w:t>
            </w:r>
          </w:p>
        </w:tc>
        <w:tc>
          <w:tcPr>
            <w:tcW w:w="2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ind w:right="39"/>
              <w:spacing w:after="0" w:line="193" w:lineRule="exact"/>
              <w:rPr>
                <w:sz w:val="20"/>
                <w:szCs w:val="20"/>
                <w:color w:val="auto"/>
              </w:rPr>
            </w:pPr>
            <w:r>
              <w:rPr>
                <w:rFonts w:ascii="Calibri" w:cs="Calibri" w:eastAsia="Calibri" w:hAnsi="Calibri"/>
                <w:sz w:val="16"/>
                <w:szCs w:val="16"/>
                <w:color w:val="auto"/>
              </w:rPr>
              <w:t>(3,815)</w:t>
            </w:r>
          </w:p>
        </w:tc>
        <w:tc>
          <w:tcPr>
            <w:tcW w:w="78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20,623</w:t>
            </w:r>
          </w:p>
        </w:tc>
        <w:tc>
          <w:tcPr>
            <w:tcW w:w="24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460" w:type="dxa"/>
            <w:vAlign w:val="bottom"/>
          </w:tcPr>
          <w:p>
            <w:pPr>
              <w:ind w:left="100"/>
              <w:spacing w:after="0" w:line="187" w:lineRule="exact"/>
              <w:rPr>
                <w:sz w:val="20"/>
                <w:szCs w:val="20"/>
                <w:color w:val="auto"/>
              </w:rPr>
            </w:pPr>
            <w:r>
              <w:rPr>
                <w:rFonts w:ascii="Calibri" w:cs="Calibri" w:eastAsia="Calibri" w:hAnsi="Calibri"/>
                <w:sz w:val="16"/>
                <w:szCs w:val="16"/>
                <w:color w:val="auto"/>
              </w:rPr>
              <w:t>Other (Income) Expense</w:t>
            </w: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46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long-term debt issuance costs</w:t>
            </w:r>
          </w:p>
        </w:tc>
        <w:tc>
          <w:tcPr>
            <w:tcW w:w="1000" w:type="dxa"/>
            <w:vAlign w:val="bottom"/>
          </w:tcPr>
          <w:p>
            <w:pPr>
              <w:spacing w:after="0"/>
              <w:rPr>
                <w:sz w:val="16"/>
                <w:szCs w:val="16"/>
                <w:color w:val="auto"/>
              </w:rPr>
            </w:pPr>
          </w:p>
        </w:tc>
        <w:tc>
          <w:tcPr>
            <w:tcW w:w="70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604</w:t>
            </w:r>
          </w:p>
        </w:tc>
        <w:tc>
          <w:tcPr>
            <w:tcW w:w="200" w:type="dxa"/>
            <w:vAlign w:val="bottom"/>
          </w:tcPr>
          <w:p>
            <w:pPr>
              <w:spacing w:after="0"/>
              <w:rPr>
                <w:sz w:val="16"/>
                <w:szCs w:val="16"/>
                <w:color w:val="auto"/>
              </w:rPr>
            </w:pPr>
          </w:p>
        </w:tc>
        <w:tc>
          <w:tcPr>
            <w:tcW w:w="70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(155)</w:t>
            </w:r>
          </w:p>
        </w:tc>
        <w:tc>
          <w:tcPr>
            <w:tcW w:w="7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449</w:t>
            </w:r>
          </w:p>
        </w:tc>
        <w:tc>
          <w:tcPr>
            <w:tcW w:w="24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460" w:type="dxa"/>
            <w:vAlign w:val="bottom"/>
          </w:tcPr>
          <w:p>
            <w:pPr>
              <w:ind w:left="320"/>
              <w:spacing w:after="0" w:line="187" w:lineRule="exact"/>
              <w:rPr>
                <w:sz w:val="20"/>
                <w:szCs w:val="20"/>
                <w:color w:val="auto"/>
              </w:rPr>
            </w:pPr>
            <w:r>
              <w:rPr>
                <w:rFonts w:ascii="Calibri" w:cs="Calibri" w:eastAsia="Calibri" w:hAnsi="Calibri"/>
                <w:sz w:val="16"/>
                <w:szCs w:val="16"/>
                <w:color w:val="auto"/>
              </w:rPr>
              <w:t>Gain on disposal of business unit</w:t>
            </w:r>
          </w:p>
        </w:tc>
        <w:tc>
          <w:tcPr>
            <w:tcW w:w="1000" w:type="dxa"/>
            <w:vAlign w:val="bottom"/>
          </w:tcPr>
          <w:p>
            <w:pPr>
              <w:spacing w:after="0"/>
              <w:rPr>
                <w:sz w:val="16"/>
                <w:szCs w:val="16"/>
                <w:color w:val="auto"/>
              </w:rPr>
            </w:pPr>
          </w:p>
        </w:tc>
        <w:tc>
          <w:tcPr>
            <w:tcW w:w="70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(517)</w:t>
            </w:r>
          </w:p>
        </w:tc>
        <w:tc>
          <w:tcPr>
            <w:tcW w:w="200" w:type="dxa"/>
            <w:vAlign w:val="bottom"/>
          </w:tcPr>
          <w:p>
            <w:pPr>
              <w:spacing w:after="0"/>
              <w:rPr>
                <w:sz w:val="16"/>
                <w:szCs w:val="16"/>
                <w:color w:val="auto"/>
              </w:rPr>
            </w:pPr>
          </w:p>
        </w:tc>
        <w:tc>
          <w:tcPr>
            <w:tcW w:w="70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133</w:t>
            </w:r>
          </w:p>
        </w:tc>
        <w:tc>
          <w:tcPr>
            <w:tcW w:w="78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(384)</w:t>
            </w:r>
          </w:p>
        </w:tc>
        <w:tc>
          <w:tcPr>
            <w:tcW w:w="240" w:type="dxa"/>
            <w:vAlign w:val="bottom"/>
          </w:tcPr>
          <w:p>
            <w:pPr>
              <w:spacing w:after="0"/>
              <w:rPr>
                <w:sz w:val="16"/>
                <w:szCs w:val="16"/>
                <w:color w:val="auto"/>
              </w:rPr>
            </w:pPr>
          </w:p>
        </w:tc>
        <w:tc>
          <w:tcPr>
            <w:tcW w:w="500" w:type="dxa"/>
            <w:vAlign w:val="bottom"/>
          </w:tcPr>
          <w:p>
            <w:pPr>
              <w:jc w:val="right"/>
              <w:spacing w:after="0" w:line="187" w:lineRule="exact"/>
              <w:rPr>
                <w:sz w:val="20"/>
                <w:szCs w:val="20"/>
                <w:color w:val="auto"/>
              </w:rPr>
            </w:pPr>
            <w:r>
              <w:rPr>
                <w:rFonts w:ascii="Calibri" w:cs="Calibri" w:eastAsia="Calibri" w:hAnsi="Calibri"/>
                <w:sz w:val="16"/>
                <w:szCs w:val="16"/>
                <w:color w:val="auto"/>
              </w:rPr>
              <w:t>(0.01)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60" w:type="dxa"/>
            <w:vAlign w:val="bottom"/>
            <w:tcBorders>
              <w:bottom w:val="single" w:sz="8" w:color="A6A6A6"/>
            </w:tcBorders>
          </w:tcPr>
          <w:p>
            <w:pPr>
              <w:spacing w:after="0" w:line="183" w:lineRule="exact"/>
              <w:rPr>
                <w:sz w:val="20"/>
                <w:szCs w:val="20"/>
                <w:color w:val="auto"/>
              </w:rPr>
            </w:pPr>
            <w:r>
              <w:rPr>
                <w:rFonts w:ascii="Calibri" w:cs="Calibri" w:eastAsia="Calibri" w:hAnsi="Calibri"/>
                <w:sz w:val="16"/>
                <w:szCs w:val="16"/>
                <w:color w:val="auto"/>
              </w:rPr>
              <w:t>Non-GAAP net income</w:t>
            </w:r>
          </w:p>
        </w:tc>
        <w:tc>
          <w:tcPr>
            <w:tcW w:w="100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700" w:type="dxa"/>
            <w:vAlign w:val="bottom"/>
            <w:tcBorders>
              <w:bottom w:val="single" w:sz="8" w:color="A6A6A6"/>
            </w:tcBorders>
          </w:tcPr>
          <w:p>
            <w:pPr>
              <w:jc w:val="right"/>
              <w:ind w:right="19"/>
              <w:spacing w:after="0" w:line="183" w:lineRule="exact"/>
              <w:rPr>
                <w:sz w:val="20"/>
                <w:szCs w:val="20"/>
                <w:color w:val="auto"/>
              </w:rPr>
            </w:pPr>
            <w:r>
              <w:rPr>
                <w:rFonts w:ascii="Calibri" w:cs="Calibri" w:eastAsia="Calibri" w:hAnsi="Calibri"/>
                <w:sz w:val="16"/>
                <w:szCs w:val="16"/>
                <w:color w:val="auto"/>
              </w:rPr>
              <w:t>120,938</w:t>
            </w:r>
          </w:p>
        </w:tc>
        <w:tc>
          <w:tcPr>
            <w:tcW w:w="200" w:type="dxa"/>
            <w:vAlign w:val="bottom"/>
            <w:tcBorders>
              <w:bottom w:val="single" w:sz="8" w:color="A6A6A6"/>
            </w:tcBorders>
          </w:tcPr>
          <w:p>
            <w:pPr>
              <w:ind w:left="100"/>
              <w:spacing w:after="0" w:line="183" w:lineRule="exact"/>
              <w:rPr>
                <w:sz w:val="20"/>
                <w:szCs w:val="20"/>
                <w:color w:val="auto"/>
              </w:rPr>
            </w:pPr>
            <w:r>
              <w:rPr>
                <w:rFonts w:ascii="Calibri" w:cs="Calibri" w:eastAsia="Calibri" w:hAnsi="Calibri"/>
                <w:sz w:val="16"/>
                <w:szCs w:val="16"/>
                <w:color w:val="auto"/>
                <w:w w:val="97"/>
              </w:rPr>
              <w:t>$</w:t>
            </w:r>
          </w:p>
        </w:tc>
        <w:tc>
          <w:tcPr>
            <w:tcW w:w="70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color w:val="auto"/>
              </w:rPr>
              <w:t>(27,669)</w:t>
            </w:r>
          </w:p>
        </w:tc>
        <w:tc>
          <w:tcPr>
            <w:tcW w:w="780" w:type="dxa"/>
            <w:vAlign w:val="bottom"/>
            <w:tcBorders>
              <w:bottom w:val="single" w:sz="8" w:color="A6A6A6"/>
            </w:tcBorders>
          </w:tcPr>
          <w:p>
            <w:pPr>
              <w:jc w:val="right"/>
              <w:ind w:right="19"/>
              <w:spacing w:after="0" w:line="183" w:lineRule="exact"/>
              <w:rPr>
                <w:sz w:val="20"/>
                <w:szCs w:val="20"/>
                <w:color w:val="auto"/>
              </w:rPr>
            </w:pPr>
            <w:r>
              <w:rPr>
                <w:rFonts w:ascii="Calibri" w:cs="Calibri" w:eastAsia="Calibri" w:hAnsi="Calibri"/>
                <w:sz w:val="16"/>
                <w:szCs w:val="16"/>
                <w:color w:val="auto"/>
              </w:rPr>
              <w:t>$ 93,269</w:t>
            </w:r>
          </w:p>
        </w:tc>
        <w:tc>
          <w:tcPr>
            <w:tcW w:w="240" w:type="dxa"/>
            <w:vAlign w:val="bottom"/>
            <w:tcBorders>
              <w:bottom w:val="single" w:sz="8" w:color="A6A6A6"/>
            </w:tcBorders>
          </w:tcPr>
          <w:p>
            <w:pPr>
              <w:ind w:left="100"/>
              <w:spacing w:after="0" w:line="183" w:lineRule="exact"/>
              <w:rPr>
                <w:sz w:val="20"/>
                <w:szCs w:val="20"/>
                <w:color w:val="auto"/>
              </w:rPr>
            </w:pPr>
            <w:r>
              <w:rPr>
                <w:rFonts w:ascii="Calibri" w:cs="Calibri" w:eastAsia="Calibri" w:hAnsi="Calibri"/>
                <w:sz w:val="16"/>
                <w:szCs w:val="16"/>
                <w:color w:val="auto"/>
              </w:rPr>
              <w:t>$</w:t>
            </w:r>
          </w:p>
        </w:tc>
        <w:tc>
          <w:tcPr>
            <w:tcW w:w="50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1.65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6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60" w:type="dxa"/>
            <w:vAlign w:val="bottom"/>
            <w:tcBorders>
              <w:bottom w:val="single" w:sz="8" w:color="AF0000"/>
            </w:tcBorders>
          </w:tcPr>
          <w:p>
            <w:pPr>
              <w:spacing w:after="0" w:line="183" w:lineRule="exact"/>
              <w:rPr>
                <w:sz w:val="20"/>
                <w:szCs w:val="20"/>
                <w:color w:val="auto"/>
              </w:rPr>
            </w:pPr>
            <w:r>
              <w:rPr>
                <w:rFonts w:ascii="Calibri" w:cs="Calibri" w:eastAsia="Calibri" w:hAnsi="Calibri"/>
                <w:sz w:val="16"/>
                <w:szCs w:val="16"/>
                <w:color w:val="auto"/>
              </w:rPr>
              <w:t>Diluted shares</w:t>
            </w:r>
          </w:p>
        </w:tc>
        <w:tc>
          <w:tcPr>
            <w:tcW w:w="1000" w:type="dxa"/>
            <w:vAlign w:val="bottom"/>
            <w:tcBorders>
              <w:bottom w:val="single" w:sz="8" w:color="AF0000"/>
            </w:tcBorders>
          </w:tcPr>
          <w:p>
            <w:pPr>
              <w:spacing w:after="0"/>
              <w:rPr>
                <w:sz w:val="16"/>
                <w:szCs w:val="16"/>
                <w:color w:val="auto"/>
              </w:rPr>
            </w:pPr>
          </w:p>
        </w:tc>
        <w:tc>
          <w:tcPr>
            <w:tcW w:w="700" w:type="dxa"/>
            <w:vAlign w:val="bottom"/>
            <w:tcBorders>
              <w:bottom w:val="single" w:sz="8" w:color="AF0000"/>
            </w:tcBorders>
          </w:tcPr>
          <w:p>
            <w:pPr>
              <w:spacing w:after="0"/>
              <w:rPr>
                <w:sz w:val="16"/>
                <w:szCs w:val="16"/>
                <w:color w:val="auto"/>
              </w:rPr>
            </w:pPr>
          </w:p>
        </w:tc>
        <w:tc>
          <w:tcPr>
            <w:tcW w:w="200" w:type="dxa"/>
            <w:vAlign w:val="bottom"/>
            <w:tcBorders>
              <w:bottom w:val="single" w:sz="8" w:color="AF0000"/>
            </w:tcBorders>
          </w:tcPr>
          <w:p>
            <w:pPr>
              <w:spacing w:after="0"/>
              <w:rPr>
                <w:sz w:val="16"/>
                <w:szCs w:val="16"/>
                <w:color w:val="auto"/>
              </w:rPr>
            </w:pPr>
          </w:p>
        </w:tc>
        <w:tc>
          <w:tcPr>
            <w:tcW w:w="700" w:type="dxa"/>
            <w:vAlign w:val="bottom"/>
            <w:tcBorders>
              <w:bottom w:val="single" w:sz="8" w:color="AF0000"/>
            </w:tcBorders>
          </w:tcPr>
          <w:p>
            <w:pPr>
              <w:spacing w:after="0"/>
              <w:rPr>
                <w:sz w:val="16"/>
                <w:szCs w:val="16"/>
                <w:color w:val="auto"/>
              </w:rPr>
            </w:pPr>
          </w:p>
        </w:tc>
        <w:tc>
          <w:tcPr>
            <w:tcW w:w="780" w:type="dxa"/>
            <w:vAlign w:val="bottom"/>
            <w:tcBorders>
              <w:bottom w:val="single" w:sz="8" w:color="AF0000"/>
            </w:tcBorders>
          </w:tcPr>
          <w:p>
            <w:pPr>
              <w:spacing w:after="0"/>
              <w:rPr>
                <w:sz w:val="16"/>
                <w:szCs w:val="16"/>
                <w:color w:val="auto"/>
              </w:rPr>
            </w:pPr>
          </w:p>
        </w:tc>
        <w:tc>
          <w:tcPr>
            <w:tcW w:w="240" w:type="dxa"/>
            <w:vAlign w:val="bottom"/>
            <w:tcBorders>
              <w:bottom w:val="single" w:sz="8" w:color="AF0000"/>
            </w:tcBorders>
          </w:tcPr>
          <w:p>
            <w:pPr>
              <w:spacing w:after="0"/>
              <w:rPr>
                <w:sz w:val="16"/>
                <w:szCs w:val="16"/>
                <w:color w:val="auto"/>
              </w:rPr>
            </w:pPr>
          </w:p>
        </w:tc>
        <w:tc>
          <w:tcPr>
            <w:tcW w:w="500" w:type="dxa"/>
            <w:vAlign w:val="bottom"/>
            <w:tcBorders>
              <w:bottom w:val="single" w:sz="8" w:color="AF0000"/>
            </w:tcBorders>
          </w:tcPr>
          <w:p>
            <w:pPr>
              <w:jc w:val="right"/>
              <w:spacing w:after="0" w:line="183" w:lineRule="exact"/>
              <w:rPr>
                <w:sz w:val="20"/>
                <w:szCs w:val="20"/>
                <w:color w:val="auto"/>
              </w:rPr>
            </w:pPr>
            <w:r>
              <w:rPr>
                <w:rFonts w:ascii="Calibri" w:cs="Calibri" w:eastAsia="Calibri" w:hAnsi="Calibri"/>
                <w:sz w:val="16"/>
                <w:szCs w:val="16"/>
                <w:color w:val="auto"/>
              </w:rPr>
              <w:t>56,374</w:t>
            </w:r>
          </w:p>
        </w:tc>
        <w:tc>
          <w:tcPr>
            <w:tcW w:w="20" w:type="dxa"/>
            <w:vAlign w:val="bottom"/>
            <w:tcBorders>
              <w:bottom w:val="single" w:sz="8" w:color="AF0000"/>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99" w:name="page100"/>
    <w:bookmarkEnd w:id="99"/>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OTHER PROXY INFORMATION</w:t>
      </w:r>
    </w:p>
    <w:p>
      <w:pPr>
        <w:spacing w:after="0" w:line="131" w:lineRule="exact"/>
        <w:rPr>
          <w:sz w:val="20"/>
          <w:szCs w:val="20"/>
          <w:color w:val="auto"/>
        </w:rPr>
      </w:pPr>
    </w:p>
    <w:p>
      <w:pPr>
        <w:ind w:left="2040"/>
        <w:spacing w:after="0"/>
        <w:rPr>
          <w:sz w:val="20"/>
          <w:szCs w:val="20"/>
          <w:color w:val="auto"/>
        </w:rPr>
      </w:pPr>
      <w:r>
        <w:rPr>
          <w:rFonts w:ascii="Calibri" w:cs="Calibri" w:eastAsia="Calibri" w:hAnsi="Calibri"/>
          <w:sz w:val="18"/>
          <w:szCs w:val="18"/>
          <w:b w:val="1"/>
          <w:bCs w:val="1"/>
          <w:color w:val="auto"/>
        </w:rPr>
        <w:t>RECONCILIATION OF GAAP NET INCOME AND EARNINGS PER SHARE</w:t>
      </w:r>
    </w:p>
    <w:p>
      <w:pPr>
        <w:spacing w:after="0" w:line="37" w:lineRule="exact"/>
        <w:rPr>
          <w:sz w:val="20"/>
          <w:szCs w:val="20"/>
          <w:color w:val="auto"/>
        </w:rPr>
      </w:pPr>
    </w:p>
    <w:p>
      <w:pPr>
        <w:ind w:left="2480"/>
        <w:spacing w:after="0"/>
        <w:rPr>
          <w:sz w:val="20"/>
          <w:szCs w:val="20"/>
          <w:color w:val="auto"/>
        </w:rPr>
      </w:pPr>
      <w:r>
        <w:rPr>
          <w:rFonts w:ascii="Calibri" w:cs="Calibri" w:eastAsia="Calibri" w:hAnsi="Calibri"/>
          <w:sz w:val="18"/>
          <w:szCs w:val="18"/>
          <w:b w:val="1"/>
          <w:bCs w:val="1"/>
          <w:color w:val="auto"/>
        </w:rPr>
        <w:t>TO NON-GAAP NET INCOME AND EARNINGS PER SHARE</w:t>
      </w:r>
    </w:p>
    <w:p>
      <w:pPr>
        <w:spacing w:after="0" w:line="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(UNAUDITED,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134620</wp:posOffset>
            </wp:positionV>
            <wp:extent cx="545211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00" w:type="dxa"/>
            <w:vAlign w:val="bottom"/>
            <w:gridSpan w:val="6"/>
          </w:tcPr>
          <w:p>
            <w:pPr>
              <w:jc w:val="right"/>
              <w:ind w:right="19"/>
              <w:spacing w:after="0"/>
              <w:rPr>
                <w:sz w:val="20"/>
                <w:szCs w:val="20"/>
                <w:color w:val="auto"/>
              </w:rPr>
            </w:pPr>
            <w:r>
              <w:rPr>
                <w:rFonts w:ascii="Calibri" w:cs="Calibri" w:eastAsia="Calibri" w:hAnsi="Calibri"/>
                <w:sz w:val="16"/>
                <w:szCs w:val="16"/>
                <w:b w:val="1"/>
                <w:bCs w:val="1"/>
                <w:color w:val="auto"/>
              </w:rPr>
              <w:t>Year Ended December 31, 2019</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Calibri" w:cs="Calibri" w:eastAsia="Calibri" w:hAnsi="Calibri"/>
                <w:sz w:val="16"/>
                <w:szCs w:val="16"/>
                <w:b w:val="1"/>
                <w:bCs w:val="1"/>
                <w:color w:val="auto"/>
              </w:rPr>
              <w:t>Per Share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AF0000"/>
            </w:tcBorders>
          </w:tcPr>
          <w:p>
            <w:pPr>
              <w:spacing w:after="0"/>
              <w:rPr>
                <w:sz w:val="19"/>
                <w:szCs w:val="19"/>
                <w:color w:val="auto"/>
              </w:rPr>
            </w:pPr>
          </w:p>
        </w:tc>
        <w:tc>
          <w:tcPr>
            <w:tcW w:w="1060" w:type="dxa"/>
            <w:vAlign w:val="bottom"/>
            <w:tcBorders>
              <w:bottom w:val="single" w:sz="8" w:color="AF0000"/>
            </w:tcBorders>
          </w:tcPr>
          <w:p>
            <w:pPr>
              <w:spacing w:after="0"/>
              <w:rPr>
                <w:sz w:val="19"/>
                <w:szCs w:val="19"/>
                <w:color w:val="auto"/>
              </w:rPr>
            </w:pPr>
          </w:p>
        </w:tc>
        <w:tc>
          <w:tcPr>
            <w:tcW w:w="660" w:type="dxa"/>
            <w:vAlign w:val="bottom"/>
            <w:tcBorders>
              <w:bottom w:val="single" w:sz="8" w:color="AF0000"/>
            </w:tcBorders>
          </w:tcPr>
          <w:p>
            <w:pPr>
              <w:jc w:val="right"/>
              <w:spacing w:after="0"/>
              <w:rPr>
                <w:sz w:val="20"/>
                <w:szCs w:val="20"/>
                <w:color w:val="auto"/>
              </w:rPr>
            </w:pPr>
            <w:r>
              <w:rPr>
                <w:rFonts w:ascii="Calibri" w:cs="Calibri" w:eastAsia="Calibri" w:hAnsi="Calibri"/>
                <w:sz w:val="16"/>
                <w:szCs w:val="16"/>
                <w:b w:val="1"/>
                <w:bCs w:val="1"/>
                <w:color w:val="auto"/>
              </w:rPr>
              <w:t>Pre-Tax</w:t>
            </w:r>
          </w:p>
        </w:tc>
        <w:tc>
          <w:tcPr>
            <w:tcW w:w="180" w:type="dxa"/>
            <w:vAlign w:val="bottom"/>
            <w:tcBorders>
              <w:bottom w:val="single" w:sz="8" w:color="AF0000"/>
            </w:tcBorders>
          </w:tcPr>
          <w:p>
            <w:pPr>
              <w:spacing w:after="0"/>
              <w:rPr>
                <w:sz w:val="19"/>
                <w:szCs w:val="19"/>
                <w:color w:val="auto"/>
              </w:rPr>
            </w:pPr>
          </w:p>
        </w:tc>
        <w:tc>
          <w:tcPr>
            <w:tcW w:w="820" w:type="dxa"/>
            <w:vAlign w:val="bottom"/>
            <w:tcBorders>
              <w:bottom w:val="single" w:sz="8" w:color="AF0000"/>
            </w:tcBorders>
          </w:tcPr>
          <w:p>
            <w:pPr>
              <w:jc w:val="right"/>
              <w:ind w:right="19"/>
              <w:spacing w:after="0"/>
              <w:rPr>
                <w:sz w:val="20"/>
                <w:szCs w:val="20"/>
                <w:color w:val="auto"/>
              </w:rPr>
            </w:pPr>
            <w:r>
              <w:rPr>
                <w:rFonts w:ascii="Calibri" w:cs="Calibri" w:eastAsia="Calibri" w:hAnsi="Calibri"/>
                <w:sz w:val="16"/>
                <w:szCs w:val="16"/>
                <w:b w:val="1"/>
                <w:bCs w:val="1"/>
                <w:color w:val="auto"/>
                <w:w w:val="96"/>
              </w:rPr>
              <w:t>Tax Impact</w:t>
            </w:r>
          </w:p>
        </w:tc>
        <w:tc>
          <w:tcPr>
            <w:tcW w:w="820" w:type="dxa"/>
            <w:vAlign w:val="bottom"/>
            <w:tcBorders>
              <w:bottom w:val="single" w:sz="8" w:color="AF0000"/>
            </w:tcBorders>
            <w:gridSpan w:val="2"/>
          </w:tcPr>
          <w:p>
            <w:pPr>
              <w:ind w:left="100"/>
              <w:spacing w:after="0"/>
              <w:rPr>
                <w:sz w:val="20"/>
                <w:szCs w:val="20"/>
                <w:color w:val="auto"/>
              </w:rPr>
            </w:pPr>
            <w:r>
              <w:rPr>
                <w:rFonts w:ascii="Calibri" w:cs="Calibri" w:eastAsia="Calibri" w:hAnsi="Calibri"/>
                <w:sz w:val="16"/>
                <w:szCs w:val="16"/>
                <w:b w:val="1"/>
                <w:bCs w:val="1"/>
                <w:color w:val="auto"/>
              </w:rPr>
              <w:t>Afer-Tax</w:t>
            </w:r>
          </w:p>
        </w:tc>
        <w:tc>
          <w:tcPr>
            <w:tcW w:w="740" w:type="dxa"/>
            <w:vAlign w:val="bottom"/>
            <w:tcBorders>
              <w:bottom w:val="single" w:sz="8" w:color="AF0000"/>
            </w:tcBorders>
            <w:gridSpan w:val="2"/>
          </w:tcPr>
          <w:p>
            <w:pPr>
              <w:jc w:val="right"/>
              <w:ind w:right="59"/>
              <w:spacing w:after="0"/>
              <w:rPr>
                <w:sz w:val="20"/>
                <w:szCs w:val="20"/>
                <w:color w:val="auto"/>
              </w:rPr>
            </w:pPr>
            <w:r>
              <w:rPr>
                <w:rFonts w:ascii="Calibri" w:cs="Calibri" w:eastAsia="Calibri" w:hAnsi="Calibri"/>
                <w:sz w:val="16"/>
                <w:szCs w:val="16"/>
                <w:b w:val="1"/>
                <w:bCs w:val="1"/>
                <w:color w:val="auto"/>
              </w:rPr>
              <w:t>Impact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tcBorders>
              <w:bottom w:val="single" w:sz="8" w:color="A6A6A6"/>
            </w:tcBorders>
          </w:tcPr>
          <w:p>
            <w:pPr>
              <w:spacing w:after="0" w:line="189" w:lineRule="exact"/>
              <w:rPr>
                <w:sz w:val="20"/>
                <w:szCs w:val="20"/>
                <w:color w:val="auto"/>
              </w:rPr>
            </w:pPr>
            <w:r>
              <w:rPr>
                <w:rFonts w:ascii="Calibri" w:cs="Calibri" w:eastAsia="Calibri" w:hAnsi="Calibri"/>
                <w:sz w:val="16"/>
                <w:szCs w:val="16"/>
                <w:color w:val="auto"/>
              </w:rPr>
              <w:t>GAAP net income</w:t>
            </w:r>
          </w:p>
        </w:tc>
        <w:tc>
          <w:tcPr>
            <w:tcW w:w="106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660" w:type="dxa"/>
            <w:vAlign w:val="bottom"/>
            <w:tcBorders>
              <w:bottom w:val="single" w:sz="8" w:color="A6A6A6"/>
            </w:tcBorders>
          </w:tcPr>
          <w:p>
            <w:pPr>
              <w:jc w:val="right"/>
              <w:ind w:right="19"/>
              <w:spacing w:after="0" w:line="189" w:lineRule="exact"/>
              <w:rPr>
                <w:sz w:val="20"/>
                <w:szCs w:val="20"/>
                <w:color w:val="auto"/>
              </w:rPr>
            </w:pPr>
            <w:r>
              <w:rPr>
                <w:rFonts w:ascii="Calibri" w:cs="Calibri" w:eastAsia="Calibri" w:hAnsi="Calibri"/>
                <w:sz w:val="16"/>
                <w:szCs w:val="16"/>
                <w:color w:val="auto"/>
              </w:rPr>
              <w:t>2,193</w:t>
            </w:r>
          </w:p>
        </w:tc>
        <w:tc>
          <w:tcPr>
            <w:tcW w:w="18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820" w:type="dxa"/>
            <w:vAlign w:val="bottom"/>
            <w:tcBorders>
              <w:bottom w:val="single" w:sz="8" w:color="A6A6A6"/>
            </w:tcBorders>
          </w:tcPr>
          <w:p>
            <w:pPr>
              <w:jc w:val="right"/>
              <w:ind w:right="119"/>
              <w:spacing w:after="0" w:line="189" w:lineRule="exact"/>
              <w:rPr>
                <w:sz w:val="20"/>
                <w:szCs w:val="20"/>
                <w:color w:val="auto"/>
              </w:rPr>
            </w:pPr>
            <w:r>
              <w:rPr>
                <w:rFonts w:ascii="Calibri" w:cs="Calibri" w:eastAsia="Calibri" w:hAnsi="Calibri"/>
                <w:sz w:val="16"/>
                <w:szCs w:val="16"/>
                <w:color w:val="auto"/>
              </w:rPr>
              <w:t>3,258</w:t>
            </w:r>
          </w:p>
        </w:tc>
        <w:tc>
          <w:tcPr>
            <w:tcW w:w="260" w:type="dxa"/>
            <w:vAlign w:val="bottom"/>
            <w:tcBorders>
              <w:bottom w:val="single" w:sz="8" w:color="A6A6A6"/>
            </w:tcBorders>
          </w:tcPr>
          <w:p>
            <w:pPr>
              <w:ind w:left="120"/>
              <w:spacing w:after="0" w:line="189" w:lineRule="exact"/>
              <w:rPr>
                <w:sz w:val="20"/>
                <w:szCs w:val="20"/>
                <w:color w:val="auto"/>
              </w:rPr>
            </w:pPr>
            <w:r>
              <w:rPr>
                <w:rFonts w:ascii="Calibri" w:cs="Calibri" w:eastAsia="Calibri" w:hAnsi="Calibri"/>
                <w:sz w:val="16"/>
                <w:szCs w:val="16"/>
                <w:color w:val="auto"/>
              </w:rPr>
              <w:t>$</w:t>
            </w:r>
          </w:p>
        </w:tc>
        <w:tc>
          <w:tcPr>
            <w:tcW w:w="56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5,451</w:t>
            </w:r>
          </w:p>
        </w:tc>
        <w:tc>
          <w:tcPr>
            <w:tcW w:w="22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52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0.10</w:t>
            </w:r>
          </w:p>
        </w:tc>
        <w:tc>
          <w:tcPr>
            <w:tcW w:w="0" w:type="dxa"/>
            <w:vAlign w:val="bottom"/>
          </w:tcPr>
          <w:p>
            <w:pPr>
              <w:spacing w:after="0"/>
              <w:rPr>
                <w:sz w:val="1"/>
                <w:szCs w:val="1"/>
                <w:color w:val="auto"/>
              </w:rPr>
            </w:pPr>
          </w:p>
        </w:tc>
      </w:tr>
      <w:tr>
        <w:trPr>
          <w:trHeight w:val="183"/>
        </w:trPr>
        <w:tc>
          <w:tcPr>
            <w:tcW w:w="20" w:type="dxa"/>
            <w:vAlign w:val="bottom"/>
            <w:tcBorders>
              <w:bottom w:val="single" w:sz="8" w:color="A6A6A6"/>
            </w:tcBorders>
          </w:tcPr>
          <w:p>
            <w:pPr>
              <w:spacing w:after="0"/>
              <w:rPr>
                <w:sz w:val="15"/>
                <w:szCs w:val="15"/>
                <w:color w:val="auto"/>
              </w:rPr>
            </w:pPr>
          </w:p>
        </w:tc>
        <w:tc>
          <w:tcPr>
            <w:tcW w:w="43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20" w:type="dxa"/>
            <w:vAlign w:val="bottom"/>
            <w:gridSpan w:val="2"/>
          </w:tcPr>
          <w:p>
            <w:pPr>
              <w:spacing w:after="0" w:line="183" w:lineRule="exact"/>
              <w:rPr>
                <w:sz w:val="20"/>
                <w:szCs w:val="20"/>
                <w:color w:val="auto"/>
              </w:rPr>
            </w:pPr>
            <w:r>
              <w:rPr>
                <w:rFonts w:ascii="Calibri" w:cs="Calibri" w:eastAsia="Calibri" w:hAnsi="Calibri"/>
                <w:sz w:val="16"/>
                <w:szCs w:val="16"/>
                <w:i w:val="1"/>
                <w:iCs w:val="1"/>
                <w:color w:val="auto"/>
              </w:rPr>
              <w:t>Non-GAAP adjustments:</w:t>
            </w: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tcBorders>
              <w:top w:val="single" w:sz="8" w:color="A6A6A6"/>
              <w:bottom w:val="single" w:sz="8" w:color="A6A6A6"/>
            </w:tcBorders>
          </w:tcPr>
          <w:p>
            <w:pPr>
              <w:ind w:left="100"/>
              <w:spacing w:after="0" w:line="183" w:lineRule="exact"/>
              <w:rPr>
                <w:sz w:val="20"/>
                <w:szCs w:val="20"/>
                <w:color w:val="auto"/>
              </w:rPr>
            </w:pPr>
            <w:r>
              <w:rPr>
                <w:rFonts w:ascii="Calibri" w:cs="Calibri" w:eastAsia="Calibri" w:hAnsi="Calibri"/>
                <w:sz w:val="16"/>
                <w:szCs w:val="16"/>
                <w:color w:val="auto"/>
              </w:rPr>
              <w:t>Cost of Sales</w:t>
            </w:r>
          </w:p>
        </w:tc>
        <w:tc>
          <w:tcPr>
            <w:tcW w:w="1060" w:type="dxa"/>
            <w:vAlign w:val="bottom"/>
            <w:tcBorders>
              <w:top w:val="single" w:sz="8" w:color="A6A6A6"/>
              <w:bottom w:val="single" w:sz="8" w:color="A6A6A6"/>
            </w:tcBorders>
          </w:tcPr>
          <w:p>
            <w:pPr>
              <w:spacing w:after="0"/>
              <w:rPr>
                <w:sz w:val="15"/>
                <w:szCs w:val="15"/>
                <w:color w:val="auto"/>
              </w:rPr>
            </w:pPr>
          </w:p>
        </w:tc>
        <w:tc>
          <w:tcPr>
            <w:tcW w:w="660" w:type="dxa"/>
            <w:vAlign w:val="bottom"/>
            <w:tcBorders>
              <w:top w:val="single" w:sz="8" w:color="A6A6A6"/>
              <w:bottom w:val="single" w:sz="8" w:color="A6A6A6"/>
            </w:tcBorders>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820" w:type="dxa"/>
            <w:vAlign w:val="bottom"/>
            <w:tcBorders>
              <w:top w:val="single" w:sz="8" w:color="A6A6A6"/>
              <w:bottom w:val="single" w:sz="8" w:color="A6A6A6"/>
            </w:tcBorders>
          </w:tcPr>
          <w:p>
            <w:pPr>
              <w:spacing w:after="0"/>
              <w:rPr>
                <w:sz w:val="15"/>
                <w:szCs w:val="15"/>
                <w:color w:val="auto"/>
              </w:rPr>
            </w:pPr>
          </w:p>
        </w:tc>
        <w:tc>
          <w:tcPr>
            <w:tcW w:w="260" w:type="dxa"/>
            <w:vAlign w:val="bottom"/>
            <w:tcBorders>
              <w:top w:val="single" w:sz="8" w:color="A6A6A6"/>
              <w:bottom w:val="single" w:sz="8" w:color="A6A6A6"/>
            </w:tcBorders>
          </w:tcPr>
          <w:p>
            <w:pPr>
              <w:spacing w:after="0"/>
              <w:rPr>
                <w:sz w:val="15"/>
                <w:szCs w:val="15"/>
                <w:color w:val="auto"/>
              </w:rPr>
            </w:pPr>
          </w:p>
        </w:tc>
        <w:tc>
          <w:tcPr>
            <w:tcW w:w="560" w:type="dxa"/>
            <w:vAlign w:val="bottom"/>
            <w:tcBorders>
              <w:top w:val="single" w:sz="8" w:color="A6A6A6"/>
              <w:bottom w:val="single" w:sz="8" w:color="A6A6A6"/>
            </w:tcBorders>
          </w:tcPr>
          <w:p>
            <w:pPr>
              <w:spacing w:after="0"/>
              <w:rPr>
                <w:sz w:val="15"/>
                <w:szCs w:val="15"/>
                <w:color w:val="auto"/>
              </w:rPr>
            </w:pPr>
          </w:p>
        </w:tc>
        <w:tc>
          <w:tcPr>
            <w:tcW w:w="220" w:type="dxa"/>
            <w:vAlign w:val="bottom"/>
            <w:tcBorders>
              <w:top w:val="single" w:sz="8" w:color="A6A6A6"/>
              <w:bottom w:val="single" w:sz="8" w:color="A6A6A6"/>
            </w:tcBorders>
          </w:tcPr>
          <w:p>
            <w:pPr>
              <w:spacing w:after="0"/>
              <w:rPr>
                <w:sz w:val="15"/>
                <w:szCs w:val="15"/>
                <w:color w:val="auto"/>
              </w:rPr>
            </w:pPr>
          </w:p>
        </w:tc>
        <w:tc>
          <w:tcPr>
            <w:tcW w:w="520" w:type="dxa"/>
            <w:vAlign w:val="bottom"/>
            <w:tcBorders>
              <w:top w:val="single" w:sz="8" w:color="A6A6A6"/>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intangibles</w:t>
            </w:r>
          </w:p>
        </w:tc>
        <w:tc>
          <w:tcPr>
            <w:tcW w:w="1060" w:type="dxa"/>
            <w:vAlign w:val="bottom"/>
          </w:tcPr>
          <w:p>
            <w:pPr>
              <w:spacing w:after="0"/>
              <w:rPr>
                <w:sz w:val="16"/>
                <w:szCs w:val="16"/>
                <w:color w:val="auto"/>
              </w:rPr>
            </w:pPr>
          </w:p>
        </w:tc>
        <w:tc>
          <w:tcPr>
            <w:tcW w:w="66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49,707</w:t>
            </w:r>
          </w:p>
        </w:tc>
        <w:tc>
          <w:tcPr>
            <w:tcW w:w="180" w:type="dxa"/>
            <w:vAlign w:val="bottom"/>
          </w:tcPr>
          <w:p>
            <w:pPr>
              <w:spacing w:after="0"/>
              <w:rPr>
                <w:sz w:val="16"/>
                <w:szCs w:val="16"/>
                <w:color w:val="auto"/>
              </w:rPr>
            </w:pPr>
          </w:p>
        </w:tc>
        <w:tc>
          <w:tcPr>
            <w:tcW w:w="820" w:type="dxa"/>
            <w:vAlign w:val="bottom"/>
          </w:tcPr>
          <w:p>
            <w:pPr>
              <w:jc w:val="right"/>
              <w:ind w:right="59"/>
              <w:spacing w:after="0" w:line="187" w:lineRule="exact"/>
              <w:rPr>
                <w:sz w:val="20"/>
                <w:szCs w:val="20"/>
                <w:color w:val="auto"/>
              </w:rPr>
            </w:pPr>
            <w:r>
              <w:rPr>
                <w:rFonts w:ascii="Calibri" w:cs="Calibri" w:eastAsia="Calibri" w:hAnsi="Calibri"/>
                <w:sz w:val="16"/>
                <w:szCs w:val="16"/>
                <w:color w:val="auto"/>
              </w:rPr>
              <w:t>(12,730)</w:t>
            </w:r>
          </w:p>
        </w:tc>
        <w:tc>
          <w:tcPr>
            <w:tcW w:w="26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36,977</w:t>
            </w:r>
          </w:p>
        </w:tc>
        <w:tc>
          <w:tcPr>
            <w:tcW w:w="220" w:type="dxa"/>
            <w:vAlign w:val="bottom"/>
          </w:tcPr>
          <w:p>
            <w:pPr>
              <w:spacing w:after="0"/>
              <w:rPr>
                <w:sz w:val="16"/>
                <w:szCs w:val="16"/>
                <w:color w:val="auto"/>
              </w:rPr>
            </w:pPr>
          </w:p>
        </w:tc>
        <w:tc>
          <w:tcPr>
            <w:tcW w:w="520" w:type="dxa"/>
            <w:vAlign w:val="bottom"/>
          </w:tcPr>
          <w:p>
            <w:pPr>
              <w:jc w:val="right"/>
              <w:spacing w:after="0" w:line="187" w:lineRule="exact"/>
              <w:rPr>
                <w:sz w:val="20"/>
                <w:szCs w:val="20"/>
                <w:color w:val="auto"/>
              </w:rPr>
            </w:pPr>
            <w:r>
              <w:rPr>
                <w:rFonts w:ascii="Calibri" w:cs="Calibri" w:eastAsia="Calibri" w:hAnsi="Calibri"/>
                <w:sz w:val="16"/>
                <w:szCs w:val="16"/>
                <w:color w:val="auto"/>
              </w:rPr>
              <w:t>0.66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tcPr>
          <w:p>
            <w:pPr>
              <w:ind w:left="320"/>
              <w:spacing w:after="0" w:line="187" w:lineRule="exact"/>
              <w:rPr>
                <w:sz w:val="20"/>
                <w:szCs w:val="20"/>
                <w:color w:val="auto"/>
              </w:rPr>
            </w:pPr>
            <w:r>
              <w:rPr>
                <w:rFonts w:ascii="Calibri" w:cs="Calibri" w:eastAsia="Calibri" w:hAnsi="Calibri"/>
                <w:sz w:val="16"/>
                <w:szCs w:val="16"/>
                <w:color w:val="auto"/>
              </w:rPr>
              <w:t>Inventory mark-up related to acquisitons</w:t>
            </w:r>
          </w:p>
        </w:tc>
        <w:tc>
          <w:tcPr>
            <w:tcW w:w="1060" w:type="dxa"/>
            <w:vAlign w:val="bottom"/>
          </w:tcPr>
          <w:p>
            <w:pPr>
              <w:spacing w:after="0"/>
              <w:rPr>
                <w:sz w:val="16"/>
                <w:szCs w:val="16"/>
                <w:color w:val="auto"/>
              </w:rPr>
            </w:pPr>
          </w:p>
        </w:tc>
        <w:tc>
          <w:tcPr>
            <w:tcW w:w="66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1,122</w:t>
            </w:r>
          </w:p>
        </w:tc>
        <w:tc>
          <w:tcPr>
            <w:tcW w:w="180" w:type="dxa"/>
            <w:vAlign w:val="bottom"/>
          </w:tcPr>
          <w:p>
            <w:pPr>
              <w:spacing w:after="0"/>
              <w:rPr>
                <w:sz w:val="16"/>
                <w:szCs w:val="16"/>
                <w:color w:val="auto"/>
              </w:rPr>
            </w:pPr>
          </w:p>
        </w:tc>
        <w:tc>
          <w:tcPr>
            <w:tcW w:w="820" w:type="dxa"/>
            <w:vAlign w:val="bottom"/>
          </w:tcPr>
          <w:p>
            <w:pPr>
              <w:jc w:val="right"/>
              <w:ind w:right="59"/>
              <w:spacing w:after="0" w:line="187" w:lineRule="exact"/>
              <w:rPr>
                <w:sz w:val="20"/>
                <w:szCs w:val="20"/>
                <w:color w:val="auto"/>
              </w:rPr>
            </w:pPr>
            <w:r>
              <w:rPr>
                <w:rFonts w:ascii="Calibri" w:cs="Calibri" w:eastAsia="Calibri" w:hAnsi="Calibri"/>
                <w:sz w:val="16"/>
                <w:szCs w:val="16"/>
                <w:color w:val="auto"/>
              </w:rPr>
              <w:t>(289)</w:t>
            </w:r>
          </w:p>
        </w:tc>
        <w:tc>
          <w:tcPr>
            <w:tcW w:w="26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833</w:t>
            </w:r>
          </w:p>
        </w:tc>
        <w:tc>
          <w:tcPr>
            <w:tcW w:w="220" w:type="dxa"/>
            <w:vAlign w:val="bottom"/>
          </w:tcPr>
          <w:p>
            <w:pPr>
              <w:spacing w:after="0"/>
              <w:rPr>
                <w:sz w:val="16"/>
                <w:szCs w:val="16"/>
                <w:color w:val="auto"/>
              </w:rPr>
            </w:pPr>
          </w:p>
        </w:tc>
        <w:tc>
          <w:tcPr>
            <w:tcW w:w="520" w:type="dxa"/>
            <w:vAlign w:val="bottom"/>
          </w:tcPr>
          <w:p>
            <w:pPr>
              <w:jc w:val="right"/>
              <w:spacing w:after="0" w:line="187" w:lineRule="exact"/>
              <w:rPr>
                <w:sz w:val="20"/>
                <w:szCs w:val="20"/>
                <w:color w:val="auto"/>
              </w:rPr>
            </w:pPr>
            <w:r>
              <w:rPr>
                <w:rFonts w:ascii="Calibri" w:cs="Calibri" w:eastAsia="Calibri" w:hAnsi="Calibri"/>
                <w:sz w:val="16"/>
                <w:szCs w:val="16"/>
                <w:color w:val="auto"/>
              </w:rPr>
              <w:t>0.01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tcPr>
          <w:p>
            <w:pPr>
              <w:ind w:left="100"/>
              <w:spacing w:after="0" w:line="187" w:lineRule="exact"/>
              <w:rPr>
                <w:sz w:val="20"/>
                <w:szCs w:val="20"/>
                <w:color w:val="auto"/>
              </w:rPr>
            </w:pPr>
            <w:r>
              <w:rPr>
                <w:rFonts w:ascii="Calibri" w:cs="Calibri" w:eastAsia="Calibri" w:hAnsi="Calibri"/>
                <w:sz w:val="16"/>
                <w:szCs w:val="16"/>
                <w:color w:val="auto"/>
              </w:rPr>
              <w:t>Operatng expenses</w:t>
            </w: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tcPr>
          <w:p>
            <w:pPr>
              <w:ind w:left="320"/>
              <w:spacing w:after="0" w:line="187" w:lineRule="exact"/>
              <w:rPr>
                <w:sz w:val="20"/>
                <w:szCs w:val="20"/>
                <w:color w:val="auto"/>
              </w:rPr>
            </w:pPr>
            <w:r>
              <w:rPr>
                <w:rFonts w:ascii="Calibri" w:cs="Calibri" w:eastAsia="Calibri" w:hAnsi="Calibri"/>
                <w:sz w:val="16"/>
                <w:szCs w:val="16"/>
                <w:color w:val="auto"/>
              </w:rPr>
              <w:t>Contngent consideraton beneft</w:t>
            </w:r>
          </w:p>
        </w:tc>
        <w:tc>
          <w:tcPr>
            <w:tcW w:w="1060" w:type="dxa"/>
            <w:vAlign w:val="bottom"/>
          </w:tcPr>
          <w:p>
            <w:pPr>
              <w:spacing w:after="0"/>
              <w:rPr>
                <w:sz w:val="16"/>
                <w:szCs w:val="16"/>
                <w:color w:val="auto"/>
              </w:rPr>
            </w:pPr>
          </w:p>
        </w:tc>
        <w:tc>
          <w:tcPr>
            <w:tcW w:w="66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(232)</w:t>
            </w:r>
          </w:p>
        </w:tc>
        <w:tc>
          <w:tcPr>
            <w:tcW w:w="180" w:type="dxa"/>
            <w:vAlign w:val="bottom"/>
          </w:tcPr>
          <w:p>
            <w:pPr>
              <w:spacing w:after="0"/>
              <w:rPr>
                <w:sz w:val="16"/>
                <w:szCs w:val="16"/>
                <w:color w:val="auto"/>
              </w:rPr>
            </w:pPr>
          </w:p>
        </w:tc>
        <w:tc>
          <w:tcPr>
            <w:tcW w:w="820" w:type="dxa"/>
            <w:vAlign w:val="bottom"/>
          </w:tcPr>
          <w:p>
            <w:pPr>
              <w:jc w:val="right"/>
              <w:ind w:right="59"/>
              <w:spacing w:after="0" w:line="187" w:lineRule="exact"/>
              <w:rPr>
                <w:sz w:val="20"/>
                <w:szCs w:val="20"/>
                <w:color w:val="auto"/>
              </w:rPr>
            </w:pPr>
            <w:r>
              <w:rPr>
                <w:rFonts w:ascii="Calibri" w:cs="Calibri" w:eastAsia="Calibri" w:hAnsi="Calibri"/>
                <w:sz w:val="16"/>
                <w:szCs w:val="16"/>
                <w:color w:val="auto"/>
              </w:rPr>
              <w:t>(47)</w:t>
            </w:r>
          </w:p>
        </w:tc>
        <w:tc>
          <w:tcPr>
            <w:tcW w:w="26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(279)</w:t>
            </w:r>
          </w:p>
        </w:tc>
        <w:tc>
          <w:tcPr>
            <w:tcW w:w="220" w:type="dxa"/>
            <w:vAlign w:val="bottom"/>
          </w:tcPr>
          <w:p>
            <w:pPr>
              <w:spacing w:after="0"/>
              <w:rPr>
                <w:sz w:val="16"/>
                <w:szCs w:val="16"/>
                <w:color w:val="auto"/>
              </w:rPr>
            </w:pPr>
          </w:p>
        </w:tc>
        <w:tc>
          <w:tcPr>
            <w:tcW w:w="520" w:type="dxa"/>
            <w:vAlign w:val="bottom"/>
          </w:tcPr>
          <w:p>
            <w:pPr>
              <w:jc w:val="right"/>
              <w:spacing w:after="0" w:line="187" w:lineRule="exact"/>
              <w:rPr>
                <w:sz w:val="20"/>
                <w:szCs w:val="20"/>
                <w:color w:val="auto"/>
              </w:rPr>
            </w:pPr>
            <w:r>
              <w:rPr>
                <w:rFonts w:ascii="Calibri" w:cs="Calibri" w:eastAsia="Calibri" w:hAnsi="Calibri"/>
                <w:sz w:val="16"/>
                <w:szCs w:val="16"/>
                <w:color w:val="auto"/>
              </w:rPr>
              <w:t>(0.00)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tcPr>
          <w:p>
            <w:pPr>
              <w:ind w:left="320"/>
              <w:spacing w:after="0" w:line="187" w:lineRule="exact"/>
              <w:rPr>
                <w:sz w:val="20"/>
                <w:szCs w:val="20"/>
                <w:color w:val="auto"/>
              </w:rPr>
            </w:pPr>
            <w:r>
              <w:rPr>
                <w:rFonts w:ascii="Calibri" w:cs="Calibri" w:eastAsia="Calibri" w:hAnsi="Calibri"/>
                <w:sz w:val="16"/>
                <w:szCs w:val="16"/>
                <w:color w:val="auto"/>
              </w:rPr>
              <w:t>Impairment charges</w:t>
            </w:r>
          </w:p>
        </w:tc>
        <w:tc>
          <w:tcPr>
            <w:tcW w:w="1060" w:type="dxa"/>
            <w:vAlign w:val="bottom"/>
          </w:tcPr>
          <w:p>
            <w:pPr>
              <w:spacing w:after="0"/>
              <w:rPr>
                <w:sz w:val="16"/>
                <w:szCs w:val="16"/>
                <w:color w:val="auto"/>
              </w:rPr>
            </w:pPr>
          </w:p>
        </w:tc>
        <w:tc>
          <w:tcPr>
            <w:tcW w:w="66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23,750</w:t>
            </w:r>
          </w:p>
        </w:tc>
        <w:tc>
          <w:tcPr>
            <w:tcW w:w="180" w:type="dxa"/>
            <w:vAlign w:val="bottom"/>
          </w:tcPr>
          <w:p>
            <w:pPr>
              <w:spacing w:after="0"/>
              <w:rPr>
                <w:sz w:val="16"/>
                <w:szCs w:val="16"/>
                <w:color w:val="auto"/>
              </w:rPr>
            </w:pPr>
          </w:p>
        </w:tc>
        <w:tc>
          <w:tcPr>
            <w:tcW w:w="820" w:type="dxa"/>
            <w:vAlign w:val="bottom"/>
          </w:tcPr>
          <w:p>
            <w:pPr>
              <w:jc w:val="right"/>
              <w:ind w:right="59"/>
              <w:spacing w:after="0" w:line="187" w:lineRule="exact"/>
              <w:rPr>
                <w:sz w:val="20"/>
                <w:szCs w:val="20"/>
                <w:color w:val="auto"/>
              </w:rPr>
            </w:pPr>
            <w:r>
              <w:rPr>
                <w:rFonts w:ascii="Calibri" w:cs="Calibri" w:eastAsia="Calibri" w:hAnsi="Calibri"/>
                <w:sz w:val="16"/>
                <w:szCs w:val="16"/>
                <w:color w:val="auto"/>
              </w:rPr>
              <w:t>(6,113)</w:t>
            </w:r>
          </w:p>
        </w:tc>
        <w:tc>
          <w:tcPr>
            <w:tcW w:w="26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17,637</w:t>
            </w:r>
          </w:p>
        </w:tc>
        <w:tc>
          <w:tcPr>
            <w:tcW w:w="220" w:type="dxa"/>
            <w:vAlign w:val="bottom"/>
          </w:tcPr>
          <w:p>
            <w:pPr>
              <w:spacing w:after="0"/>
              <w:rPr>
                <w:sz w:val="16"/>
                <w:szCs w:val="16"/>
                <w:color w:val="auto"/>
              </w:rPr>
            </w:pPr>
          </w:p>
        </w:tc>
        <w:tc>
          <w:tcPr>
            <w:tcW w:w="520" w:type="dxa"/>
            <w:vAlign w:val="bottom"/>
          </w:tcPr>
          <w:p>
            <w:pPr>
              <w:jc w:val="right"/>
              <w:spacing w:after="0" w:line="187" w:lineRule="exact"/>
              <w:rPr>
                <w:sz w:val="20"/>
                <w:szCs w:val="20"/>
                <w:color w:val="auto"/>
              </w:rPr>
            </w:pPr>
            <w:r>
              <w:rPr>
                <w:rFonts w:ascii="Calibri" w:cs="Calibri" w:eastAsia="Calibri" w:hAnsi="Calibri"/>
                <w:sz w:val="16"/>
                <w:szCs w:val="16"/>
                <w:color w:val="auto"/>
              </w:rPr>
              <w:t>0.31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intangibles</w:t>
            </w:r>
          </w:p>
        </w:tc>
        <w:tc>
          <w:tcPr>
            <w:tcW w:w="1060" w:type="dxa"/>
            <w:vAlign w:val="bottom"/>
          </w:tcPr>
          <w:p>
            <w:pPr>
              <w:spacing w:after="0"/>
              <w:rPr>
                <w:sz w:val="16"/>
                <w:szCs w:val="16"/>
                <w:color w:val="auto"/>
              </w:rPr>
            </w:pPr>
          </w:p>
        </w:tc>
        <w:tc>
          <w:tcPr>
            <w:tcW w:w="66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10,964</w:t>
            </w:r>
          </w:p>
        </w:tc>
        <w:tc>
          <w:tcPr>
            <w:tcW w:w="180" w:type="dxa"/>
            <w:vAlign w:val="bottom"/>
          </w:tcPr>
          <w:p>
            <w:pPr>
              <w:spacing w:after="0"/>
              <w:rPr>
                <w:sz w:val="16"/>
                <w:szCs w:val="16"/>
                <w:color w:val="auto"/>
              </w:rPr>
            </w:pPr>
          </w:p>
        </w:tc>
        <w:tc>
          <w:tcPr>
            <w:tcW w:w="820" w:type="dxa"/>
            <w:vAlign w:val="bottom"/>
          </w:tcPr>
          <w:p>
            <w:pPr>
              <w:jc w:val="right"/>
              <w:ind w:right="59"/>
              <w:spacing w:after="0" w:line="187" w:lineRule="exact"/>
              <w:rPr>
                <w:sz w:val="20"/>
                <w:szCs w:val="20"/>
                <w:color w:val="auto"/>
              </w:rPr>
            </w:pPr>
            <w:r>
              <w:rPr>
                <w:rFonts w:ascii="Calibri" w:cs="Calibri" w:eastAsia="Calibri" w:hAnsi="Calibri"/>
                <w:sz w:val="16"/>
                <w:szCs w:val="16"/>
                <w:color w:val="auto"/>
              </w:rPr>
              <w:t>(2,884)</w:t>
            </w:r>
          </w:p>
        </w:tc>
        <w:tc>
          <w:tcPr>
            <w:tcW w:w="26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8,080</w:t>
            </w:r>
          </w:p>
        </w:tc>
        <w:tc>
          <w:tcPr>
            <w:tcW w:w="220" w:type="dxa"/>
            <w:vAlign w:val="bottom"/>
          </w:tcPr>
          <w:p>
            <w:pPr>
              <w:spacing w:after="0"/>
              <w:rPr>
                <w:sz w:val="16"/>
                <w:szCs w:val="16"/>
                <w:color w:val="auto"/>
              </w:rPr>
            </w:pPr>
          </w:p>
        </w:tc>
        <w:tc>
          <w:tcPr>
            <w:tcW w:w="520" w:type="dxa"/>
            <w:vAlign w:val="bottom"/>
          </w:tcPr>
          <w:p>
            <w:pPr>
              <w:jc w:val="right"/>
              <w:spacing w:after="0" w:line="187" w:lineRule="exact"/>
              <w:rPr>
                <w:sz w:val="20"/>
                <w:szCs w:val="20"/>
                <w:color w:val="auto"/>
              </w:rPr>
            </w:pPr>
            <w:r>
              <w:rPr>
                <w:rFonts w:ascii="Calibri" w:cs="Calibri" w:eastAsia="Calibri" w:hAnsi="Calibri"/>
                <w:sz w:val="16"/>
                <w:szCs w:val="16"/>
                <w:color w:val="auto"/>
              </w:rPr>
              <w:t>0.14</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Corporate transformaton and restructuring </w:t>
            </w:r>
            <w:r>
              <w:rPr>
                <w:rFonts w:ascii="Calibri" w:cs="Calibri" w:eastAsia="Calibri" w:hAnsi="Calibri"/>
                <w:sz w:val="22"/>
                <w:szCs w:val="22"/>
                <w:b w:val="1"/>
                <w:bCs w:val="1"/>
                <w:color w:val="AF0000"/>
                <w:vertAlign w:val="superscript"/>
              </w:rPr>
              <w:t>(3)</w:t>
            </w:r>
          </w:p>
        </w:tc>
        <w:tc>
          <w:tcPr>
            <w:tcW w:w="106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5,551</w:t>
            </w: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59"/>
              <w:spacing w:after="0" w:line="193" w:lineRule="exact"/>
              <w:rPr>
                <w:sz w:val="20"/>
                <w:szCs w:val="20"/>
                <w:color w:val="auto"/>
              </w:rPr>
            </w:pPr>
            <w:r>
              <w:rPr>
                <w:rFonts w:ascii="Calibri" w:cs="Calibri" w:eastAsia="Calibri" w:hAnsi="Calibri"/>
                <w:sz w:val="16"/>
                <w:szCs w:val="16"/>
                <w:color w:val="auto"/>
              </w:rPr>
              <w:t>(1,433)</w:t>
            </w:r>
          </w:p>
        </w:tc>
        <w:tc>
          <w:tcPr>
            <w:tcW w:w="26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4,118</w:t>
            </w:r>
          </w:p>
        </w:tc>
        <w:tc>
          <w:tcPr>
            <w:tcW w:w="2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0.07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tcPr>
          <w:p>
            <w:pPr>
              <w:ind w:left="320"/>
              <w:spacing w:after="0" w:line="187" w:lineRule="exact"/>
              <w:rPr>
                <w:sz w:val="20"/>
                <w:szCs w:val="20"/>
                <w:color w:val="auto"/>
              </w:rPr>
            </w:pPr>
            <w:r>
              <w:rPr>
                <w:rFonts w:ascii="Calibri" w:cs="Calibri" w:eastAsia="Calibri" w:hAnsi="Calibri"/>
                <w:sz w:val="16"/>
                <w:szCs w:val="16"/>
                <w:color w:val="auto"/>
              </w:rPr>
              <w:t>Acquisiton-related</w:t>
            </w:r>
          </w:p>
        </w:tc>
        <w:tc>
          <w:tcPr>
            <w:tcW w:w="1060" w:type="dxa"/>
            <w:vAlign w:val="bottom"/>
          </w:tcPr>
          <w:p>
            <w:pPr>
              <w:spacing w:after="0"/>
              <w:rPr>
                <w:sz w:val="16"/>
                <w:szCs w:val="16"/>
                <w:color w:val="auto"/>
              </w:rPr>
            </w:pPr>
          </w:p>
        </w:tc>
        <w:tc>
          <w:tcPr>
            <w:tcW w:w="66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3,497</w:t>
            </w:r>
          </w:p>
        </w:tc>
        <w:tc>
          <w:tcPr>
            <w:tcW w:w="180" w:type="dxa"/>
            <w:vAlign w:val="bottom"/>
          </w:tcPr>
          <w:p>
            <w:pPr>
              <w:spacing w:after="0"/>
              <w:rPr>
                <w:sz w:val="16"/>
                <w:szCs w:val="16"/>
                <w:color w:val="auto"/>
              </w:rPr>
            </w:pPr>
          </w:p>
        </w:tc>
        <w:tc>
          <w:tcPr>
            <w:tcW w:w="820" w:type="dxa"/>
            <w:vAlign w:val="bottom"/>
          </w:tcPr>
          <w:p>
            <w:pPr>
              <w:jc w:val="right"/>
              <w:ind w:right="59"/>
              <w:spacing w:after="0" w:line="187" w:lineRule="exact"/>
              <w:rPr>
                <w:sz w:val="20"/>
                <w:szCs w:val="20"/>
                <w:color w:val="auto"/>
              </w:rPr>
            </w:pPr>
            <w:r>
              <w:rPr>
                <w:rFonts w:ascii="Calibri" w:cs="Calibri" w:eastAsia="Calibri" w:hAnsi="Calibri"/>
                <w:sz w:val="16"/>
                <w:szCs w:val="16"/>
                <w:color w:val="auto"/>
              </w:rPr>
              <w:t>(743)</w:t>
            </w:r>
          </w:p>
        </w:tc>
        <w:tc>
          <w:tcPr>
            <w:tcW w:w="26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2,754</w:t>
            </w:r>
          </w:p>
        </w:tc>
        <w:tc>
          <w:tcPr>
            <w:tcW w:w="220" w:type="dxa"/>
            <w:vAlign w:val="bottom"/>
          </w:tcPr>
          <w:p>
            <w:pPr>
              <w:spacing w:after="0"/>
              <w:rPr>
                <w:sz w:val="16"/>
                <w:szCs w:val="16"/>
                <w:color w:val="auto"/>
              </w:rPr>
            </w:pPr>
          </w:p>
        </w:tc>
        <w:tc>
          <w:tcPr>
            <w:tcW w:w="520" w:type="dxa"/>
            <w:vAlign w:val="bottom"/>
          </w:tcPr>
          <w:p>
            <w:pPr>
              <w:jc w:val="right"/>
              <w:spacing w:after="0" w:line="187" w:lineRule="exact"/>
              <w:rPr>
                <w:sz w:val="20"/>
                <w:szCs w:val="20"/>
                <w:color w:val="auto"/>
              </w:rPr>
            </w:pPr>
            <w:r>
              <w:rPr>
                <w:rFonts w:ascii="Calibri" w:cs="Calibri" w:eastAsia="Calibri" w:hAnsi="Calibri"/>
                <w:sz w:val="16"/>
                <w:szCs w:val="16"/>
                <w:color w:val="auto"/>
              </w:rPr>
              <w:t>0.05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Medical Device Regulaton expenses </w:t>
            </w:r>
            <w:r>
              <w:rPr>
                <w:rFonts w:ascii="Calibri" w:cs="Calibri" w:eastAsia="Calibri" w:hAnsi="Calibri"/>
                <w:sz w:val="22"/>
                <w:szCs w:val="22"/>
                <w:b w:val="1"/>
                <w:bCs w:val="1"/>
                <w:color w:val="AF0000"/>
                <w:vertAlign w:val="superscript"/>
              </w:rPr>
              <w:t>(4)</w:t>
            </w:r>
          </w:p>
        </w:tc>
        <w:tc>
          <w:tcPr>
            <w:tcW w:w="106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562</w:t>
            </w: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59"/>
              <w:spacing w:after="0" w:line="193" w:lineRule="exact"/>
              <w:rPr>
                <w:sz w:val="20"/>
                <w:szCs w:val="20"/>
                <w:color w:val="auto"/>
              </w:rPr>
            </w:pPr>
            <w:r>
              <w:rPr>
                <w:rFonts w:ascii="Calibri" w:cs="Calibri" w:eastAsia="Calibri" w:hAnsi="Calibri"/>
                <w:sz w:val="16"/>
                <w:szCs w:val="16"/>
                <w:color w:val="auto"/>
              </w:rPr>
              <w:t>(98)</w:t>
            </w:r>
          </w:p>
        </w:tc>
        <w:tc>
          <w:tcPr>
            <w:tcW w:w="26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464</w:t>
            </w:r>
          </w:p>
        </w:tc>
        <w:tc>
          <w:tcPr>
            <w:tcW w:w="2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A6A6A6"/>
            </w:tcBorders>
          </w:tcPr>
          <w:p>
            <w:pPr>
              <w:ind w:left="320"/>
              <w:spacing w:after="0" w:line="210" w:lineRule="exact"/>
              <w:rPr>
                <w:sz w:val="20"/>
                <w:szCs w:val="20"/>
                <w:color w:val="auto"/>
              </w:rPr>
            </w:pPr>
            <w:r>
              <w:rPr>
                <w:rFonts w:ascii="Calibri" w:cs="Calibri" w:eastAsia="Calibri" w:hAnsi="Calibri"/>
                <w:sz w:val="15"/>
                <w:szCs w:val="15"/>
                <w:color w:val="auto"/>
              </w:rPr>
              <w:t xml:space="preserve">Other </w:t>
            </w:r>
            <w:r>
              <w:rPr>
                <w:rFonts w:ascii="Calibri" w:cs="Calibri" w:eastAsia="Calibri" w:hAnsi="Calibri"/>
                <w:sz w:val="22"/>
                <w:szCs w:val="22"/>
                <w:b w:val="1"/>
                <w:bCs w:val="1"/>
                <w:color w:val="AF0000"/>
                <w:vertAlign w:val="superscript"/>
              </w:rPr>
              <w:t>(5)</w:t>
            </w:r>
          </w:p>
        </w:tc>
        <w:tc>
          <w:tcPr>
            <w:tcW w:w="106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7,282</w:t>
            </w: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59"/>
              <w:spacing w:after="0" w:line="193" w:lineRule="exact"/>
              <w:rPr>
                <w:sz w:val="20"/>
                <w:szCs w:val="20"/>
                <w:color w:val="auto"/>
              </w:rPr>
            </w:pPr>
            <w:r>
              <w:rPr>
                <w:rFonts w:ascii="Calibri" w:cs="Calibri" w:eastAsia="Calibri" w:hAnsi="Calibri"/>
                <w:sz w:val="16"/>
                <w:szCs w:val="16"/>
                <w:color w:val="auto"/>
              </w:rPr>
              <w:t>(1,874)</w:t>
            </w:r>
          </w:p>
        </w:tc>
        <w:tc>
          <w:tcPr>
            <w:tcW w:w="26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5,408</w:t>
            </w:r>
          </w:p>
        </w:tc>
        <w:tc>
          <w:tcPr>
            <w:tcW w:w="2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0.10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tcPr>
          <w:p>
            <w:pPr>
              <w:ind w:left="100"/>
              <w:spacing w:after="0" w:line="187" w:lineRule="exact"/>
              <w:rPr>
                <w:sz w:val="20"/>
                <w:szCs w:val="20"/>
                <w:color w:val="auto"/>
              </w:rPr>
            </w:pPr>
            <w:r>
              <w:rPr>
                <w:rFonts w:ascii="Calibri" w:cs="Calibri" w:eastAsia="Calibri" w:hAnsi="Calibri"/>
                <w:sz w:val="16"/>
                <w:szCs w:val="16"/>
                <w:color w:val="auto"/>
              </w:rPr>
              <w:t>Other (Income) Expense</w:t>
            </w: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tcPr>
          <w:p>
            <w:pPr>
              <w:ind w:left="320"/>
              <w:spacing w:after="0" w:line="187" w:lineRule="exact"/>
              <w:rPr>
                <w:sz w:val="20"/>
                <w:szCs w:val="20"/>
                <w:color w:val="auto"/>
              </w:rPr>
            </w:pPr>
            <w:r>
              <w:rPr>
                <w:rFonts w:ascii="Calibri" w:cs="Calibri" w:eastAsia="Calibri" w:hAnsi="Calibri"/>
                <w:sz w:val="16"/>
                <w:szCs w:val="16"/>
                <w:color w:val="auto"/>
              </w:rPr>
              <w:t>Amortzaton of long-term debt issuance costs</w:t>
            </w:r>
          </w:p>
        </w:tc>
        <w:tc>
          <w:tcPr>
            <w:tcW w:w="1060" w:type="dxa"/>
            <w:vAlign w:val="bottom"/>
          </w:tcPr>
          <w:p>
            <w:pPr>
              <w:spacing w:after="0"/>
              <w:rPr>
                <w:sz w:val="16"/>
                <w:szCs w:val="16"/>
                <w:color w:val="auto"/>
              </w:rPr>
            </w:pPr>
          </w:p>
        </w:tc>
        <w:tc>
          <w:tcPr>
            <w:tcW w:w="660" w:type="dxa"/>
            <w:vAlign w:val="bottom"/>
          </w:tcPr>
          <w:p>
            <w:pPr>
              <w:jc w:val="right"/>
              <w:ind w:right="19"/>
              <w:spacing w:after="0" w:line="187" w:lineRule="exact"/>
              <w:rPr>
                <w:sz w:val="20"/>
                <w:szCs w:val="20"/>
                <w:color w:val="auto"/>
              </w:rPr>
            </w:pPr>
            <w:r>
              <w:rPr>
                <w:rFonts w:ascii="Calibri" w:cs="Calibri" w:eastAsia="Calibri" w:hAnsi="Calibri"/>
                <w:sz w:val="16"/>
                <w:szCs w:val="16"/>
                <w:color w:val="auto"/>
              </w:rPr>
              <w:t>821</w:t>
            </w:r>
          </w:p>
        </w:tc>
        <w:tc>
          <w:tcPr>
            <w:tcW w:w="180" w:type="dxa"/>
            <w:vAlign w:val="bottom"/>
          </w:tcPr>
          <w:p>
            <w:pPr>
              <w:spacing w:after="0"/>
              <w:rPr>
                <w:sz w:val="16"/>
                <w:szCs w:val="16"/>
                <w:color w:val="auto"/>
              </w:rPr>
            </w:pPr>
          </w:p>
        </w:tc>
        <w:tc>
          <w:tcPr>
            <w:tcW w:w="820" w:type="dxa"/>
            <w:vAlign w:val="bottom"/>
          </w:tcPr>
          <w:p>
            <w:pPr>
              <w:jc w:val="right"/>
              <w:ind w:right="59"/>
              <w:spacing w:after="0" w:line="187" w:lineRule="exact"/>
              <w:rPr>
                <w:sz w:val="20"/>
                <w:szCs w:val="20"/>
                <w:color w:val="auto"/>
              </w:rPr>
            </w:pPr>
            <w:r>
              <w:rPr>
                <w:rFonts w:ascii="Calibri" w:cs="Calibri" w:eastAsia="Calibri" w:hAnsi="Calibri"/>
                <w:sz w:val="16"/>
                <w:szCs w:val="16"/>
                <w:color w:val="auto"/>
              </w:rPr>
              <w:t>(211)</w:t>
            </w:r>
          </w:p>
        </w:tc>
        <w:tc>
          <w:tcPr>
            <w:tcW w:w="260" w:type="dxa"/>
            <w:vAlign w:val="bottom"/>
          </w:tcPr>
          <w:p>
            <w:pPr>
              <w:spacing w:after="0"/>
              <w:rPr>
                <w:sz w:val="16"/>
                <w:szCs w:val="16"/>
                <w:color w:val="auto"/>
              </w:rPr>
            </w:pP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610</w:t>
            </w:r>
          </w:p>
        </w:tc>
        <w:tc>
          <w:tcPr>
            <w:tcW w:w="220" w:type="dxa"/>
            <w:vAlign w:val="bottom"/>
          </w:tcPr>
          <w:p>
            <w:pPr>
              <w:spacing w:after="0"/>
              <w:rPr>
                <w:sz w:val="16"/>
                <w:szCs w:val="16"/>
                <w:color w:val="auto"/>
              </w:rPr>
            </w:pPr>
          </w:p>
        </w:tc>
        <w:tc>
          <w:tcPr>
            <w:tcW w:w="520" w:type="dxa"/>
            <w:vAlign w:val="bottom"/>
          </w:tcPr>
          <w:p>
            <w:pPr>
              <w:jc w:val="right"/>
              <w:spacing w:after="0" w:line="187" w:lineRule="exact"/>
              <w:rPr>
                <w:sz w:val="20"/>
                <w:szCs w:val="20"/>
                <w:color w:val="auto"/>
              </w:rPr>
            </w:pPr>
            <w:r>
              <w:rPr>
                <w:rFonts w:ascii="Calibri" w:cs="Calibri" w:eastAsia="Calibri" w:hAnsi="Calibri"/>
                <w:sz w:val="16"/>
                <w:szCs w:val="16"/>
                <w:color w:val="auto"/>
              </w:rPr>
              <w:t>0.01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A6A6A6"/>
            </w:tcBorders>
          </w:tcPr>
          <w:p>
            <w:pPr>
              <w:ind w:left="100"/>
              <w:spacing w:after="0" w:line="210" w:lineRule="exact"/>
              <w:rPr>
                <w:sz w:val="20"/>
                <w:szCs w:val="20"/>
                <w:color w:val="auto"/>
              </w:rPr>
            </w:pPr>
            <w:r>
              <w:rPr>
                <w:rFonts w:ascii="Calibri" w:cs="Calibri" w:eastAsia="Calibri" w:hAnsi="Calibri"/>
                <w:sz w:val="15"/>
                <w:szCs w:val="15"/>
                <w:color w:val="auto"/>
              </w:rPr>
              <w:t xml:space="preserve">Tax expense related to restructuring </w:t>
            </w:r>
            <w:r>
              <w:rPr>
                <w:rFonts w:ascii="Calibri" w:cs="Calibri" w:eastAsia="Calibri" w:hAnsi="Calibri"/>
                <w:sz w:val="22"/>
                <w:szCs w:val="22"/>
                <w:b w:val="1"/>
                <w:bCs w:val="1"/>
                <w:color w:val="AF0000"/>
                <w:vertAlign w:val="superscript"/>
              </w:rPr>
              <w:t>(6)</w:t>
            </w:r>
          </w:p>
        </w:tc>
        <w:tc>
          <w:tcPr>
            <w:tcW w:w="106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119"/>
              <w:spacing w:after="0" w:line="193" w:lineRule="exact"/>
              <w:rPr>
                <w:sz w:val="20"/>
                <w:szCs w:val="20"/>
                <w:color w:val="auto"/>
              </w:rPr>
            </w:pPr>
            <w:r>
              <w:rPr>
                <w:rFonts w:ascii="Calibri" w:cs="Calibri" w:eastAsia="Calibri" w:hAnsi="Calibri"/>
                <w:sz w:val="16"/>
                <w:szCs w:val="16"/>
                <w:color w:val="auto"/>
              </w:rPr>
              <w:t>93</w:t>
            </w:r>
          </w:p>
        </w:tc>
        <w:tc>
          <w:tcPr>
            <w:tcW w:w="26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93</w:t>
            </w:r>
          </w:p>
        </w:tc>
        <w:tc>
          <w:tcPr>
            <w:tcW w:w="2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0.00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3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300" w:type="dxa"/>
            <w:vAlign w:val="bottom"/>
            <w:tcBorders>
              <w:bottom w:val="single" w:sz="8" w:color="A6A6A6"/>
            </w:tcBorders>
          </w:tcPr>
          <w:p>
            <w:pPr>
              <w:spacing w:after="0" w:line="183" w:lineRule="exact"/>
              <w:rPr>
                <w:sz w:val="20"/>
                <w:szCs w:val="20"/>
                <w:color w:val="auto"/>
              </w:rPr>
            </w:pPr>
            <w:r>
              <w:rPr>
                <w:rFonts w:ascii="Calibri" w:cs="Calibri" w:eastAsia="Calibri" w:hAnsi="Calibri"/>
                <w:sz w:val="16"/>
                <w:szCs w:val="16"/>
                <w:color w:val="auto"/>
              </w:rPr>
              <w:t>Non-GAAP net income</w:t>
            </w:r>
          </w:p>
        </w:tc>
        <w:tc>
          <w:tcPr>
            <w:tcW w:w="106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660" w:type="dxa"/>
            <w:vAlign w:val="bottom"/>
            <w:tcBorders>
              <w:bottom w:val="single" w:sz="8" w:color="A6A6A6"/>
            </w:tcBorders>
          </w:tcPr>
          <w:p>
            <w:pPr>
              <w:jc w:val="right"/>
              <w:ind w:right="19"/>
              <w:spacing w:after="0" w:line="183" w:lineRule="exact"/>
              <w:rPr>
                <w:sz w:val="20"/>
                <w:szCs w:val="20"/>
                <w:color w:val="auto"/>
              </w:rPr>
            </w:pPr>
            <w:r>
              <w:rPr>
                <w:rFonts w:ascii="Calibri" w:cs="Calibri" w:eastAsia="Calibri" w:hAnsi="Calibri"/>
                <w:sz w:val="16"/>
                <w:szCs w:val="16"/>
                <w:color w:val="auto"/>
              </w:rPr>
              <w:t>105,217</w:t>
            </w:r>
          </w:p>
        </w:tc>
        <w:tc>
          <w:tcPr>
            <w:tcW w:w="18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820" w:type="dxa"/>
            <w:vAlign w:val="bottom"/>
            <w:tcBorders>
              <w:bottom w:val="single" w:sz="8" w:color="A6A6A6"/>
            </w:tcBorders>
          </w:tcPr>
          <w:p>
            <w:pPr>
              <w:jc w:val="right"/>
              <w:ind w:right="59"/>
              <w:spacing w:after="0" w:line="183" w:lineRule="exact"/>
              <w:rPr>
                <w:sz w:val="20"/>
                <w:szCs w:val="20"/>
                <w:color w:val="auto"/>
              </w:rPr>
            </w:pPr>
            <w:r>
              <w:rPr>
                <w:rFonts w:ascii="Calibri" w:cs="Calibri" w:eastAsia="Calibri" w:hAnsi="Calibri"/>
                <w:sz w:val="16"/>
                <w:szCs w:val="16"/>
                <w:color w:val="auto"/>
              </w:rPr>
              <w:t>(23,071)</w:t>
            </w:r>
          </w:p>
        </w:tc>
        <w:tc>
          <w:tcPr>
            <w:tcW w:w="260" w:type="dxa"/>
            <w:vAlign w:val="bottom"/>
            <w:tcBorders>
              <w:bottom w:val="single" w:sz="8" w:color="A6A6A6"/>
            </w:tcBorders>
          </w:tcPr>
          <w:p>
            <w:pPr>
              <w:ind w:left="120"/>
              <w:spacing w:after="0" w:line="183" w:lineRule="exact"/>
              <w:rPr>
                <w:sz w:val="20"/>
                <w:szCs w:val="20"/>
                <w:color w:val="auto"/>
              </w:rPr>
            </w:pPr>
            <w:r>
              <w:rPr>
                <w:rFonts w:ascii="Calibri" w:cs="Calibri" w:eastAsia="Calibri" w:hAnsi="Calibri"/>
                <w:sz w:val="16"/>
                <w:szCs w:val="16"/>
                <w:color w:val="auto"/>
              </w:rPr>
              <w:t>$</w:t>
            </w:r>
          </w:p>
        </w:tc>
        <w:tc>
          <w:tcPr>
            <w:tcW w:w="56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82,146</w:t>
            </w:r>
          </w:p>
        </w:tc>
        <w:tc>
          <w:tcPr>
            <w:tcW w:w="22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52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1.46</w:t>
            </w:r>
          </w:p>
        </w:tc>
        <w:tc>
          <w:tcPr>
            <w:tcW w:w="0" w:type="dxa"/>
            <w:vAlign w:val="bottom"/>
          </w:tcPr>
          <w:p>
            <w:pPr>
              <w:spacing w:after="0"/>
              <w:rPr>
                <w:sz w:val="1"/>
                <w:szCs w:val="1"/>
                <w:color w:val="auto"/>
              </w:rPr>
            </w:pPr>
          </w:p>
        </w:tc>
      </w:tr>
      <w:tr>
        <w:trPr>
          <w:trHeight w:val="183"/>
        </w:trPr>
        <w:tc>
          <w:tcPr>
            <w:tcW w:w="20" w:type="dxa"/>
            <w:vAlign w:val="bottom"/>
            <w:tcBorders>
              <w:bottom w:val="single" w:sz="8" w:color="A6A6A6"/>
            </w:tcBorders>
          </w:tcPr>
          <w:p>
            <w:pPr>
              <w:spacing w:after="0"/>
              <w:rPr>
                <w:sz w:val="15"/>
                <w:szCs w:val="15"/>
                <w:color w:val="auto"/>
              </w:rPr>
            </w:pPr>
          </w:p>
        </w:tc>
        <w:tc>
          <w:tcPr>
            <w:tcW w:w="43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F0000"/>
            </w:tcBorders>
            <w:gridSpan w:val="2"/>
          </w:tcPr>
          <w:p>
            <w:pPr>
              <w:spacing w:after="0" w:line="183" w:lineRule="exact"/>
              <w:rPr>
                <w:sz w:val="20"/>
                <w:szCs w:val="20"/>
                <w:color w:val="auto"/>
              </w:rPr>
            </w:pPr>
            <w:r>
              <w:rPr>
                <w:rFonts w:ascii="Calibri" w:cs="Calibri" w:eastAsia="Calibri" w:hAnsi="Calibri"/>
                <w:sz w:val="16"/>
                <w:szCs w:val="16"/>
                <w:color w:val="auto"/>
              </w:rPr>
              <w:t>Diluted shares</w:t>
            </w:r>
          </w:p>
        </w:tc>
        <w:tc>
          <w:tcPr>
            <w:tcW w:w="1060" w:type="dxa"/>
            <w:vAlign w:val="bottom"/>
            <w:tcBorders>
              <w:bottom w:val="single" w:sz="8" w:color="AF0000"/>
            </w:tcBorders>
          </w:tcPr>
          <w:p>
            <w:pPr>
              <w:spacing w:after="0"/>
              <w:rPr>
                <w:sz w:val="16"/>
                <w:szCs w:val="16"/>
                <w:color w:val="auto"/>
              </w:rPr>
            </w:pPr>
          </w:p>
        </w:tc>
        <w:tc>
          <w:tcPr>
            <w:tcW w:w="660" w:type="dxa"/>
            <w:vAlign w:val="bottom"/>
            <w:tcBorders>
              <w:bottom w:val="single" w:sz="8" w:color="AF0000"/>
            </w:tcBorders>
          </w:tcPr>
          <w:p>
            <w:pPr>
              <w:spacing w:after="0"/>
              <w:rPr>
                <w:sz w:val="16"/>
                <w:szCs w:val="16"/>
                <w:color w:val="auto"/>
              </w:rPr>
            </w:pPr>
          </w:p>
        </w:tc>
        <w:tc>
          <w:tcPr>
            <w:tcW w:w="180" w:type="dxa"/>
            <w:vAlign w:val="bottom"/>
            <w:tcBorders>
              <w:bottom w:val="single" w:sz="8" w:color="AF0000"/>
            </w:tcBorders>
          </w:tcPr>
          <w:p>
            <w:pPr>
              <w:spacing w:after="0"/>
              <w:rPr>
                <w:sz w:val="16"/>
                <w:szCs w:val="16"/>
                <w:color w:val="auto"/>
              </w:rPr>
            </w:pPr>
          </w:p>
        </w:tc>
        <w:tc>
          <w:tcPr>
            <w:tcW w:w="820" w:type="dxa"/>
            <w:vAlign w:val="bottom"/>
            <w:tcBorders>
              <w:bottom w:val="single" w:sz="8" w:color="AF0000"/>
            </w:tcBorders>
          </w:tcPr>
          <w:p>
            <w:pPr>
              <w:spacing w:after="0"/>
              <w:rPr>
                <w:sz w:val="16"/>
                <w:szCs w:val="16"/>
                <w:color w:val="auto"/>
              </w:rPr>
            </w:pPr>
          </w:p>
        </w:tc>
        <w:tc>
          <w:tcPr>
            <w:tcW w:w="260" w:type="dxa"/>
            <w:vAlign w:val="bottom"/>
            <w:tcBorders>
              <w:bottom w:val="single" w:sz="8" w:color="AF0000"/>
            </w:tcBorders>
          </w:tcPr>
          <w:p>
            <w:pPr>
              <w:spacing w:after="0"/>
              <w:rPr>
                <w:sz w:val="16"/>
                <w:szCs w:val="16"/>
                <w:color w:val="auto"/>
              </w:rPr>
            </w:pPr>
          </w:p>
        </w:tc>
        <w:tc>
          <w:tcPr>
            <w:tcW w:w="560" w:type="dxa"/>
            <w:vAlign w:val="bottom"/>
            <w:tcBorders>
              <w:bottom w:val="single" w:sz="8" w:color="AF0000"/>
            </w:tcBorders>
          </w:tcPr>
          <w:p>
            <w:pPr>
              <w:spacing w:after="0"/>
              <w:rPr>
                <w:sz w:val="16"/>
                <w:szCs w:val="16"/>
                <w:color w:val="auto"/>
              </w:rPr>
            </w:pPr>
          </w:p>
        </w:tc>
        <w:tc>
          <w:tcPr>
            <w:tcW w:w="220" w:type="dxa"/>
            <w:vAlign w:val="bottom"/>
            <w:tcBorders>
              <w:bottom w:val="single" w:sz="8" w:color="AF0000"/>
            </w:tcBorders>
          </w:tcPr>
          <w:p>
            <w:pPr>
              <w:spacing w:after="0"/>
              <w:rPr>
                <w:sz w:val="16"/>
                <w:szCs w:val="16"/>
                <w:color w:val="auto"/>
              </w:rPr>
            </w:pPr>
          </w:p>
        </w:tc>
        <w:tc>
          <w:tcPr>
            <w:tcW w:w="520" w:type="dxa"/>
            <w:vAlign w:val="bottom"/>
            <w:tcBorders>
              <w:bottom w:val="single" w:sz="8" w:color="AF0000"/>
            </w:tcBorders>
          </w:tcPr>
          <w:p>
            <w:pPr>
              <w:jc w:val="right"/>
              <w:spacing w:after="0" w:line="183" w:lineRule="exact"/>
              <w:rPr>
                <w:sz w:val="20"/>
                <w:szCs w:val="20"/>
                <w:color w:val="auto"/>
              </w:rPr>
            </w:pPr>
            <w:r>
              <w:rPr>
                <w:rFonts w:ascii="Calibri" w:cs="Calibri" w:eastAsia="Calibri" w:hAnsi="Calibri"/>
                <w:sz w:val="16"/>
                <w:szCs w:val="16"/>
                <w:color w:val="auto"/>
              </w:rPr>
              <w:t>56,235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96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100" w:name="page101"/>
    <w:bookmarkEnd w:id="100"/>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6720"/>
        <w:spacing w:after="0"/>
        <w:rPr>
          <w:sz w:val="20"/>
          <w:szCs w:val="20"/>
          <w:color w:val="auto"/>
        </w:rPr>
      </w:pPr>
      <w:r>
        <w:rPr>
          <w:rFonts w:ascii="Calibri" w:cs="Calibri" w:eastAsia="Calibri" w:hAnsi="Calibri"/>
          <w:sz w:val="17"/>
          <w:szCs w:val="17"/>
          <w:color w:val="auto"/>
        </w:rPr>
        <w:t>OTHER PROXY INFORMATION</w:t>
      </w:r>
    </w:p>
    <w:p>
      <w:pPr>
        <w:spacing w:after="0" w:line="17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RECONCILIATION OF REPORTED GAAP OPERATING INCOME (LOSS)</w:t>
      </w:r>
    </w:p>
    <w:p>
      <w:pPr>
        <w:spacing w:after="0" w:line="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TO NON-GAAP OPERATING INCOME</w:t>
      </w:r>
    </w:p>
    <w:p>
      <w:pPr>
        <w:spacing w:after="0" w:line="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(UNAUDITED, IN THOUSANDS)</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3100" w:type="dxa"/>
            <w:vAlign w:val="bottom"/>
            <w:tcBorders>
              <w:top w:val="single" w:sz="8" w:color="AF0000"/>
            </w:tcBorders>
          </w:tcPr>
          <w:p>
            <w:pPr>
              <w:spacing w:after="0"/>
              <w:rPr>
                <w:sz w:val="19"/>
                <w:szCs w:val="19"/>
                <w:color w:val="auto"/>
              </w:rPr>
            </w:pPr>
          </w:p>
        </w:tc>
        <w:tc>
          <w:tcPr>
            <w:tcW w:w="220" w:type="dxa"/>
            <w:vAlign w:val="bottom"/>
            <w:tcBorders>
              <w:top w:val="single" w:sz="8" w:color="AF0000"/>
            </w:tcBorders>
          </w:tcPr>
          <w:p>
            <w:pPr>
              <w:spacing w:after="0"/>
              <w:rPr>
                <w:sz w:val="19"/>
                <w:szCs w:val="19"/>
                <w:color w:val="auto"/>
              </w:rPr>
            </w:pPr>
          </w:p>
        </w:tc>
        <w:tc>
          <w:tcPr>
            <w:tcW w:w="820" w:type="dxa"/>
            <w:vAlign w:val="bottom"/>
            <w:tcBorders>
              <w:top w:val="single" w:sz="8" w:color="AF0000"/>
            </w:tcBorders>
          </w:tcPr>
          <w:p>
            <w:pPr>
              <w:spacing w:after="0"/>
              <w:rPr>
                <w:sz w:val="19"/>
                <w:szCs w:val="19"/>
                <w:color w:val="auto"/>
              </w:rPr>
            </w:pPr>
          </w:p>
        </w:tc>
        <w:tc>
          <w:tcPr>
            <w:tcW w:w="240" w:type="dxa"/>
            <w:vAlign w:val="bottom"/>
            <w:tcBorders>
              <w:top w:val="single" w:sz="8" w:color="AF0000"/>
            </w:tcBorders>
          </w:tcPr>
          <w:p>
            <w:pPr>
              <w:spacing w:after="0"/>
              <w:rPr>
                <w:sz w:val="19"/>
                <w:szCs w:val="19"/>
                <w:color w:val="auto"/>
              </w:rPr>
            </w:pPr>
          </w:p>
        </w:tc>
        <w:tc>
          <w:tcPr>
            <w:tcW w:w="3000" w:type="dxa"/>
            <w:vAlign w:val="bottom"/>
            <w:tcBorders>
              <w:top w:val="single" w:sz="8" w:color="AF0000"/>
            </w:tcBorders>
            <w:gridSpan w:val="5"/>
          </w:tcPr>
          <w:p>
            <w:pPr>
              <w:jc w:val="right"/>
              <w:ind w:right="519"/>
              <w:spacing w:after="0"/>
              <w:rPr>
                <w:sz w:val="20"/>
                <w:szCs w:val="20"/>
                <w:color w:val="auto"/>
              </w:rPr>
            </w:pPr>
            <w:r>
              <w:rPr>
                <w:rFonts w:ascii="Calibri" w:cs="Calibri" w:eastAsia="Calibri" w:hAnsi="Calibri"/>
                <w:sz w:val="16"/>
                <w:szCs w:val="16"/>
                <w:b w:val="1"/>
                <w:bCs w:val="1"/>
                <w:color w:val="auto"/>
              </w:rPr>
              <w:t>Year Ended December 31,</w:t>
            </w:r>
          </w:p>
        </w:tc>
        <w:tc>
          <w:tcPr>
            <w:tcW w:w="380" w:type="dxa"/>
            <w:vAlign w:val="bottom"/>
            <w:tcBorders>
              <w:top w:val="single" w:sz="8" w:color="AF0000"/>
            </w:tcBorders>
          </w:tcPr>
          <w:p>
            <w:pPr>
              <w:spacing w:after="0"/>
              <w:rPr>
                <w:sz w:val="19"/>
                <w:szCs w:val="19"/>
                <w:color w:val="auto"/>
              </w:rPr>
            </w:pPr>
          </w:p>
        </w:tc>
        <w:tc>
          <w:tcPr>
            <w:tcW w:w="820" w:type="dxa"/>
            <w:vAlign w:val="bottom"/>
            <w:tcBorders>
              <w:top w:val="single" w:sz="8" w:color="AF0000"/>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19"/>
              <w:spacing w:after="0"/>
              <w:rPr>
                <w:sz w:val="20"/>
                <w:szCs w:val="20"/>
                <w:color w:val="auto"/>
              </w:rPr>
            </w:pPr>
            <w:r>
              <w:rPr>
                <w:rFonts w:ascii="Calibri" w:cs="Calibri" w:eastAsia="Calibri" w:hAnsi="Calibri"/>
                <w:sz w:val="16"/>
                <w:szCs w:val="16"/>
                <w:b w:val="1"/>
                <w:bCs w:val="1"/>
                <w:color w:val="auto"/>
              </w:rPr>
              <w:t>2023</w:t>
            </w:r>
          </w:p>
        </w:tc>
        <w:tc>
          <w:tcPr>
            <w:tcW w:w="24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Calibri" w:cs="Calibri" w:eastAsia="Calibri" w:hAnsi="Calibri"/>
                <w:sz w:val="16"/>
                <w:szCs w:val="16"/>
                <w:b w:val="1"/>
                <w:bCs w:val="1"/>
                <w:color w:val="auto"/>
              </w:rPr>
              <w:t>2022</w:t>
            </w:r>
          </w:p>
        </w:tc>
        <w:tc>
          <w:tcPr>
            <w:tcW w:w="20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2021</w:t>
            </w:r>
          </w:p>
        </w:tc>
        <w:tc>
          <w:tcPr>
            <w:tcW w:w="36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2020</w:t>
            </w:r>
          </w:p>
        </w:tc>
        <w:tc>
          <w:tcPr>
            <w:tcW w:w="38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2019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100" w:type="dxa"/>
            <w:vAlign w:val="bottom"/>
            <w:tcBorders>
              <w:top w:val="single" w:sz="8" w:color="AF0000"/>
              <w:bottom w:val="single" w:sz="8" w:color="A6A6A6"/>
            </w:tcBorders>
          </w:tcPr>
          <w:p>
            <w:pPr>
              <w:spacing w:after="0" w:line="189" w:lineRule="exact"/>
              <w:rPr>
                <w:sz w:val="20"/>
                <w:szCs w:val="20"/>
                <w:color w:val="auto"/>
              </w:rPr>
            </w:pPr>
            <w:r>
              <w:rPr>
                <w:rFonts w:ascii="Calibri" w:cs="Calibri" w:eastAsia="Calibri" w:hAnsi="Calibri"/>
                <w:sz w:val="16"/>
                <w:szCs w:val="16"/>
                <w:color w:val="auto"/>
              </w:rPr>
              <w:t>Net Sales as Reported</w:t>
            </w:r>
          </w:p>
        </w:tc>
        <w:tc>
          <w:tcPr>
            <w:tcW w:w="22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82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1,257,366</w:t>
            </w:r>
          </w:p>
        </w:tc>
        <w:tc>
          <w:tcPr>
            <w:tcW w:w="24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78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1,150,981</w:t>
            </w:r>
          </w:p>
        </w:tc>
        <w:tc>
          <w:tcPr>
            <w:tcW w:w="20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70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w w:val="98"/>
              </w:rPr>
              <w:t>1,074,751</w:t>
            </w:r>
          </w:p>
        </w:tc>
        <w:tc>
          <w:tcPr>
            <w:tcW w:w="360" w:type="dxa"/>
            <w:vAlign w:val="bottom"/>
            <w:tcBorders>
              <w:top w:val="single" w:sz="8" w:color="AF0000"/>
              <w:bottom w:val="single" w:sz="8" w:color="A6A6A6"/>
            </w:tcBorders>
          </w:tcPr>
          <w:p>
            <w:pPr>
              <w:jc w:val="right"/>
              <w:ind w:right="99"/>
              <w:spacing w:after="0" w:line="189" w:lineRule="exact"/>
              <w:rPr>
                <w:sz w:val="20"/>
                <w:szCs w:val="20"/>
                <w:color w:val="auto"/>
              </w:rPr>
            </w:pPr>
            <w:r>
              <w:rPr>
                <w:rFonts w:ascii="Calibri" w:cs="Calibri" w:eastAsia="Calibri" w:hAnsi="Calibri"/>
                <w:sz w:val="16"/>
                <w:szCs w:val="16"/>
                <w:color w:val="auto"/>
              </w:rPr>
              <w:t>$</w:t>
            </w:r>
          </w:p>
        </w:tc>
        <w:tc>
          <w:tcPr>
            <w:tcW w:w="960" w:type="dxa"/>
            <w:vAlign w:val="bottom"/>
            <w:tcBorders>
              <w:top w:val="single" w:sz="8" w:color="AF0000"/>
              <w:bottom w:val="single" w:sz="8" w:color="A6A6A6"/>
            </w:tcBorders>
          </w:tcPr>
          <w:p>
            <w:pPr>
              <w:jc w:val="right"/>
              <w:ind w:right="39"/>
              <w:spacing w:after="0" w:line="189" w:lineRule="exact"/>
              <w:rPr>
                <w:sz w:val="20"/>
                <w:szCs w:val="20"/>
                <w:color w:val="auto"/>
              </w:rPr>
            </w:pPr>
            <w:r>
              <w:rPr>
                <w:rFonts w:ascii="Calibri" w:cs="Calibri" w:eastAsia="Calibri" w:hAnsi="Calibri"/>
                <w:sz w:val="16"/>
                <w:szCs w:val="16"/>
                <w:color w:val="auto"/>
              </w:rPr>
              <w:t>963,875</w:t>
            </w:r>
          </w:p>
        </w:tc>
        <w:tc>
          <w:tcPr>
            <w:tcW w:w="380" w:type="dxa"/>
            <w:vAlign w:val="bottom"/>
            <w:tcBorders>
              <w:top w:val="single" w:sz="8" w:color="AF0000"/>
              <w:bottom w:val="single" w:sz="8" w:color="A6A6A6"/>
            </w:tcBorders>
          </w:tcPr>
          <w:p>
            <w:pPr>
              <w:jc w:val="right"/>
              <w:ind w:right="79"/>
              <w:spacing w:after="0" w:line="189" w:lineRule="exact"/>
              <w:rPr>
                <w:sz w:val="20"/>
                <w:szCs w:val="20"/>
                <w:color w:val="auto"/>
              </w:rPr>
            </w:pPr>
            <w:r>
              <w:rPr>
                <w:rFonts w:ascii="Calibri" w:cs="Calibri" w:eastAsia="Calibri" w:hAnsi="Calibri"/>
                <w:sz w:val="16"/>
                <w:szCs w:val="16"/>
                <w:color w:val="auto"/>
              </w:rPr>
              <w:t>$</w:t>
            </w:r>
          </w:p>
        </w:tc>
        <w:tc>
          <w:tcPr>
            <w:tcW w:w="820" w:type="dxa"/>
            <w:vAlign w:val="bottom"/>
            <w:tcBorders>
              <w:top w:val="single" w:sz="8" w:color="AF0000"/>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994,852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0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line="193" w:lineRule="exact"/>
              <w:rPr>
                <w:sz w:val="20"/>
                <w:szCs w:val="20"/>
                <w:color w:val="auto"/>
              </w:rPr>
            </w:pPr>
            <w:r>
              <w:rPr>
                <w:rFonts w:ascii="Calibri" w:cs="Calibri" w:eastAsia="Calibri" w:hAnsi="Calibri"/>
                <w:sz w:val="16"/>
                <w:szCs w:val="16"/>
                <w:color w:val="auto"/>
              </w:rPr>
              <w:t>GAAP Operatng income (loss)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auto"/>
              </w:rPr>
              <w:t>123,944</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alibri" w:cs="Calibri" w:eastAsia="Calibri" w:hAnsi="Calibri"/>
                <w:sz w:val="16"/>
                <w:szCs w:val="16"/>
                <w:color w:val="auto"/>
              </w:rPr>
              <w:t>87,563</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alibri" w:cs="Calibri" w:eastAsia="Calibri" w:hAnsi="Calibri"/>
                <w:sz w:val="16"/>
                <w:szCs w:val="16"/>
                <w:color w:val="auto"/>
              </w:rPr>
              <w:t>60,916</w:t>
            </w:r>
          </w:p>
        </w:tc>
        <w:tc>
          <w:tcPr>
            <w:tcW w:w="36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Calibri" w:cs="Calibri" w:eastAsia="Calibri" w:hAnsi="Calibri"/>
                <w:sz w:val="16"/>
                <w:szCs w:val="16"/>
                <w:color w:val="auto"/>
              </w:rPr>
              <w:t>(1,562)</w:t>
            </w:r>
          </w:p>
        </w:tc>
        <w:tc>
          <w:tcPr>
            <w:tcW w:w="38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Calibri" w:cs="Calibri" w:eastAsia="Calibri" w:hAnsi="Calibri"/>
                <w:sz w:val="16"/>
                <w:szCs w:val="16"/>
                <w:color w:val="auto"/>
              </w:rPr>
              <w:t>15,434</w:t>
            </w:r>
          </w:p>
        </w:tc>
        <w:tc>
          <w:tcPr>
            <w:tcW w:w="0" w:type="dxa"/>
            <w:vAlign w:val="bottom"/>
          </w:tcPr>
          <w:p>
            <w:pPr>
              <w:spacing w:after="0"/>
              <w:rPr>
                <w:sz w:val="1"/>
                <w:szCs w:val="1"/>
                <w:color w:val="auto"/>
              </w:rPr>
            </w:pPr>
          </w:p>
        </w:tc>
      </w:tr>
      <w:tr>
        <w:trPr>
          <w:trHeight w:val="189"/>
        </w:trPr>
        <w:tc>
          <w:tcPr>
            <w:tcW w:w="3100" w:type="dxa"/>
            <w:vAlign w:val="bottom"/>
            <w:tcBorders>
              <w:top w:val="single" w:sz="8" w:color="A6A6A6"/>
              <w:bottom w:val="single" w:sz="8" w:color="A6A6A6"/>
            </w:tcBorders>
          </w:tcPr>
          <w:p>
            <w:pPr>
              <w:ind w:left="60"/>
              <w:spacing w:after="0" w:line="189" w:lineRule="exact"/>
              <w:rPr>
                <w:sz w:val="20"/>
                <w:szCs w:val="20"/>
                <w:color w:val="auto"/>
              </w:rPr>
            </w:pPr>
            <w:r>
              <w:rPr>
                <w:rFonts w:ascii="Calibri" w:cs="Calibri" w:eastAsia="Calibri" w:hAnsi="Calibri"/>
                <w:sz w:val="16"/>
                <w:szCs w:val="16"/>
                <w:color w:val="auto"/>
              </w:rPr>
              <w:t>Cost of Sales</w:t>
            </w:r>
          </w:p>
        </w:tc>
        <w:tc>
          <w:tcPr>
            <w:tcW w:w="220" w:type="dxa"/>
            <w:vAlign w:val="bottom"/>
            <w:tcBorders>
              <w:top w:val="single" w:sz="8" w:color="A6A6A6"/>
              <w:bottom w:val="single" w:sz="8" w:color="A6A6A6"/>
            </w:tcBorders>
          </w:tcPr>
          <w:p>
            <w:pPr>
              <w:spacing w:after="0"/>
              <w:rPr>
                <w:sz w:val="16"/>
                <w:szCs w:val="16"/>
                <w:color w:val="auto"/>
              </w:rPr>
            </w:pPr>
          </w:p>
        </w:tc>
        <w:tc>
          <w:tcPr>
            <w:tcW w:w="820" w:type="dxa"/>
            <w:vAlign w:val="bottom"/>
            <w:tcBorders>
              <w:top w:val="single" w:sz="8" w:color="A6A6A6"/>
              <w:bottom w:val="single" w:sz="8" w:color="A6A6A6"/>
            </w:tcBorders>
          </w:tcPr>
          <w:p>
            <w:pPr>
              <w:spacing w:after="0"/>
              <w:rPr>
                <w:sz w:val="16"/>
                <w:szCs w:val="16"/>
                <w:color w:val="auto"/>
              </w:rPr>
            </w:pPr>
          </w:p>
        </w:tc>
        <w:tc>
          <w:tcPr>
            <w:tcW w:w="240" w:type="dxa"/>
            <w:vAlign w:val="bottom"/>
            <w:tcBorders>
              <w:top w:val="single" w:sz="8" w:color="A6A6A6"/>
              <w:bottom w:val="single" w:sz="8" w:color="A6A6A6"/>
            </w:tcBorders>
          </w:tcPr>
          <w:p>
            <w:pPr>
              <w:spacing w:after="0"/>
              <w:rPr>
                <w:sz w:val="16"/>
                <w:szCs w:val="16"/>
                <w:color w:val="auto"/>
              </w:rPr>
            </w:pPr>
          </w:p>
        </w:tc>
        <w:tc>
          <w:tcPr>
            <w:tcW w:w="780" w:type="dxa"/>
            <w:vAlign w:val="bottom"/>
            <w:tcBorders>
              <w:top w:val="single" w:sz="8" w:color="A6A6A6"/>
              <w:bottom w:val="single" w:sz="8" w:color="A6A6A6"/>
            </w:tcBorders>
          </w:tcPr>
          <w:p>
            <w:pPr>
              <w:spacing w:after="0"/>
              <w:rPr>
                <w:sz w:val="16"/>
                <w:szCs w:val="16"/>
                <w:color w:val="auto"/>
              </w:rPr>
            </w:pPr>
          </w:p>
        </w:tc>
        <w:tc>
          <w:tcPr>
            <w:tcW w:w="200" w:type="dxa"/>
            <w:vAlign w:val="bottom"/>
            <w:tcBorders>
              <w:top w:val="single" w:sz="8" w:color="A6A6A6"/>
              <w:bottom w:val="single" w:sz="8" w:color="A6A6A6"/>
            </w:tcBorders>
          </w:tcPr>
          <w:p>
            <w:pPr>
              <w:spacing w:after="0"/>
              <w:rPr>
                <w:sz w:val="16"/>
                <w:szCs w:val="16"/>
                <w:color w:val="auto"/>
              </w:rPr>
            </w:pPr>
          </w:p>
        </w:tc>
        <w:tc>
          <w:tcPr>
            <w:tcW w:w="700" w:type="dxa"/>
            <w:vAlign w:val="bottom"/>
            <w:tcBorders>
              <w:top w:val="single" w:sz="8" w:color="A6A6A6"/>
              <w:bottom w:val="single" w:sz="8" w:color="A6A6A6"/>
            </w:tcBorders>
          </w:tcPr>
          <w:p>
            <w:pPr>
              <w:spacing w:after="0"/>
              <w:rPr>
                <w:sz w:val="16"/>
                <w:szCs w:val="16"/>
                <w:color w:val="auto"/>
              </w:rPr>
            </w:pPr>
          </w:p>
        </w:tc>
        <w:tc>
          <w:tcPr>
            <w:tcW w:w="360" w:type="dxa"/>
            <w:vAlign w:val="bottom"/>
            <w:tcBorders>
              <w:top w:val="single" w:sz="8" w:color="A6A6A6"/>
              <w:bottom w:val="single" w:sz="8" w:color="A6A6A6"/>
            </w:tcBorders>
          </w:tcPr>
          <w:p>
            <w:pPr>
              <w:spacing w:after="0"/>
              <w:rPr>
                <w:sz w:val="16"/>
                <w:szCs w:val="16"/>
                <w:color w:val="auto"/>
              </w:rPr>
            </w:pPr>
          </w:p>
        </w:tc>
        <w:tc>
          <w:tcPr>
            <w:tcW w:w="960" w:type="dxa"/>
            <w:vAlign w:val="bottom"/>
            <w:tcBorders>
              <w:top w:val="single" w:sz="8" w:color="A6A6A6"/>
              <w:bottom w:val="single" w:sz="8" w:color="A6A6A6"/>
            </w:tcBorders>
          </w:tcPr>
          <w:p>
            <w:pPr>
              <w:spacing w:after="0"/>
              <w:rPr>
                <w:sz w:val="16"/>
                <w:szCs w:val="16"/>
                <w:color w:val="auto"/>
              </w:rPr>
            </w:pPr>
          </w:p>
        </w:tc>
        <w:tc>
          <w:tcPr>
            <w:tcW w:w="380" w:type="dxa"/>
            <w:vAlign w:val="bottom"/>
            <w:tcBorders>
              <w:top w:val="single" w:sz="8" w:color="A6A6A6"/>
              <w:bottom w:val="single" w:sz="8" w:color="A6A6A6"/>
            </w:tcBorders>
          </w:tcPr>
          <w:p>
            <w:pPr>
              <w:spacing w:after="0"/>
              <w:rPr>
                <w:sz w:val="16"/>
                <w:szCs w:val="16"/>
                <w:color w:val="auto"/>
              </w:rPr>
            </w:pPr>
          </w:p>
        </w:tc>
        <w:tc>
          <w:tcPr>
            <w:tcW w:w="820" w:type="dxa"/>
            <w:vAlign w:val="bottom"/>
            <w:tcBorders>
              <w:top w:val="single" w:sz="8" w:color="A6A6A6"/>
              <w:bottom w:val="single" w:sz="8" w:color="A6A6A6"/>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00" w:type="dxa"/>
            <w:vAlign w:val="bottom"/>
            <w:tcBorders>
              <w:bottom w:val="single" w:sz="8" w:color="A6A6A6"/>
            </w:tcBorders>
          </w:tcPr>
          <w:p>
            <w:pPr>
              <w:ind w:left="140"/>
              <w:spacing w:after="0" w:line="183" w:lineRule="exact"/>
              <w:rPr>
                <w:sz w:val="20"/>
                <w:szCs w:val="20"/>
                <w:color w:val="auto"/>
              </w:rPr>
            </w:pPr>
            <w:r>
              <w:rPr>
                <w:rFonts w:ascii="Calibri" w:cs="Calibri" w:eastAsia="Calibri" w:hAnsi="Calibri"/>
                <w:sz w:val="16"/>
                <w:szCs w:val="16"/>
                <w:color w:val="auto"/>
              </w:rPr>
              <w:t>Amortzaton of intangibles</w:t>
            </w:r>
          </w:p>
        </w:tc>
        <w:tc>
          <w:tcPr>
            <w:tcW w:w="22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47,795</w:t>
            </w: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42,154</w:t>
            </w: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42,453</w:t>
            </w:r>
          </w:p>
        </w:tc>
        <w:tc>
          <w:tcPr>
            <w:tcW w:w="36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color w:val="auto"/>
              </w:rPr>
              <w:t>50,696</w:t>
            </w:r>
          </w:p>
        </w:tc>
        <w:tc>
          <w:tcPr>
            <w:tcW w:w="3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49,707</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160"/>
              <w:spacing w:after="0" w:line="175" w:lineRule="exact"/>
              <w:rPr>
                <w:sz w:val="20"/>
                <w:szCs w:val="20"/>
                <w:color w:val="auto"/>
              </w:rPr>
            </w:pPr>
            <w:r>
              <w:rPr>
                <w:rFonts w:ascii="Calibri" w:cs="Calibri" w:eastAsia="Calibri" w:hAnsi="Calibri"/>
                <w:sz w:val="16"/>
                <w:szCs w:val="16"/>
                <w:color w:val="auto"/>
              </w:rPr>
              <w:t>Corporate restructuring and inventory write-</w:t>
            </w: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Calibri" w:cs="Calibri" w:eastAsia="Calibri" w:hAnsi="Calibri"/>
                <w:sz w:val="16"/>
                <w:szCs w:val="16"/>
                <w:color w:val="auto"/>
              </w:rPr>
              <w:t>448</w:t>
            </w: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Calibri" w:cs="Calibri" w:eastAsia="Calibri" w:hAnsi="Calibri"/>
                <w:sz w:val="16"/>
                <w:szCs w:val="16"/>
                <w:color w:val="auto"/>
              </w:rPr>
              <w:t>1,620</w:t>
            </w:r>
          </w:p>
        </w:tc>
        <w:tc>
          <w:tcPr>
            <w:tcW w:w="360" w:type="dxa"/>
            <w:vAlign w:val="bottom"/>
          </w:tcPr>
          <w:p>
            <w:pPr>
              <w:spacing w:after="0"/>
              <w:rPr>
                <w:sz w:val="15"/>
                <w:szCs w:val="15"/>
                <w:color w:val="auto"/>
              </w:rPr>
            </w:pPr>
          </w:p>
        </w:tc>
        <w:tc>
          <w:tcPr>
            <w:tcW w:w="960" w:type="dxa"/>
            <w:vAlign w:val="bottom"/>
            <w:vMerge w:val="restart"/>
          </w:tcPr>
          <w:p>
            <w:pPr>
              <w:jc w:val="right"/>
              <w:ind w:right="39"/>
              <w:spacing w:after="0"/>
              <w:rPr>
                <w:sz w:val="20"/>
                <w:szCs w:val="20"/>
                <w:color w:val="auto"/>
              </w:rPr>
            </w:pPr>
            <w:r>
              <w:rPr>
                <w:rFonts w:ascii="Calibri" w:cs="Calibri" w:eastAsia="Calibri" w:hAnsi="Calibri"/>
                <w:sz w:val="16"/>
                <w:szCs w:val="16"/>
                <w:color w:val="auto"/>
              </w:rPr>
              <w:t>1,752</w:t>
            </w:r>
          </w:p>
        </w:tc>
        <w:tc>
          <w:tcPr>
            <w:tcW w:w="380" w:type="dxa"/>
            <w:vAlign w:val="bottom"/>
          </w:tcPr>
          <w:p>
            <w:pPr>
              <w:spacing w:after="0"/>
              <w:rPr>
                <w:sz w:val="15"/>
                <w:szCs w:val="15"/>
                <w:color w:val="auto"/>
              </w:rPr>
            </w:pPr>
          </w:p>
        </w:tc>
        <w:tc>
          <w:tcPr>
            <w:tcW w:w="860" w:type="dxa"/>
            <w:vAlign w:val="bottom"/>
            <w:gridSpan w:val="3"/>
            <w:vMerge w:val="restart"/>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01"/>
        </w:trPr>
        <w:tc>
          <w:tcPr>
            <w:tcW w:w="3100" w:type="dxa"/>
            <w:vAlign w:val="bottom"/>
            <w:vMerge w:val="restart"/>
          </w:tcPr>
          <w:p>
            <w:pPr>
              <w:ind w:left="160"/>
              <w:spacing w:after="0" w:line="223" w:lineRule="exact"/>
              <w:rPr>
                <w:sz w:val="20"/>
                <w:szCs w:val="20"/>
                <w:color w:val="auto"/>
              </w:rPr>
            </w:pPr>
            <w:r>
              <w:rPr>
                <w:rFonts w:ascii="Calibri" w:cs="Calibri" w:eastAsia="Calibri" w:hAnsi="Calibri"/>
                <w:sz w:val="24"/>
                <w:szCs w:val="24"/>
                <w:color w:val="000000"/>
                <w:vertAlign w:val="subscript"/>
              </w:rPr>
              <w:t>of</w:t>
            </w:r>
            <w:r>
              <w:rPr>
                <w:rFonts w:ascii="Calibri" w:cs="Calibri" w:eastAsia="Calibri" w:hAnsi="Calibri"/>
                <w:sz w:val="11"/>
                <w:szCs w:val="11"/>
                <w:b w:val="1"/>
                <w:bCs w:val="1"/>
                <w:color w:val="AF0000"/>
              </w:rPr>
              <w:t xml:space="preserve"> (1)</w:t>
            </w: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100" w:type="dxa"/>
            <w:vAlign w:val="bottom"/>
            <w:tcBorders>
              <w:bottom w:val="single" w:sz="8" w:color="A6A6A6"/>
            </w:tcBorders>
            <w:vMerge w:val="continue"/>
          </w:tcPr>
          <w:p>
            <w:pPr>
              <w:spacing w:after="0"/>
              <w:rPr>
                <w:sz w:val="10"/>
                <w:szCs w:val="10"/>
                <w:color w:val="auto"/>
              </w:rPr>
            </w:pPr>
          </w:p>
        </w:tc>
        <w:tc>
          <w:tcPr>
            <w:tcW w:w="220" w:type="dxa"/>
            <w:vAlign w:val="bottom"/>
            <w:tcBorders>
              <w:bottom w:val="single" w:sz="8" w:color="A6A6A6"/>
            </w:tcBorders>
          </w:tcPr>
          <w:p>
            <w:pPr>
              <w:spacing w:after="0"/>
              <w:rPr>
                <w:sz w:val="10"/>
                <w:szCs w:val="10"/>
                <w:color w:val="auto"/>
              </w:rPr>
            </w:pPr>
          </w:p>
        </w:tc>
        <w:tc>
          <w:tcPr>
            <w:tcW w:w="820" w:type="dxa"/>
            <w:vAlign w:val="bottom"/>
            <w:tcBorders>
              <w:bottom w:val="single" w:sz="8" w:color="A6A6A6"/>
            </w:tcBorders>
          </w:tcPr>
          <w:p>
            <w:pPr>
              <w:spacing w:after="0"/>
              <w:rPr>
                <w:sz w:val="10"/>
                <w:szCs w:val="10"/>
                <w:color w:val="auto"/>
              </w:rPr>
            </w:pPr>
          </w:p>
        </w:tc>
        <w:tc>
          <w:tcPr>
            <w:tcW w:w="240" w:type="dxa"/>
            <w:vAlign w:val="bottom"/>
            <w:tcBorders>
              <w:bottom w:val="single" w:sz="8" w:color="A6A6A6"/>
            </w:tcBorders>
          </w:tcPr>
          <w:p>
            <w:pPr>
              <w:spacing w:after="0"/>
              <w:rPr>
                <w:sz w:val="10"/>
                <w:szCs w:val="10"/>
                <w:color w:val="auto"/>
              </w:rPr>
            </w:pPr>
          </w:p>
        </w:tc>
        <w:tc>
          <w:tcPr>
            <w:tcW w:w="780" w:type="dxa"/>
            <w:vAlign w:val="bottom"/>
            <w:tcBorders>
              <w:bottom w:val="single" w:sz="8" w:color="A6A6A6"/>
            </w:tcBorders>
          </w:tcPr>
          <w:p>
            <w:pPr>
              <w:spacing w:after="0"/>
              <w:rPr>
                <w:sz w:val="10"/>
                <w:szCs w:val="10"/>
                <w:color w:val="auto"/>
              </w:rPr>
            </w:pPr>
          </w:p>
        </w:tc>
        <w:tc>
          <w:tcPr>
            <w:tcW w:w="200" w:type="dxa"/>
            <w:vAlign w:val="bottom"/>
            <w:tcBorders>
              <w:bottom w:val="single" w:sz="8" w:color="A6A6A6"/>
            </w:tcBorders>
          </w:tcPr>
          <w:p>
            <w:pPr>
              <w:spacing w:after="0"/>
              <w:rPr>
                <w:sz w:val="10"/>
                <w:szCs w:val="10"/>
                <w:color w:val="auto"/>
              </w:rPr>
            </w:pPr>
          </w:p>
        </w:tc>
        <w:tc>
          <w:tcPr>
            <w:tcW w:w="700" w:type="dxa"/>
            <w:vAlign w:val="bottom"/>
            <w:tcBorders>
              <w:bottom w:val="single" w:sz="8" w:color="A6A6A6"/>
            </w:tcBorders>
          </w:tcPr>
          <w:p>
            <w:pPr>
              <w:spacing w:after="0"/>
              <w:rPr>
                <w:sz w:val="10"/>
                <w:szCs w:val="10"/>
                <w:color w:val="auto"/>
              </w:rPr>
            </w:pPr>
          </w:p>
        </w:tc>
        <w:tc>
          <w:tcPr>
            <w:tcW w:w="360" w:type="dxa"/>
            <w:vAlign w:val="bottom"/>
            <w:tcBorders>
              <w:bottom w:val="single" w:sz="8" w:color="A6A6A6"/>
            </w:tcBorders>
          </w:tcPr>
          <w:p>
            <w:pPr>
              <w:spacing w:after="0"/>
              <w:rPr>
                <w:sz w:val="10"/>
                <w:szCs w:val="10"/>
                <w:color w:val="auto"/>
              </w:rPr>
            </w:pPr>
          </w:p>
        </w:tc>
        <w:tc>
          <w:tcPr>
            <w:tcW w:w="960" w:type="dxa"/>
            <w:vAlign w:val="bottom"/>
            <w:tcBorders>
              <w:bottom w:val="single" w:sz="8" w:color="A6A6A6"/>
            </w:tcBorders>
          </w:tcPr>
          <w:p>
            <w:pPr>
              <w:spacing w:after="0"/>
              <w:rPr>
                <w:sz w:val="10"/>
                <w:szCs w:val="10"/>
                <w:color w:val="auto"/>
              </w:rPr>
            </w:pPr>
          </w:p>
        </w:tc>
        <w:tc>
          <w:tcPr>
            <w:tcW w:w="380" w:type="dxa"/>
            <w:vAlign w:val="bottom"/>
            <w:tcBorders>
              <w:bottom w:val="single" w:sz="8" w:color="A6A6A6"/>
            </w:tcBorders>
          </w:tcPr>
          <w:p>
            <w:pPr>
              <w:spacing w:after="0"/>
              <w:rPr>
                <w:sz w:val="10"/>
                <w:szCs w:val="10"/>
                <w:color w:val="auto"/>
              </w:rPr>
            </w:pPr>
          </w:p>
        </w:tc>
        <w:tc>
          <w:tcPr>
            <w:tcW w:w="820" w:type="dxa"/>
            <w:vAlign w:val="bottom"/>
            <w:tcBorders>
              <w:bottom w:val="single" w:sz="8" w:color="A6A6A6"/>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100" w:type="dxa"/>
            <w:vAlign w:val="bottom"/>
            <w:tcBorders>
              <w:bottom w:val="single" w:sz="8" w:color="A6A6A6"/>
            </w:tcBorders>
          </w:tcPr>
          <w:p>
            <w:pPr>
              <w:ind w:left="140"/>
              <w:spacing w:after="0" w:line="183" w:lineRule="exact"/>
              <w:rPr>
                <w:sz w:val="20"/>
                <w:szCs w:val="20"/>
                <w:color w:val="auto"/>
              </w:rPr>
            </w:pPr>
            <w:r>
              <w:rPr>
                <w:rFonts w:ascii="Calibri" w:cs="Calibri" w:eastAsia="Calibri" w:hAnsi="Calibri"/>
                <w:sz w:val="16"/>
                <w:szCs w:val="16"/>
                <w:color w:val="auto"/>
              </w:rPr>
              <w:t>Inventory mark-up related to acquisitons</w:t>
            </w:r>
          </w:p>
        </w:tc>
        <w:tc>
          <w:tcPr>
            <w:tcW w:w="22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2,069</w:t>
            </w: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w:t>
            </w:r>
          </w:p>
        </w:tc>
        <w:tc>
          <w:tcPr>
            <w:tcW w:w="36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color w:val="auto"/>
              </w:rPr>
              <w:t>191</w:t>
            </w:r>
          </w:p>
        </w:tc>
        <w:tc>
          <w:tcPr>
            <w:tcW w:w="3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1,122</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00" w:type="dxa"/>
            <w:vAlign w:val="bottom"/>
            <w:tcBorders>
              <w:bottom w:val="single" w:sz="8" w:color="A6A6A6"/>
            </w:tcBorders>
          </w:tcPr>
          <w:p>
            <w:pPr>
              <w:ind w:left="60"/>
              <w:spacing w:after="0" w:line="183" w:lineRule="exact"/>
              <w:rPr>
                <w:sz w:val="20"/>
                <w:szCs w:val="20"/>
                <w:color w:val="auto"/>
              </w:rPr>
            </w:pPr>
            <w:r>
              <w:rPr>
                <w:rFonts w:ascii="Calibri" w:cs="Calibri" w:eastAsia="Calibri" w:hAnsi="Calibri"/>
                <w:sz w:val="16"/>
                <w:szCs w:val="16"/>
                <w:color w:val="auto"/>
              </w:rPr>
              <w:t>Operatng Expenses</w:t>
            </w:r>
          </w:p>
        </w:tc>
        <w:tc>
          <w:tcPr>
            <w:tcW w:w="22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00" w:type="dxa"/>
            <w:vAlign w:val="bottom"/>
            <w:tcBorders>
              <w:bottom w:val="single" w:sz="8" w:color="A6A6A6"/>
            </w:tcBorders>
          </w:tcPr>
          <w:p>
            <w:pPr>
              <w:ind w:left="140"/>
              <w:spacing w:after="0" w:line="183" w:lineRule="exact"/>
              <w:rPr>
                <w:sz w:val="20"/>
                <w:szCs w:val="20"/>
                <w:color w:val="auto"/>
              </w:rPr>
            </w:pPr>
            <w:r>
              <w:rPr>
                <w:rFonts w:ascii="Calibri" w:cs="Calibri" w:eastAsia="Calibri" w:hAnsi="Calibri"/>
                <w:sz w:val="16"/>
                <w:szCs w:val="16"/>
                <w:color w:val="auto"/>
              </w:rPr>
              <w:t>Contngent consideraton expense (beneft)</w:t>
            </w:r>
          </w:p>
        </w:tc>
        <w:tc>
          <w:tcPr>
            <w:tcW w:w="22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1,704</w:t>
            </w: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4,611</w:t>
            </w: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3,161</w:t>
            </w:r>
          </w:p>
        </w:tc>
        <w:tc>
          <w:tcPr>
            <w:tcW w:w="36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color w:val="auto"/>
              </w:rPr>
              <w:t>(7,960)</w:t>
            </w:r>
          </w:p>
        </w:tc>
        <w:tc>
          <w:tcPr>
            <w:tcW w:w="3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(232)</w:t>
            </w:r>
          </w:p>
        </w:tc>
        <w:tc>
          <w:tcPr>
            <w:tcW w:w="2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00" w:type="dxa"/>
            <w:vAlign w:val="bottom"/>
            <w:tcBorders>
              <w:bottom w:val="single" w:sz="8" w:color="A6A6A6"/>
            </w:tcBorders>
          </w:tcPr>
          <w:p>
            <w:pPr>
              <w:ind w:left="140"/>
              <w:spacing w:after="0" w:line="183" w:lineRule="exact"/>
              <w:rPr>
                <w:sz w:val="20"/>
                <w:szCs w:val="20"/>
                <w:color w:val="auto"/>
              </w:rPr>
            </w:pPr>
            <w:r>
              <w:rPr>
                <w:rFonts w:ascii="Calibri" w:cs="Calibri" w:eastAsia="Calibri" w:hAnsi="Calibri"/>
                <w:sz w:val="16"/>
                <w:szCs w:val="16"/>
                <w:color w:val="auto"/>
              </w:rPr>
              <w:t>Impairment charges</w:t>
            </w:r>
          </w:p>
        </w:tc>
        <w:tc>
          <w:tcPr>
            <w:tcW w:w="22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270</w:t>
            </w: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2,219</w:t>
            </w: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4,283</w:t>
            </w:r>
          </w:p>
        </w:tc>
        <w:tc>
          <w:tcPr>
            <w:tcW w:w="36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color w:val="auto"/>
              </w:rPr>
              <w:t>36,504</w:t>
            </w:r>
          </w:p>
        </w:tc>
        <w:tc>
          <w:tcPr>
            <w:tcW w:w="38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gridSpan w:val="2"/>
          </w:tcPr>
          <w:p>
            <w:pPr>
              <w:jc w:val="right"/>
              <w:ind w:right="20"/>
              <w:spacing w:after="0" w:line="183" w:lineRule="exact"/>
              <w:rPr>
                <w:sz w:val="20"/>
                <w:szCs w:val="20"/>
                <w:color w:val="auto"/>
              </w:rPr>
            </w:pPr>
            <w:r>
              <w:rPr>
                <w:rFonts w:ascii="Calibri" w:cs="Calibri" w:eastAsia="Calibri" w:hAnsi="Calibri"/>
                <w:sz w:val="16"/>
                <w:szCs w:val="16"/>
                <w:color w:val="auto"/>
              </w:rPr>
              <w:t>23,750</w:t>
            </w:r>
          </w:p>
        </w:tc>
        <w:tc>
          <w:tcPr>
            <w:tcW w:w="2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00" w:type="dxa"/>
            <w:vAlign w:val="bottom"/>
            <w:tcBorders>
              <w:bottom w:val="single" w:sz="8" w:color="A6A6A6"/>
            </w:tcBorders>
          </w:tcPr>
          <w:p>
            <w:pPr>
              <w:ind w:left="140"/>
              <w:spacing w:after="0" w:line="183" w:lineRule="exact"/>
              <w:rPr>
                <w:sz w:val="20"/>
                <w:szCs w:val="20"/>
                <w:color w:val="auto"/>
              </w:rPr>
            </w:pPr>
            <w:r>
              <w:rPr>
                <w:rFonts w:ascii="Calibri" w:cs="Calibri" w:eastAsia="Calibri" w:hAnsi="Calibri"/>
                <w:sz w:val="16"/>
                <w:szCs w:val="16"/>
                <w:color w:val="auto"/>
              </w:rPr>
              <w:t>Amortzaton of intangibles</w:t>
            </w:r>
          </w:p>
        </w:tc>
        <w:tc>
          <w:tcPr>
            <w:tcW w:w="22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8,293</w:t>
            </w: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6,300</w:t>
            </w: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7,183</w:t>
            </w:r>
          </w:p>
        </w:tc>
        <w:tc>
          <w:tcPr>
            <w:tcW w:w="36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color w:val="auto"/>
              </w:rPr>
              <w:t>7,943</w:t>
            </w:r>
          </w:p>
        </w:tc>
        <w:tc>
          <w:tcPr>
            <w:tcW w:w="3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10,964</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5" w:lineRule="exact"/>
              <w:rPr>
                <w:sz w:val="20"/>
                <w:szCs w:val="20"/>
                <w:color w:val="auto"/>
              </w:rPr>
            </w:pPr>
            <w:r>
              <w:rPr>
                <w:rFonts w:ascii="Calibri" w:cs="Calibri" w:eastAsia="Calibri" w:hAnsi="Calibri"/>
                <w:sz w:val="16"/>
                <w:szCs w:val="16"/>
                <w:color w:val="auto"/>
              </w:rPr>
              <w:t>Performance-based share-based</w:t>
            </w: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Calibri" w:cs="Calibri" w:eastAsia="Calibri" w:hAnsi="Calibri"/>
                <w:sz w:val="16"/>
                <w:szCs w:val="16"/>
                <w:color w:val="auto"/>
              </w:rPr>
              <w:t>8,526</w:t>
            </w: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alibri" w:cs="Calibri" w:eastAsia="Calibri" w:hAnsi="Calibri"/>
                <w:sz w:val="16"/>
                <w:szCs w:val="16"/>
                <w:color w:val="auto"/>
              </w:rPr>
              <w:t>5,506</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Calibri" w:cs="Calibri" w:eastAsia="Calibri" w:hAnsi="Calibri"/>
                <w:sz w:val="16"/>
                <w:szCs w:val="16"/>
                <w:color w:val="auto"/>
              </w:rPr>
              <w:t>5,035</w:t>
            </w:r>
          </w:p>
        </w:tc>
        <w:tc>
          <w:tcPr>
            <w:tcW w:w="360" w:type="dxa"/>
            <w:vAlign w:val="bottom"/>
          </w:tcPr>
          <w:p>
            <w:pPr>
              <w:spacing w:after="0"/>
              <w:rPr>
                <w:sz w:val="15"/>
                <w:szCs w:val="15"/>
                <w:color w:val="auto"/>
              </w:rPr>
            </w:pPr>
          </w:p>
        </w:tc>
        <w:tc>
          <w:tcPr>
            <w:tcW w:w="960" w:type="dxa"/>
            <w:vAlign w:val="bottom"/>
            <w:vMerge w:val="restart"/>
          </w:tcPr>
          <w:p>
            <w:pPr>
              <w:jc w:val="right"/>
              <w:ind w:right="39"/>
              <w:spacing w:after="0"/>
              <w:rPr>
                <w:sz w:val="20"/>
                <w:szCs w:val="20"/>
                <w:color w:val="auto"/>
              </w:rPr>
            </w:pPr>
            <w:r>
              <w:rPr>
                <w:rFonts w:ascii="Calibri" w:cs="Calibri" w:eastAsia="Calibri" w:hAnsi="Calibri"/>
                <w:sz w:val="16"/>
                <w:szCs w:val="16"/>
                <w:color w:val="auto"/>
              </w:rPr>
              <w:t>3,735</w:t>
            </w:r>
          </w:p>
        </w:tc>
        <w:tc>
          <w:tcPr>
            <w:tcW w:w="380" w:type="dxa"/>
            <w:vAlign w:val="bottom"/>
          </w:tcPr>
          <w:p>
            <w:pPr>
              <w:spacing w:after="0"/>
              <w:rPr>
                <w:sz w:val="15"/>
                <w:szCs w:val="15"/>
                <w:color w:val="auto"/>
              </w:rPr>
            </w:pPr>
          </w:p>
        </w:tc>
        <w:tc>
          <w:tcPr>
            <w:tcW w:w="860" w:type="dxa"/>
            <w:vAlign w:val="bottom"/>
            <w:gridSpan w:val="3"/>
            <w:vMerge w:val="restart"/>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01"/>
        </w:trPr>
        <w:tc>
          <w:tcPr>
            <w:tcW w:w="3100" w:type="dxa"/>
            <w:vAlign w:val="bottom"/>
            <w:vMerge w:val="restart"/>
          </w:tcPr>
          <w:p>
            <w:pPr>
              <w:spacing w:after="0" w:line="223" w:lineRule="exact"/>
              <w:rPr>
                <w:sz w:val="20"/>
                <w:szCs w:val="20"/>
                <w:color w:val="auto"/>
              </w:rPr>
            </w:pPr>
            <w:r>
              <w:rPr>
                <w:rFonts w:ascii="Calibri" w:cs="Calibri" w:eastAsia="Calibri" w:hAnsi="Calibri"/>
                <w:sz w:val="16"/>
                <w:szCs w:val="16"/>
                <w:color w:val="auto"/>
              </w:rPr>
              <w:t xml:space="preserve">compensaton </w:t>
            </w:r>
            <w:r>
              <w:rPr>
                <w:rFonts w:ascii="Calibri" w:cs="Calibri" w:eastAsia="Calibri" w:hAnsi="Calibri"/>
                <w:sz w:val="24"/>
                <w:szCs w:val="24"/>
                <w:b w:val="1"/>
                <w:bCs w:val="1"/>
                <w:color w:val="AF0000"/>
                <w:vertAlign w:val="superscript"/>
              </w:rPr>
              <w:t>(2)</w:t>
            </w: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100" w:type="dxa"/>
            <w:vAlign w:val="bottom"/>
            <w:tcBorders>
              <w:bottom w:val="single" w:sz="8" w:color="A6A6A6"/>
            </w:tcBorders>
            <w:vMerge w:val="continue"/>
          </w:tcPr>
          <w:p>
            <w:pPr>
              <w:spacing w:after="0"/>
              <w:rPr>
                <w:sz w:val="10"/>
                <w:szCs w:val="10"/>
                <w:color w:val="auto"/>
              </w:rPr>
            </w:pPr>
          </w:p>
        </w:tc>
        <w:tc>
          <w:tcPr>
            <w:tcW w:w="220" w:type="dxa"/>
            <w:vAlign w:val="bottom"/>
            <w:tcBorders>
              <w:bottom w:val="single" w:sz="8" w:color="A6A6A6"/>
            </w:tcBorders>
          </w:tcPr>
          <w:p>
            <w:pPr>
              <w:spacing w:after="0"/>
              <w:rPr>
                <w:sz w:val="10"/>
                <w:szCs w:val="10"/>
                <w:color w:val="auto"/>
              </w:rPr>
            </w:pPr>
          </w:p>
        </w:tc>
        <w:tc>
          <w:tcPr>
            <w:tcW w:w="820" w:type="dxa"/>
            <w:vAlign w:val="bottom"/>
            <w:tcBorders>
              <w:bottom w:val="single" w:sz="8" w:color="A6A6A6"/>
            </w:tcBorders>
          </w:tcPr>
          <w:p>
            <w:pPr>
              <w:spacing w:after="0"/>
              <w:rPr>
                <w:sz w:val="10"/>
                <w:szCs w:val="10"/>
                <w:color w:val="auto"/>
              </w:rPr>
            </w:pPr>
          </w:p>
        </w:tc>
        <w:tc>
          <w:tcPr>
            <w:tcW w:w="240" w:type="dxa"/>
            <w:vAlign w:val="bottom"/>
            <w:tcBorders>
              <w:bottom w:val="single" w:sz="8" w:color="A6A6A6"/>
            </w:tcBorders>
          </w:tcPr>
          <w:p>
            <w:pPr>
              <w:spacing w:after="0"/>
              <w:rPr>
                <w:sz w:val="10"/>
                <w:szCs w:val="10"/>
                <w:color w:val="auto"/>
              </w:rPr>
            </w:pPr>
          </w:p>
        </w:tc>
        <w:tc>
          <w:tcPr>
            <w:tcW w:w="780" w:type="dxa"/>
            <w:vAlign w:val="bottom"/>
            <w:tcBorders>
              <w:bottom w:val="single" w:sz="8" w:color="A6A6A6"/>
            </w:tcBorders>
          </w:tcPr>
          <w:p>
            <w:pPr>
              <w:spacing w:after="0"/>
              <w:rPr>
                <w:sz w:val="10"/>
                <w:szCs w:val="10"/>
                <w:color w:val="auto"/>
              </w:rPr>
            </w:pPr>
          </w:p>
        </w:tc>
        <w:tc>
          <w:tcPr>
            <w:tcW w:w="200" w:type="dxa"/>
            <w:vAlign w:val="bottom"/>
            <w:tcBorders>
              <w:bottom w:val="single" w:sz="8" w:color="A6A6A6"/>
            </w:tcBorders>
          </w:tcPr>
          <w:p>
            <w:pPr>
              <w:spacing w:after="0"/>
              <w:rPr>
                <w:sz w:val="10"/>
                <w:szCs w:val="10"/>
                <w:color w:val="auto"/>
              </w:rPr>
            </w:pPr>
          </w:p>
        </w:tc>
        <w:tc>
          <w:tcPr>
            <w:tcW w:w="700" w:type="dxa"/>
            <w:vAlign w:val="bottom"/>
            <w:tcBorders>
              <w:bottom w:val="single" w:sz="8" w:color="A6A6A6"/>
            </w:tcBorders>
          </w:tcPr>
          <w:p>
            <w:pPr>
              <w:spacing w:after="0"/>
              <w:rPr>
                <w:sz w:val="10"/>
                <w:szCs w:val="10"/>
                <w:color w:val="auto"/>
              </w:rPr>
            </w:pPr>
          </w:p>
        </w:tc>
        <w:tc>
          <w:tcPr>
            <w:tcW w:w="360" w:type="dxa"/>
            <w:vAlign w:val="bottom"/>
            <w:tcBorders>
              <w:bottom w:val="single" w:sz="8" w:color="A6A6A6"/>
            </w:tcBorders>
          </w:tcPr>
          <w:p>
            <w:pPr>
              <w:spacing w:after="0"/>
              <w:rPr>
                <w:sz w:val="10"/>
                <w:szCs w:val="10"/>
                <w:color w:val="auto"/>
              </w:rPr>
            </w:pPr>
          </w:p>
        </w:tc>
        <w:tc>
          <w:tcPr>
            <w:tcW w:w="960" w:type="dxa"/>
            <w:vAlign w:val="bottom"/>
            <w:tcBorders>
              <w:bottom w:val="single" w:sz="8" w:color="A6A6A6"/>
            </w:tcBorders>
          </w:tcPr>
          <w:p>
            <w:pPr>
              <w:spacing w:after="0"/>
              <w:rPr>
                <w:sz w:val="10"/>
                <w:szCs w:val="10"/>
                <w:color w:val="auto"/>
              </w:rPr>
            </w:pPr>
          </w:p>
        </w:tc>
        <w:tc>
          <w:tcPr>
            <w:tcW w:w="380" w:type="dxa"/>
            <w:vAlign w:val="bottom"/>
            <w:tcBorders>
              <w:bottom w:val="single" w:sz="8" w:color="A6A6A6"/>
            </w:tcBorders>
          </w:tcPr>
          <w:p>
            <w:pPr>
              <w:spacing w:after="0"/>
              <w:rPr>
                <w:sz w:val="10"/>
                <w:szCs w:val="10"/>
                <w:color w:val="auto"/>
              </w:rPr>
            </w:pPr>
          </w:p>
        </w:tc>
        <w:tc>
          <w:tcPr>
            <w:tcW w:w="820" w:type="dxa"/>
            <w:vAlign w:val="bottom"/>
            <w:tcBorders>
              <w:bottom w:val="single" w:sz="8" w:color="A6A6A6"/>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5" w:lineRule="exact"/>
              <w:rPr>
                <w:sz w:val="20"/>
                <w:szCs w:val="20"/>
                <w:color w:val="auto"/>
              </w:rPr>
            </w:pPr>
            <w:r>
              <w:rPr>
                <w:rFonts w:ascii="Calibri" w:cs="Calibri" w:eastAsia="Calibri" w:hAnsi="Calibri"/>
                <w:sz w:val="16"/>
                <w:szCs w:val="16"/>
                <w:color w:val="auto"/>
              </w:rPr>
              <w:t>Corporate transformaton and restructuring</w:t>
            </w: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Calibri" w:cs="Calibri" w:eastAsia="Calibri" w:hAnsi="Calibri"/>
                <w:sz w:val="16"/>
                <w:szCs w:val="16"/>
                <w:color w:val="auto"/>
              </w:rPr>
              <w:t>19,365</w:t>
            </w: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alibri" w:cs="Calibri" w:eastAsia="Calibri" w:hAnsi="Calibri"/>
                <w:sz w:val="16"/>
                <w:szCs w:val="16"/>
                <w:color w:val="auto"/>
              </w:rPr>
              <w:t>23,757</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Calibri" w:cs="Calibri" w:eastAsia="Calibri" w:hAnsi="Calibri"/>
                <w:sz w:val="16"/>
                <w:szCs w:val="16"/>
                <w:color w:val="auto"/>
              </w:rPr>
              <w:t>18,649</w:t>
            </w:r>
          </w:p>
        </w:tc>
        <w:tc>
          <w:tcPr>
            <w:tcW w:w="360" w:type="dxa"/>
            <w:vAlign w:val="bottom"/>
          </w:tcPr>
          <w:p>
            <w:pPr>
              <w:spacing w:after="0"/>
              <w:rPr>
                <w:sz w:val="15"/>
                <w:szCs w:val="15"/>
                <w:color w:val="auto"/>
              </w:rPr>
            </w:pPr>
          </w:p>
        </w:tc>
        <w:tc>
          <w:tcPr>
            <w:tcW w:w="960" w:type="dxa"/>
            <w:vAlign w:val="bottom"/>
            <w:vMerge w:val="restart"/>
          </w:tcPr>
          <w:p>
            <w:pPr>
              <w:jc w:val="right"/>
              <w:ind w:right="39"/>
              <w:spacing w:after="0"/>
              <w:rPr>
                <w:sz w:val="20"/>
                <w:szCs w:val="20"/>
                <w:color w:val="auto"/>
              </w:rPr>
            </w:pPr>
            <w:r>
              <w:rPr>
                <w:rFonts w:ascii="Calibri" w:cs="Calibri" w:eastAsia="Calibri" w:hAnsi="Calibri"/>
                <w:sz w:val="16"/>
                <w:szCs w:val="16"/>
                <w:color w:val="auto"/>
              </w:rPr>
              <w:t>14,175</w:t>
            </w:r>
          </w:p>
        </w:tc>
        <w:tc>
          <w:tcPr>
            <w:tcW w:w="380" w:type="dxa"/>
            <w:vAlign w:val="bottom"/>
          </w:tcPr>
          <w:p>
            <w:pPr>
              <w:spacing w:after="0"/>
              <w:rPr>
                <w:sz w:val="15"/>
                <w:szCs w:val="15"/>
                <w:color w:val="auto"/>
              </w:rPr>
            </w:pPr>
          </w:p>
        </w:tc>
        <w:tc>
          <w:tcPr>
            <w:tcW w:w="860" w:type="dxa"/>
            <w:vAlign w:val="bottom"/>
            <w:gridSpan w:val="3"/>
            <w:vMerge w:val="restart"/>
          </w:tcPr>
          <w:p>
            <w:pPr>
              <w:jc w:val="right"/>
              <w:ind w:right="40"/>
              <w:spacing w:after="0"/>
              <w:rPr>
                <w:sz w:val="20"/>
                <w:szCs w:val="20"/>
                <w:color w:val="auto"/>
              </w:rPr>
            </w:pPr>
            <w:r>
              <w:rPr>
                <w:rFonts w:ascii="Calibri" w:cs="Calibri" w:eastAsia="Calibri" w:hAnsi="Calibri"/>
                <w:sz w:val="16"/>
                <w:szCs w:val="16"/>
                <w:color w:val="auto"/>
              </w:rPr>
              <w:t>5,551</w:t>
            </w:r>
          </w:p>
        </w:tc>
        <w:tc>
          <w:tcPr>
            <w:tcW w:w="0" w:type="dxa"/>
            <w:vAlign w:val="bottom"/>
          </w:tcPr>
          <w:p>
            <w:pPr>
              <w:spacing w:after="0"/>
              <w:rPr>
                <w:sz w:val="1"/>
                <w:szCs w:val="1"/>
                <w:color w:val="auto"/>
              </w:rPr>
            </w:pPr>
          </w:p>
        </w:tc>
      </w:tr>
      <w:tr>
        <w:trPr>
          <w:trHeight w:val="101"/>
        </w:trPr>
        <w:tc>
          <w:tcPr>
            <w:tcW w:w="3100" w:type="dxa"/>
            <w:vAlign w:val="bottom"/>
            <w:vMerge w:val="restart"/>
          </w:tcPr>
          <w:p>
            <w:pPr>
              <w:ind w:left="20"/>
              <w:spacing w:after="0" w:line="145" w:lineRule="exact"/>
              <w:rPr>
                <w:sz w:val="20"/>
                <w:szCs w:val="20"/>
                <w:color w:val="auto"/>
              </w:rPr>
            </w:pPr>
            <w:r>
              <w:rPr>
                <w:rFonts w:ascii="Calibri" w:cs="Calibri" w:eastAsia="Calibri" w:hAnsi="Calibri"/>
                <w:sz w:val="12"/>
                <w:szCs w:val="12"/>
                <w:b w:val="1"/>
                <w:bCs w:val="1"/>
                <w:color w:val="AF0000"/>
              </w:rPr>
              <w:t>(3)</w:t>
            </w: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31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8"/>
        </w:trPr>
        <w:tc>
          <w:tcPr>
            <w:tcW w:w="3100" w:type="dxa"/>
            <w:vAlign w:val="bottom"/>
            <w:tcBorders>
              <w:bottom w:val="single" w:sz="8" w:color="A6A6A6"/>
            </w:tcBorders>
          </w:tcPr>
          <w:p>
            <w:pPr>
              <w:spacing w:after="0"/>
              <w:rPr>
                <w:sz w:val="6"/>
                <w:szCs w:val="6"/>
                <w:color w:val="auto"/>
              </w:rPr>
            </w:pPr>
          </w:p>
        </w:tc>
        <w:tc>
          <w:tcPr>
            <w:tcW w:w="220" w:type="dxa"/>
            <w:vAlign w:val="bottom"/>
            <w:tcBorders>
              <w:bottom w:val="single" w:sz="8" w:color="A6A6A6"/>
            </w:tcBorders>
          </w:tcPr>
          <w:p>
            <w:pPr>
              <w:spacing w:after="0"/>
              <w:rPr>
                <w:sz w:val="6"/>
                <w:szCs w:val="6"/>
                <w:color w:val="auto"/>
              </w:rPr>
            </w:pPr>
          </w:p>
        </w:tc>
        <w:tc>
          <w:tcPr>
            <w:tcW w:w="820" w:type="dxa"/>
            <w:vAlign w:val="bottom"/>
            <w:tcBorders>
              <w:bottom w:val="single" w:sz="8" w:color="A6A6A6"/>
            </w:tcBorders>
          </w:tcPr>
          <w:p>
            <w:pPr>
              <w:spacing w:after="0"/>
              <w:rPr>
                <w:sz w:val="6"/>
                <w:szCs w:val="6"/>
                <w:color w:val="auto"/>
              </w:rPr>
            </w:pPr>
          </w:p>
        </w:tc>
        <w:tc>
          <w:tcPr>
            <w:tcW w:w="240" w:type="dxa"/>
            <w:vAlign w:val="bottom"/>
            <w:tcBorders>
              <w:bottom w:val="single" w:sz="8" w:color="A6A6A6"/>
            </w:tcBorders>
          </w:tcPr>
          <w:p>
            <w:pPr>
              <w:spacing w:after="0"/>
              <w:rPr>
                <w:sz w:val="6"/>
                <w:szCs w:val="6"/>
                <w:color w:val="auto"/>
              </w:rPr>
            </w:pPr>
          </w:p>
        </w:tc>
        <w:tc>
          <w:tcPr>
            <w:tcW w:w="780" w:type="dxa"/>
            <w:vAlign w:val="bottom"/>
            <w:tcBorders>
              <w:bottom w:val="single" w:sz="8" w:color="A6A6A6"/>
            </w:tcBorders>
          </w:tcPr>
          <w:p>
            <w:pPr>
              <w:spacing w:after="0"/>
              <w:rPr>
                <w:sz w:val="6"/>
                <w:szCs w:val="6"/>
                <w:color w:val="auto"/>
              </w:rPr>
            </w:pPr>
          </w:p>
        </w:tc>
        <w:tc>
          <w:tcPr>
            <w:tcW w:w="200" w:type="dxa"/>
            <w:vAlign w:val="bottom"/>
            <w:tcBorders>
              <w:bottom w:val="single" w:sz="8" w:color="A6A6A6"/>
            </w:tcBorders>
          </w:tcPr>
          <w:p>
            <w:pPr>
              <w:spacing w:after="0"/>
              <w:rPr>
                <w:sz w:val="6"/>
                <w:szCs w:val="6"/>
                <w:color w:val="auto"/>
              </w:rPr>
            </w:pPr>
          </w:p>
        </w:tc>
        <w:tc>
          <w:tcPr>
            <w:tcW w:w="700" w:type="dxa"/>
            <w:vAlign w:val="bottom"/>
            <w:tcBorders>
              <w:bottom w:val="single" w:sz="8" w:color="A6A6A6"/>
            </w:tcBorders>
          </w:tcPr>
          <w:p>
            <w:pPr>
              <w:spacing w:after="0"/>
              <w:rPr>
                <w:sz w:val="6"/>
                <w:szCs w:val="6"/>
                <w:color w:val="auto"/>
              </w:rPr>
            </w:pPr>
          </w:p>
        </w:tc>
        <w:tc>
          <w:tcPr>
            <w:tcW w:w="360" w:type="dxa"/>
            <w:vAlign w:val="bottom"/>
            <w:tcBorders>
              <w:bottom w:val="single" w:sz="8" w:color="A6A6A6"/>
            </w:tcBorders>
          </w:tcPr>
          <w:p>
            <w:pPr>
              <w:spacing w:after="0"/>
              <w:rPr>
                <w:sz w:val="6"/>
                <w:szCs w:val="6"/>
                <w:color w:val="auto"/>
              </w:rPr>
            </w:pPr>
          </w:p>
        </w:tc>
        <w:tc>
          <w:tcPr>
            <w:tcW w:w="960" w:type="dxa"/>
            <w:vAlign w:val="bottom"/>
            <w:tcBorders>
              <w:bottom w:val="single" w:sz="8" w:color="A6A6A6"/>
            </w:tcBorders>
          </w:tcPr>
          <w:p>
            <w:pPr>
              <w:spacing w:after="0"/>
              <w:rPr>
                <w:sz w:val="6"/>
                <w:szCs w:val="6"/>
                <w:color w:val="auto"/>
              </w:rPr>
            </w:pPr>
          </w:p>
        </w:tc>
        <w:tc>
          <w:tcPr>
            <w:tcW w:w="380" w:type="dxa"/>
            <w:vAlign w:val="bottom"/>
            <w:tcBorders>
              <w:bottom w:val="single" w:sz="8" w:color="A6A6A6"/>
            </w:tcBorders>
          </w:tcPr>
          <w:p>
            <w:pPr>
              <w:spacing w:after="0"/>
              <w:rPr>
                <w:sz w:val="6"/>
                <w:szCs w:val="6"/>
                <w:color w:val="auto"/>
              </w:rPr>
            </w:pPr>
          </w:p>
        </w:tc>
        <w:tc>
          <w:tcPr>
            <w:tcW w:w="820" w:type="dxa"/>
            <w:vAlign w:val="bottom"/>
            <w:tcBorders>
              <w:bottom w:val="single" w:sz="8" w:color="A6A6A6"/>
            </w:tcBorders>
          </w:tcPr>
          <w:p>
            <w:pPr>
              <w:spacing w:after="0"/>
              <w:rPr>
                <w:sz w:val="6"/>
                <w:szCs w:val="6"/>
                <w:color w:val="auto"/>
              </w:rPr>
            </w:pPr>
          </w:p>
        </w:tc>
        <w:tc>
          <w:tcPr>
            <w:tcW w:w="4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140"/>
              <w:spacing w:after="0" w:line="183" w:lineRule="exact"/>
              <w:rPr>
                <w:sz w:val="20"/>
                <w:szCs w:val="20"/>
                <w:color w:val="auto"/>
              </w:rPr>
            </w:pPr>
            <w:r>
              <w:rPr>
                <w:rFonts w:ascii="Calibri" w:cs="Calibri" w:eastAsia="Calibri" w:hAnsi="Calibri"/>
                <w:sz w:val="16"/>
                <w:szCs w:val="16"/>
                <w:color w:val="auto"/>
              </w:rPr>
              <w:t>Acquisiton-related</w:t>
            </w:r>
          </w:p>
        </w:tc>
        <w:tc>
          <w:tcPr>
            <w:tcW w:w="22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Calibri" w:cs="Calibri" w:eastAsia="Calibri" w:hAnsi="Calibri"/>
                <w:sz w:val="16"/>
                <w:szCs w:val="16"/>
                <w:color w:val="auto"/>
              </w:rPr>
              <w:t>5,286</w:t>
            </w:r>
          </w:p>
        </w:tc>
        <w:tc>
          <w:tcPr>
            <w:tcW w:w="24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Calibri" w:cs="Calibri" w:eastAsia="Calibri" w:hAnsi="Calibri"/>
                <w:sz w:val="16"/>
                <w:szCs w:val="16"/>
                <w:color w:val="auto"/>
              </w:rPr>
              <w:t>2,114</w:t>
            </w:r>
          </w:p>
        </w:tc>
        <w:tc>
          <w:tcPr>
            <w:tcW w:w="20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Calibri" w:cs="Calibri" w:eastAsia="Calibri" w:hAnsi="Calibri"/>
                <w:sz w:val="16"/>
                <w:szCs w:val="16"/>
                <w:color w:val="auto"/>
              </w:rPr>
              <w:t>8,473</w:t>
            </w:r>
          </w:p>
        </w:tc>
        <w:tc>
          <w:tcPr>
            <w:tcW w:w="360" w:type="dxa"/>
            <w:vAlign w:val="bottom"/>
          </w:tcPr>
          <w:p>
            <w:pPr>
              <w:spacing w:after="0"/>
              <w:rPr>
                <w:sz w:val="15"/>
                <w:szCs w:val="15"/>
                <w:color w:val="auto"/>
              </w:rPr>
            </w:pPr>
          </w:p>
        </w:tc>
        <w:tc>
          <w:tcPr>
            <w:tcW w:w="960" w:type="dxa"/>
            <w:vAlign w:val="bottom"/>
          </w:tcPr>
          <w:p>
            <w:pPr>
              <w:jc w:val="right"/>
              <w:ind w:right="39"/>
              <w:spacing w:after="0" w:line="183" w:lineRule="exact"/>
              <w:rPr>
                <w:sz w:val="20"/>
                <w:szCs w:val="20"/>
                <w:color w:val="auto"/>
              </w:rPr>
            </w:pPr>
            <w:r>
              <w:rPr>
                <w:rFonts w:ascii="Calibri" w:cs="Calibri" w:eastAsia="Calibri" w:hAnsi="Calibri"/>
                <w:sz w:val="16"/>
                <w:szCs w:val="16"/>
                <w:color w:val="auto"/>
              </w:rPr>
              <w:t>1,229</w:t>
            </w:r>
          </w:p>
        </w:tc>
        <w:tc>
          <w:tcPr>
            <w:tcW w:w="38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Calibri" w:cs="Calibri" w:eastAsia="Calibri" w:hAnsi="Calibri"/>
                <w:sz w:val="16"/>
                <w:szCs w:val="16"/>
                <w:color w:val="auto"/>
              </w:rPr>
              <w:t>3,497</w:t>
            </w: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00" w:type="dxa"/>
            <w:vAlign w:val="bottom"/>
            <w:tcBorders>
              <w:top w:val="single" w:sz="8" w:color="A6A6A6"/>
              <w:bottom w:val="single" w:sz="8" w:color="A6A6A6"/>
            </w:tcBorders>
          </w:tcPr>
          <w:p>
            <w:pPr>
              <w:ind w:left="140"/>
              <w:spacing w:after="0" w:line="196" w:lineRule="exact"/>
              <w:rPr>
                <w:sz w:val="20"/>
                <w:szCs w:val="20"/>
                <w:color w:val="auto"/>
              </w:rPr>
            </w:pPr>
            <w:r>
              <w:rPr>
                <w:rFonts w:ascii="Calibri" w:cs="Calibri" w:eastAsia="Calibri" w:hAnsi="Calibri"/>
                <w:sz w:val="14"/>
                <w:szCs w:val="14"/>
                <w:color w:val="auto"/>
              </w:rPr>
              <w:t xml:space="preserve">Medical Device Regulaton expenses </w:t>
            </w:r>
            <w:r>
              <w:rPr>
                <w:rFonts w:ascii="Calibri" w:cs="Calibri" w:eastAsia="Calibri" w:hAnsi="Calibri"/>
                <w:sz w:val="21"/>
                <w:szCs w:val="21"/>
                <w:b w:val="1"/>
                <w:bCs w:val="1"/>
                <w:color w:val="AF0000"/>
                <w:vertAlign w:val="superscript"/>
              </w:rPr>
              <w:t>(4)</w:t>
            </w:r>
          </w:p>
        </w:tc>
        <w:tc>
          <w:tcPr>
            <w:tcW w:w="220" w:type="dxa"/>
            <w:vAlign w:val="bottom"/>
            <w:tcBorders>
              <w:top w:val="single" w:sz="8" w:color="A6A6A6"/>
              <w:bottom w:val="single" w:sz="8" w:color="A6A6A6"/>
            </w:tcBorders>
          </w:tcPr>
          <w:p>
            <w:pPr>
              <w:spacing w:after="0"/>
              <w:rPr>
                <w:sz w:val="17"/>
                <w:szCs w:val="17"/>
                <w:color w:val="auto"/>
              </w:rPr>
            </w:pPr>
          </w:p>
        </w:tc>
        <w:tc>
          <w:tcPr>
            <w:tcW w:w="820" w:type="dxa"/>
            <w:vAlign w:val="bottom"/>
            <w:tcBorders>
              <w:top w:val="single" w:sz="8" w:color="A6A6A6"/>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11,822</w:t>
            </w:r>
          </w:p>
        </w:tc>
        <w:tc>
          <w:tcPr>
            <w:tcW w:w="240" w:type="dxa"/>
            <w:vAlign w:val="bottom"/>
            <w:tcBorders>
              <w:top w:val="single" w:sz="8" w:color="A6A6A6"/>
              <w:bottom w:val="single" w:sz="8" w:color="A6A6A6"/>
            </w:tcBorders>
          </w:tcPr>
          <w:p>
            <w:pPr>
              <w:spacing w:after="0"/>
              <w:rPr>
                <w:sz w:val="17"/>
                <w:szCs w:val="17"/>
                <w:color w:val="auto"/>
              </w:rPr>
            </w:pPr>
          </w:p>
        </w:tc>
        <w:tc>
          <w:tcPr>
            <w:tcW w:w="780" w:type="dxa"/>
            <w:vAlign w:val="bottom"/>
            <w:tcBorders>
              <w:top w:val="single" w:sz="8" w:color="A6A6A6"/>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12,933</w:t>
            </w:r>
          </w:p>
        </w:tc>
        <w:tc>
          <w:tcPr>
            <w:tcW w:w="200" w:type="dxa"/>
            <w:vAlign w:val="bottom"/>
            <w:tcBorders>
              <w:top w:val="single" w:sz="8" w:color="A6A6A6"/>
              <w:bottom w:val="single" w:sz="8" w:color="A6A6A6"/>
            </w:tcBorders>
          </w:tcPr>
          <w:p>
            <w:pPr>
              <w:spacing w:after="0"/>
              <w:rPr>
                <w:sz w:val="17"/>
                <w:szCs w:val="17"/>
                <w:color w:val="auto"/>
              </w:rPr>
            </w:pPr>
          </w:p>
        </w:tc>
        <w:tc>
          <w:tcPr>
            <w:tcW w:w="700" w:type="dxa"/>
            <w:vAlign w:val="bottom"/>
            <w:tcBorders>
              <w:top w:val="single" w:sz="8" w:color="A6A6A6"/>
              <w:bottom w:val="single" w:sz="8" w:color="A6A6A6"/>
            </w:tcBorders>
          </w:tcPr>
          <w:p>
            <w:pPr>
              <w:jc w:val="right"/>
              <w:spacing w:after="0" w:line="193" w:lineRule="exact"/>
              <w:rPr>
                <w:sz w:val="20"/>
                <w:szCs w:val="20"/>
                <w:color w:val="auto"/>
              </w:rPr>
            </w:pPr>
            <w:r>
              <w:rPr>
                <w:rFonts w:ascii="Calibri" w:cs="Calibri" w:eastAsia="Calibri" w:hAnsi="Calibri"/>
                <w:sz w:val="16"/>
                <w:szCs w:val="16"/>
                <w:color w:val="auto"/>
              </w:rPr>
              <w:t>4,036</w:t>
            </w:r>
          </w:p>
        </w:tc>
        <w:tc>
          <w:tcPr>
            <w:tcW w:w="360" w:type="dxa"/>
            <w:vAlign w:val="bottom"/>
            <w:tcBorders>
              <w:top w:val="single" w:sz="8" w:color="A6A6A6"/>
              <w:bottom w:val="single" w:sz="8" w:color="A6A6A6"/>
            </w:tcBorders>
          </w:tcPr>
          <w:p>
            <w:pPr>
              <w:spacing w:after="0"/>
              <w:rPr>
                <w:sz w:val="17"/>
                <w:szCs w:val="17"/>
                <w:color w:val="auto"/>
              </w:rPr>
            </w:pPr>
          </w:p>
        </w:tc>
        <w:tc>
          <w:tcPr>
            <w:tcW w:w="960" w:type="dxa"/>
            <w:vAlign w:val="bottom"/>
            <w:tcBorders>
              <w:top w:val="single" w:sz="8" w:color="A6A6A6"/>
              <w:bottom w:val="single" w:sz="8" w:color="A6A6A6"/>
            </w:tcBorders>
          </w:tcPr>
          <w:p>
            <w:pPr>
              <w:jc w:val="right"/>
              <w:ind w:right="39"/>
              <w:spacing w:after="0" w:line="193" w:lineRule="exact"/>
              <w:rPr>
                <w:sz w:val="20"/>
                <w:szCs w:val="20"/>
                <w:color w:val="auto"/>
              </w:rPr>
            </w:pPr>
            <w:r>
              <w:rPr>
                <w:rFonts w:ascii="Calibri" w:cs="Calibri" w:eastAsia="Calibri" w:hAnsi="Calibri"/>
                <w:sz w:val="16"/>
                <w:szCs w:val="16"/>
                <w:color w:val="auto"/>
              </w:rPr>
              <w:t>1,379</w:t>
            </w:r>
          </w:p>
        </w:tc>
        <w:tc>
          <w:tcPr>
            <w:tcW w:w="380" w:type="dxa"/>
            <w:vAlign w:val="bottom"/>
            <w:tcBorders>
              <w:top w:val="single" w:sz="8" w:color="A6A6A6"/>
              <w:bottom w:val="single" w:sz="8" w:color="A6A6A6"/>
            </w:tcBorders>
          </w:tcPr>
          <w:p>
            <w:pPr>
              <w:spacing w:after="0"/>
              <w:rPr>
                <w:sz w:val="17"/>
                <w:szCs w:val="17"/>
                <w:color w:val="auto"/>
              </w:rPr>
            </w:pPr>
          </w:p>
        </w:tc>
        <w:tc>
          <w:tcPr>
            <w:tcW w:w="840" w:type="dxa"/>
            <w:vAlign w:val="bottom"/>
            <w:tcBorders>
              <w:top w:val="single" w:sz="8" w:color="A6A6A6"/>
              <w:bottom w:val="single" w:sz="8" w:color="A6A6A6"/>
            </w:tcBorders>
            <w:gridSpan w:val="2"/>
          </w:tcPr>
          <w:p>
            <w:pPr>
              <w:jc w:val="right"/>
              <w:ind w:right="20"/>
              <w:spacing w:after="0" w:line="193" w:lineRule="exact"/>
              <w:rPr>
                <w:sz w:val="20"/>
                <w:szCs w:val="20"/>
                <w:color w:val="auto"/>
              </w:rPr>
            </w:pPr>
            <w:r>
              <w:rPr>
                <w:rFonts w:ascii="Calibri" w:cs="Calibri" w:eastAsia="Calibri" w:hAnsi="Calibri"/>
                <w:sz w:val="16"/>
                <w:szCs w:val="16"/>
                <w:color w:val="auto"/>
              </w:rPr>
              <w:t>562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Pr>
          <w:p>
            <w:pPr>
              <w:ind w:left="140"/>
              <w:spacing w:after="0" w:line="196" w:lineRule="exact"/>
              <w:rPr>
                <w:sz w:val="20"/>
                <w:szCs w:val="20"/>
                <w:color w:val="auto"/>
              </w:rPr>
            </w:pPr>
            <w:r>
              <w:rPr>
                <w:rFonts w:ascii="Calibri" w:cs="Calibri" w:eastAsia="Calibri" w:hAnsi="Calibri"/>
                <w:sz w:val="14"/>
                <w:szCs w:val="14"/>
                <w:color w:val="auto"/>
              </w:rPr>
              <w:t xml:space="preserve">Other </w:t>
            </w:r>
            <w:r>
              <w:rPr>
                <w:rFonts w:ascii="Calibri" w:cs="Calibri" w:eastAsia="Calibri" w:hAnsi="Calibri"/>
                <w:sz w:val="21"/>
                <w:szCs w:val="21"/>
                <w:b w:val="1"/>
                <w:bCs w:val="1"/>
                <w:color w:val="AF0000"/>
                <w:vertAlign w:val="superscript"/>
              </w:rPr>
              <w:t>(5)</w:t>
            </w:r>
          </w:p>
        </w:tc>
        <w:tc>
          <w:tcPr>
            <w:tcW w:w="220" w:type="dxa"/>
            <w:vAlign w:val="bottom"/>
          </w:tcPr>
          <w:p>
            <w:pPr>
              <w:spacing w:after="0"/>
              <w:rPr>
                <w:sz w:val="17"/>
                <w:szCs w:val="17"/>
                <w:color w:val="auto"/>
              </w:rPr>
            </w:pPr>
          </w:p>
        </w:tc>
        <w:tc>
          <w:tcPr>
            <w:tcW w:w="820" w:type="dxa"/>
            <w:vAlign w:val="bottom"/>
          </w:tcPr>
          <w:p>
            <w:pPr>
              <w:jc w:val="right"/>
              <w:spacing w:after="0" w:line="193" w:lineRule="exact"/>
              <w:rPr>
                <w:sz w:val="20"/>
                <w:szCs w:val="20"/>
                <w:color w:val="auto"/>
              </w:rPr>
            </w:pPr>
            <w:r>
              <w:rPr>
                <w:rFonts w:ascii="Calibri" w:cs="Calibri" w:eastAsia="Calibri" w:hAnsi="Calibri"/>
                <w:sz w:val="16"/>
                <w:szCs w:val="16"/>
                <w:color w:val="auto"/>
              </w:rPr>
              <w:t>(1,268)</w:t>
            </w:r>
          </w:p>
        </w:tc>
        <w:tc>
          <w:tcPr>
            <w:tcW w:w="240" w:type="dxa"/>
            <w:vAlign w:val="bottom"/>
          </w:tcPr>
          <w:p>
            <w:pPr>
              <w:spacing w:after="0"/>
              <w:rPr>
                <w:sz w:val="17"/>
                <w:szCs w:val="17"/>
                <w:color w:val="auto"/>
              </w:rPr>
            </w:pP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7,966</w:t>
            </w:r>
          </w:p>
        </w:tc>
        <w:tc>
          <w:tcPr>
            <w:tcW w:w="200" w:type="dxa"/>
            <w:vAlign w:val="bottom"/>
          </w:tcPr>
          <w:p>
            <w:pPr>
              <w:spacing w:after="0"/>
              <w:rPr>
                <w:sz w:val="17"/>
                <w:szCs w:val="17"/>
                <w:color w:val="auto"/>
              </w:rPr>
            </w:pPr>
          </w:p>
        </w:tc>
        <w:tc>
          <w:tcPr>
            <w:tcW w:w="700" w:type="dxa"/>
            <w:vAlign w:val="bottom"/>
          </w:tcPr>
          <w:p>
            <w:pPr>
              <w:jc w:val="right"/>
              <w:spacing w:after="0" w:line="193" w:lineRule="exact"/>
              <w:rPr>
                <w:sz w:val="20"/>
                <w:szCs w:val="20"/>
                <w:color w:val="auto"/>
              </w:rPr>
            </w:pPr>
            <w:r>
              <w:rPr>
                <w:rFonts w:ascii="Calibri" w:cs="Calibri" w:eastAsia="Calibri" w:hAnsi="Calibri"/>
                <w:sz w:val="16"/>
                <w:szCs w:val="16"/>
                <w:color w:val="auto"/>
              </w:rPr>
              <w:t>16,652</w:t>
            </w:r>
          </w:p>
        </w:tc>
        <w:tc>
          <w:tcPr>
            <w:tcW w:w="360" w:type="dxa"/>
            <w:vAlign w:val="bottom"/>
          </w:tcPr>
          <w:p>
            <w:pPr>
              <w:spacing w:after="0"/>
              <w:rPr>
                <w:sz w:val="17"/>
                <w:szCs w:val="17"/>
                <w:color w:val="auto"/>
              </w:rPr>
            </w:pPr>
          </w:p>
        </w:tc>
        <w:tc>
          <w:tcPr>
            <w:tcW w:w="9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24,438</w:t>
            </w:r>
          </w:p>
        </w:tc>
        <w:tc>
          <w:tcPr>
            <w:tcW w:w="380" w:type="dxa"/>
            <w:vAlign w:val="bottom"/>
          </w:tcPr>
          <w:p>
            <w:pPr>
              <w:spacing w:after="0"/>
              <w:rPr>
                <w:sz w:val="17"/>
                <w:szCs w:val="17"/>
                <w:color w:val="auto"/>
              </w:rPr>
            </w:pPr>
          </w:p>
        </w:tc>
        <w:tc>
          <w:tcPr>
            <w:tcW w:w="840" w:type="dxa"/>
            <w:vAlign w:val="bottom"/>
            <w:gridSpan w:val="2"/>
          </w:tcPr>
          <w:p>
            <w:pPr>
              <w:jc w:val="right"/>
              <w:ind w:right="20"/>
              <w:spacing w:after="0" w:line="193" w:lineRule="exact"/>
              <w:rPr>
                <w:sz w:val="20"/>
                <w:szCs w:val="20"/>
                <w:color w:val="auto"/>
              </w:rPr>
            </w:pPr>
            <w:r>
              <w:rPr>
                <w:rFonts w:ascii="Calibri" w:cs="Calibri" w:eastAsia="Calibri" w:hAnsi="Calibri"/>
                <w:sz w:val="16"/>
                <w:szCs w:val="16"/>
                <w:color w:val="auto"/>
              </w:rPr>
              <w:t>7,282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00" w:type="dxa"/>
            <w:vAlign w:val="bottom"/>
            <w:tcBorders>
              <w:top w:val="single" w:sz="8" w:color="A6A6A6"/>
              <w:bottom w:val="single" w:sz="8" w:color="A6A6A6"/>
            </w:tcBorders>
          </w:tcPr>
          <w:p>
            <w:pPr>
              <w:spacing w:after="0"/>
              <w:rPr>
                <w:sz w:val="15"/>
                <w:szCs w:val="15"/>
                <w:color w:val="auto"/>
              </w:rPr>
            </w:pPr>
          </w:p>
        </w:tc>
        <w:tc>
          <w:tcPr>
            <w:tcW w:w="220" w:type="dxa"/>
            <w:vAlign w:val="bottom"/>
            <w:tcBorders>
              <w:top w:val="single" w:sz="8" w:color="A6A6A6"/>
              <w:bottom w:val="single" w:sz="8" w:color="A6A6A6"/>
            </w:tcBorders>
          </w:tcPr>
          <w:p>
            <w:pPr>
              <w:spacing w:after="0"/>
              <w:rPr>
                <w:sz w:val="15"/>
                <w:szCs w:val="15"/>
                <w:color w:val="auto"/>
              </w:rPr>
            </w:pPr>
          </w:p>
        </w:tc>
        <w:tc>
          <w:tcPr>
            <w:tcW w:w="820" w:type="dxa"/>
            <w:vAlign w:val="bottom"/>
            <w:tcBorders>
              <w:top w:val="single" w:sz="8" w:color="A6A6A6"/>
              <w:bottom w:val="single" w:sz="8" w:color="A6A6A6"/>
            </w:tcBorders>
          </w:tcPr>
          <w:p>
            <w:pPr>
              <w:spacing w:after="0"/>
              <w:rPr>
                <w:sz w:val="15"/>
                <w:szCs w:val="15"/>
                <w:color w:val="auto"/>
              </w:rPr>
            </w:pPr>
          </w:p>
        </w:tc>
        <w:tc>
          <w:tcPr>
            <w:tcW w:w="240" w:type="dxa"/>
            <w:vAlign w:val="bottom"/>
            <w:tcBorders>
              <w:top w:val="single" w:sz="8" w:color="A6A6A6"/>
              <w:bottom w:val="single" w:sz="8" w:color="A6A6A6"/>
            </w:tcBorders>
          </w:tcPr>
          <w:p>
            <w:pPr>
              <w:spacing w:after="0"/>
              <w:rPr>
                <w:sz w:val="15"/>
                <w:szCs w:val="15"/>
                <w:color w:val="auto"/>
              </w:rPr>
            </w:pPr>
          </w:p>
        </w:tc>
        <w:tc>
          <w:tcPr>
            <w:tcW w:w="780" w:type="dxa"/>
            <w:vAlign w:val="bottom"/>
            <w:tcBorders>
              <w:top w:val="single" w:sz="8" w:color="A6A6A6"/>
              <w:bottom w:val="single" w:sz="8" w:color="A6A6A6"/>
            </w:tcBorders>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700" w:type="dxa"/>
            <w:vAlign w:val="bottom"/>
            <w:tcBorders>
              <w:top w:val="single" w:sz="8" w:color="A6A6A6"/>
              <w:bottom w:val="single" w:sz="8" w:color="A6A6A6"/>
            </w:tcBorders>
          </w:tcPr>
          <w:p>
            <w:pPr>
              <w:spacing w:after="0"/>
              <w:rPr>
                <w:sz w:val="15"/>
                <w:szCs w:val="15"/>
                <w:color w:val="auto"/>
              </w:rPr>
            </w:pPr>
          </w:p>
        </w:tc>
        <w:tc>
          <w:tcPr>
            <w:tcW w:w="360" w:type="dxa"/>
            <w:vAlign w:val="bottom"/>
            <w:tcBorders>
              <w:top w:val="single" w:sz="8" w:color="A6A6A6"/>
              <w:bottom w:val="single" w:sz="8" w:color="A6A6A6"/>
            </w:tcBorders>
          </w:tcPr>
          <w:p>
            <w:pPr>
              <w:spacing w:after="0"/>
              <w:rPr>
                <w:sz w:val="15"/>
                <w:szCs w:val="15"/>
                <w:color w:val="auto"/>
              </w:rPr>
            </w:pPr>
          </w:p>
        </w:tc>
        <w:tc>
          <w:tcPr>
            <w:tcW w:w="960" w:type="dxa"/>
            <w:vAlign w:val="bottom"/>
            <w:tcBorders>
              <w:top w:val="single" w:sz="8" w:color="A6A6A6"/>
              <w:bottom w:val="single" w:sz="8" w:color="A6A6A6"/>
            </w:tcBorders>
          </w:tcPr>
          <w:p>
            <w:pPr>
              <w:spacing w:after="0"/>
              <w:rPr>
                <w:sz w:val="15"/>
                <w:szCs w:val="15"/>
                <w:color w:val="auto"/>
              </w:rPr>
            </w:pPr>
          </w:p>
        </w:tc>
        <w:tc>
          <w:tcPr>
            <w:tcW w:w="380" w:type="dxa"/>
            <w:vAlign w:val="bottom"/>
            <w:tcBorders>
              <w:top w:val="single" w:sz="8" w:color="A6A6A6"/>
              <w:bottom w:val="single" w:sz="8" w:color="A6A6A6"/>
            </w:tcBorders>
          </w:tcPr>
          <w:p>
            <w:pPr>
              <w:spacing w:after="0"/>
              <w:rPr>
                <w:sz w:val="15"/>
                <w:szCs w:val="15"/>
                <w:color w:val="auto"/>
              </w:rPr>
            </w:pPr>
          </w:p>
        </w:tc>
        <w:tc>
          <w:tcPr>
            <w:tcW w:w="820" w:type="dxa"/>
            <w:vAlign w:val="bottom"/>
            <w:tcBorders>
              <w:top w:val="single" w:sz="8" w:color="A6A6A6"/>
              <w:bottom w:val="single" w:sz="8" w:color="A6A6A6"/>
            </w:tcBorders>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00" w:type="dxa"/>
            <w:vAlign w:val="bottom"/>
          </w:tcPr>
          <w:p>
            <w:pPr>
              <w:spacing w:after="0" w:line="183" w:lineRule="exact"/>
              <w:rPr>
                <w:sz w:val="20"/>
                <w:szCs w:val="20"/>
                <w:color w:val="auto"/>
              </w:rPr>
            </w:pPr>
            <w:r>
              <w:rPr>
                <w:rFonts w:ascii="Calibri" w:cs="Calibri" w:eastAsia="Calibri" w:hAnsi="Calibri"/>
                <w:sz w:val="16"/>
                <w:szCs w:val="16"/>
                <w:color w:val="auto"/>
              </w:rPr>
              <w:t>Non-GAAP Operatng Income</w:t>
            </w:r>
          </w:p>
        </w:tc>
        <w:tc>
          <w:tcPr>
            <w:tcW w:w="220" w:type="dxa"/>
            <w:vAlign w:val="bottom"/>
          </w:tcPr>
          <w:p>
            <w:pPr>
              <w:jc w:val="right"/>
              <w:ind w:right="19"/>
              <w:spacing w:after="0" w:line="183" w:lineRule="exact"/>
              <w:rPr>
                <w:sz w:val="20"/>
                <w:szCs w:val="20"/>
                <w:color w:val="auto"/>
              </w:rPr>
            </w:pPr>
            <w:r>
              <w:rPr>
                <w:rFonts w:ascii="Calibri" w:cs="Calibri" w:eastAsia="Calibri" w:hAnsi="Calibri"/>
                <w:sz w:val="16"/>
                <w:szCs w:val="16"/>
                <w:color w:val="auto"/>
              </w:rPr>
              <w:t>$</w:t>
            </w:r>
          </w:p>
        </w:tc>
        <w:tc>
          <w:tcPr>
            <w:tcW w:w="820" w:type="dxa"/>
            <w:vAlign w:val="bottom"/>
          </w:tcPr>
          <w:p>
            <w:pPr>
              <w:jc w:val="right"/>
              <w:spacing w:after="0" w:line="183" w:lineRule="exact"/>
              <w:rPr>
                <w:sz w:val="20"/>
                <w:szCs w:val="20"/>
                <w:color w:val="auto"/>
              </w:rPr>
            </w:pPr>
            <w:r>
              <w:rPr>
                <w:rFonts w:ascii="Calibri" w:cs="Calibri" w:eastAsia="Calibri" w:hAnsi="Calibri"/>
                <w:sz w:val="16"/>
                <w:szCs w:val="16"/>
                <w:color w:val="auto"/>
              </w:rPr>
              <w:t>228,254</w:t>
            </w:r>
          </w:p>
        </w:tc>
        <w:tc>
          <w:tcPr>
            <w:tcW w:w="240" w:type="dxa"/>
            <w:vAlign w:val="bottom"/>
          </w:tcPr>
          <w:p>
            <w:pPr>
              <w:jc w:val="right"/>
              <w:spacing w:after="0" w:line="183" w:lineRule="exact"/>
              <w:rPr>
                <w:sz w:val="20"/>
                <w:szCs w:val="20"/>
                <w:color w:val="auto"/>
              </w:rPr>
            </w:pPr>
            <w:r>
              <w:rPr>
                <w:rFonts w:ascii="Calibri" w:cs="Calibri" w:eastAsia="Calibri" w:hAnsi="Calibri"/>
                <w:sz w:val="16"/>
                <w:szCs w:val="16"/>
                <w:color w:val="auto"/>
              </w:rPr>
              <w:t>$</w:t>
            </w:r>
          </w:p>
        </w:tc>
        <w:tc>
          <w:tcPr>
            <w:tcW w:w="780" w:type="dxa"/>
            <w:vAlign w:val="bottom"/>
          </w:tcPr>
          <w:p>
            <w:pPr>
              <w:jc w:val="right"/>
              <w:spacing w:after="0" w:line="183" w:lineRule="exact"/>
              <w:rPr>
                <w:sz w:val="20"/>
                <w:szCs w:val="20"/>
                <w:color w:val="auto"/>
              </w:rPr>
            </w:pPr>
            <w:r>
              <w:rPr>
                <w:rFonts w:ascii="Calibri" w:cs="Calibri" w:eastAsia="Calibri" w:hAnsi="Calibri"/>
                <w:sz w:val="16"/>
                <w:szCs w:val="16"/>
                <w:color w:val="auto"/>
              </w:rPr>
              <w:t>195,123</w:t>
            </w:r>
          </w:p>
        </w:tc>
        <w:tc>
          <w:tcPr>
            <w:tcW w:w="200" w:type="dxa"/>
            <w:vAlign w:val="bottom"/>
          </w:tcPr>
          <w:p>
            <w:pPr>
              <w:jc w:val="right"/>
              <w:spacing w:after="0" w:line="183" w:lineRule="exact"/>
              <w:rPr>
                <w:sz w:val="20"/>
                <w:szCs w:val="20"/>
                <w:color w:val="auto"/>
              </w:rPr>
            </w:pPr>
            <w:r>
              <w:rPr>
                <w:rFonts w:ascii="Calibri" w:cs="Calibri" w:eastAsia="Calibri" w:hAnsi="Calibri"/>
                <w:sz w:val="16"/>
                <w:szCs w:val="16"/>
                <w:color w:val="auto"/>
              </w:rPr>
              <w:t>$</w:t>
            </w:r>
          </w:p>
        </w:tc>
        <w:tc>
          <w:tcPr>
            <w:tcW w:w="700" w:type="dxa"/>
            <w:vAlign w:val="bottom"/>
          </w:tcPr>
          <w:p>
            <w:pPr>
              <w:jc w:val="right"/>
              <w:ind w:right="19"/>
              <w:spacing w:after="0" w:line="183" w:lineRule="exact"/>
              <w:rPr>
                <w:sz w:val="20"/>
                <w:szCs w:val="20"/>
                <w:color w:val="auto"/>
              </w:rPr>
            </w:pPr>
            <w:r>
              <w:rPr>
                <w:rFonts w:ascii="Calibri" w:cs="Calibri" w:eastAsia="Calibri" w:hAnsi="Calibri"/>
                <w:sz w:val="16"/>
                <w:szCs w:val="16"/>
                <w:color w:val="auto"/>
              </w:rPr>
              <w:t>172,461</w:t>
            </w:r>
          </w:p>
        </w:tc>
        <w:tc>
          <w:tcPr>
            <w:tcW w:w="360" w:type="dxa"/>
            <w:vAlign w:val="bottom"/>
          </w:tcPr>
          <w:p>
            <w:pPr>
              <w:jc w:val="right"/>
              <w:ind w:right="159"/>
              <w:spacing w:after="0" w:line="183" w:lineRule="exact"/>
              <w:rPr>
                <w:sz w:val="20"/>
                <w:szCs w:val="20"/>
                <w:color w:val="auto"/>
              </w:rPr>
            </w:pPr>
            <w:r>
              <w:rPr>
                <w:rFonts w:ascii="Calibri" w:cs="Calibri" w:eastAsia="Calibri" w:hAnsi="Calibri"/>
                <w:sz w:val="16"/>
                <w:szCs w:val="16"/>
                <w:color w:val="auto"/>
              </w:rPr>
              <w:t>$</w:t>
            </w:r>
          </w:p>
        </w:tc>
        <w:tc>
          <w:tcPr>
            <w:tcW w:w="960" w:type="dxa"/>
            <w:vAlign w:val="bottom"/>
          </w:tcPr>
          <w:p>
            <w:pPr>
              <w:jc w:val="right"/>
              <w:ind w:right="59"/>
              <w:spacing w:after="0" w:line="183" w:lineRule="exact"/>
              <w:rPr>
                <w:sz w:val="20"/>
                <w:szCs w:val="20"/>
                <w:color w:val="auto"/>
              </w:rPr>
            </w:pPr>
            <w:r>
              <w:rPr>
                <w:rFonts w:ascii="Calibri" w:cs="Calibri" w:eastAsia="Calibri" w:hAnsi="Calibri"/>
                <w:sz w:val="16"/>
                <w:szCs w:val="16"/>
                <w:color w:val="auto"/>
              </w:rPr>
              <w:t>132,520</w:t>
            </w:r>
          </w:p>
        </w:tc>
        <w:tc>
          <w:tcPr>
            <w:tcW w:w="380" w:type="dxa"/>
            <w:vAlign w:val="bottom"/>
          </w:tcPr>
          <w:p>
            <w:pPr>
              <w:jc w:val="right"/>
              <w:ind w:right="79"/>
              <w:spacing w:after="0" w:line="183" w:lineRule="exact"/>
              <w:rPr>
                <w:sz w:val="20"/>
                <w:szCs w:val="20"/>
                <w:color w:val="auto"/>
              </w:rPr>
            </w:pPr>
            <w:r>
              <w:rPr>
                <w:rFonts w:ascii="Calibri" w:cs="Calibri" w:eastAsia="Calibri" w:hAnsi="Calibri"/>
                <w:sz w:val="16"/>
                <w:szCs w:val="16"/>
                <w:color w:val="auto"/>
              </w:rPr>
              <w:t>$</w:t>
            </w:r>
          </w:p>
        </w:tc>
        <w:tc>
          <w:tcPr>
            <w:tcW w:w="840" w:type="dxa"/>
            <w:vAlign w:val="bottom"/>
            <w:gridSpan w:val="2"/>
          </w:tcPr>
          <w:p>
            <w:pPr>
              <w:jc w:val="right"/>
              <w:ind w:right="20"/>
              <w:spacing w:after="0" w:line="183" w:lineRule="exact"/>
              <w:rPr>
                <w:sz w:val="20"/>
                <w:szCs w:val="20"/>
                <w:color w:val="auto"/>
              </w:rPr>
            </w:pPr>
            <w:r>
              <w:rPr>
                <w:rFonts w:ascii="Calibri" w:cs="Calibri" w:eastAsia="Calibri" w:hAnsi="Calibri"/>
                <w:sz w:val="16"/>
                <w:szCs w:val="16"/>
                <w:color w:val="auto"/>
              </w:rPr>
              <w:t>117,637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00" w:type="dxa"/>
            <w:vAlign w:val="bottom"/>
            <w:tcBorders>
              <w:top w:val="single" w:sz="8" w:color="A6A6A6"/>
              <w:bottom w:val="single" w:sz="8" w:color="A6A6A6"/>
            </w:tcBorders>
          </w:tcPr>
          <w:p>
            <w:pPr>
              <w:spacing w:after="0"/>
              <w:rPr>
                <w:sz w:val="15"/>
                <w:szCs w:val="15"/>
                <w:color w:val="auto"/>
              </w:rPr>
            </w:pPr>
          </w:p>
        </w:tc>
        <w:tc>
          <w:tcPr>
            <w:tcW w:w="220" w:type="dxa"/>
            <w:vAlign w:val="bottom"/>
            <w:tcBorders>
              <w:top w:val="single" w:sz="8" w:color="A6A6A6"/>
              <w:bottom w:val="single" w:sz="8" w:color="A6A6A6"/>
            </w:tcBorders>
          </w:tcPr>
          <w:p>
            <w:pPr>
              <w:spacing w:after="0"/>
              <w:rPr>
                <w:sz w:val="15"/>
                <w:szCs w:val="15"/>
                <w:color w:val="auto"/>
              </w:rPr>
            </w:pPr>
          </w:p>
        </w:tc>
        <w:tc>
          <w:tcPr>
            <w:tcW w:w="820" w:type="dxa"/>
            <w:vAlign w:val="bottom"/>
            <w:tcBorders>
              <w:top w:val="single" w:sz="8" w:color="A6A6A6"/>
              <w:bottom w:val="single" w:sz="8" w:color="A6A6A6"/>
            </w:tcBorders>
          </w:tcPr>
          <w:p>
            <w:pPr>
              <w:spacing w:after="0"/>
              <w:rPr>
                <w:sz w:val="15"/>
                <w:szCs w:val="15"/>
                <w:color w:val="auto"/>
              </w:rPr>
            </w:pPr>
          </w:p>
        </w:tc>
        <w:tc>
          <w:tcPr>
            <w:tcW w:w="240" w:type="dxa"/>
            <w:vAlign w:val="bottom"/>
            <w:tcBorders>
              <w:top w:val="single" w:sz="8" w:color="A6A6A6"/>
              <w:bottom w:val="single" w:sz="8" w:color="A6A6A6"/>
            </w:tcBorders>
          </w:tcPr>
          <w:p>
            <w:pPr>
              <w:spacing w:after="0"/>
              <w:rPr>
                <w:sz w:val="15"/>
                <w:szCs w:val="15"/>
                <w:color w:val="auto"/>
              </w:rPr>
            </w:pPr>
          </w:p>
        </w:tc>
        <w:tc>
          <w:tcPr>
            <w:tcW w:w="780" w:type="dxa"/>
            <w:vAlign w:val="bottom"/>
            <w:tcBorders>
              <w:top w:val="single" w:sz="8" w:color="A6A6A6"/>
              <w:bottom w:val="single" w:sz="8" w:color="A6A6A6"/>
            </w:tcBorders>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700" w:type="dxa"/>
            <w:vAlign w:val="bottom"/>
            <w:tcBorders>
              <w:top w:val="single" w:sz="8" w:color="A6A6A6"/>
              <w:bottom w:val="single" w:sz="8" w:color="A6A6A6"/>
            </w:tcBorders>
          </w:tcPr>
          <w:p>
            <w:pPr>
              <w:spacing w:after="0"/>
              <w:rPr>
                <w:sz w:val="15"/>
                <w:szCs w:val="15"/>
                <w:color w:val="auto"/>
              </w:rPr>
            </w:pPr>
          </w:p>
        </w:tc>
        <w:tc>
          <w:tcPr>
            <w:tcW w:w="360" w:type="dxa"/>
            <w:vAlign w:val="bottom"/>
            <w:tcBorders>
              <w:top w:val="single" w:sz="8" w:color="A6A6A6"/>
              <w:bottom w:val="single" w:sz="8" w:color="A6A6A6"/>
            </w:tcBorders>
          </w:tcPr>
          <w:p>
            <w:pPr>
              <w:spacing w:after="0"/>
              <w:rPr>
                <w:sz w:val="15"/>
                <w:szCs w:val="15"/>
                <w:color w:val="auto"/>
              </w:rPr>
            </w:pPr>
          </w:p>
        </w:tc>
        <w:tc>
          <w:tcPr>
            <w:tcW w:w="960" w:type="dxa"/>
            <w:vAlign w:val="bottom"/>
            <w:tcBorders>
              <w:top w:val="single" w:sz="8" w:color="A6A6A6"/>
              <w:bottom w:val="single" w:sz="8" w:color="A6A6A6"/>
            </w:tcBorders>
          </w:tcPr>
          <w:p>
            <w:pPr>
              <w:spacing w:after="0"/>
              <w:rPr>
                <w:sz w:val="15"/>
                <w:szCs w:val="15"/>
                <w:color w:val="auto"/>
              </w:rPr>
            </w:pPr>
          </w:p>
        </w:tc>
        <w:tc>
          <w:tcPr>
            <w:tcW w:w="380" w:type="dxa"/>
            <w:vAlign w:val="bottom"/>
            <w:tcBorders>
              <w:top w:val="single" w:sz="8" w:color="A6A6A6"/>
              <w:bottom w:val="single" w:sz="8" w:color="A6A6A6"/>
            </w:tcBorders>
          </w:tcPr>
          <w:p>
            <w:pPr>
              <w:spacing w:after="0"/>
              <w:rPr>
                <w:sz w:val="15"/>
                <w:szCs w:val="15"/>
                <w:color w:val="auto"/>
              </w:rPr>
            </w:pPr>
          </w:p>
        </w:tc>
        <w:tc>
          <w:tcPr>
            <w:tcW w:w="820" w:type="dxa"/>
            <w:vAlign w:val="bottom"/>
            <w:tcBorders>
              <w:top w:val="single" w:sz="8" w:color="A6A6A6"/>
              <w:bottom w:val="single" w:sz="8" w:color="A6A6A6"/>
            </w:tcBorders>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00" w:type="dxa"/>
            <w:vAlign w:val="bottom"/>
            <w:tcBorders>
              <w:bottom w:val="single" w:sz="8" w:color="AF0000"/>
            </w:tcBorders>
          </w:tcPr>
          <w:p>
            <w:pPr>
              <w:spacing w:after="0" w:line="183" w:lineRule="exact"/>
              <w:rPr>
                <w:sz w:val="20"/>
                <w:szCs w:val="20"/>
                <w:color w:val="auto"/>
              </w:rPr>
            </w:pPr>
            <w:r>
              <w:rPr>
                <w:rFonts w:ascii="Calibri" w:cs="Calibri" w:eastAsia="Calibri" w:hAnsi="Calibri"/>
                <w:sz w:val="16"/>
                <w:szCs w:val="16"/>
                <w:color w:val="auto"/>
              </w:rPr>
              <w:t>Non-GAAP Operatng Margin</w:t>
            </w:r>
          </w:p>
        </w:tc>
        <w:tc>
          <w:tcPr>
            <w:tcW w:w="220" w:type="dxa"/>
            <w:vAlign w:val="bottom"/>
            <w:tcBorders>
              <w:bottom w:val="single" w:sz="8" w:color="AF0000"/>
            </w:tcBorders>
          </w:tcPr>
          <w:p>
            <w:pPr>
              <w:spacing w:after="0"/>
              <w:rPr>
                <w:sz w:val="16"/>
                <w:szCs w:val="16"/>
                <w:color w:val="auto"/>
              </w:rPr>
            </w:pPr>
          </w:p>
        </w:tc>
        <w:tc>
          <w:tcPr>
            <w:tcW w:w="820" w:type="dxa"/>
            <w:vAlign w:val="bottom"/>
            <w:tcBorders>
              <w:bottom w:val="single" w:sz="8" w:color="AF0000"/>
            </w:tcBorders>
          </w:tcPr>
          <w:p>
            <w:pPr>
              <w:jc w:val="right"/>
              <w:spacing w:after="0" w:line="183" w:lineRule="exact"/>
              <w:rPr>
                <w:sz w:val="20"/>
                <w:szCs w:val="20"/>
                <w:color w:val="auto"/>
              </w:rPr>
            </w:pPr>
            <w:r>
              <w:rPr>
                <w:rFonts w:ascii="Calibri" w:cs="Calibri" w:eastAsia="Calibri" w:hAnsi="Calibri"/>
                <w:sz w:val="16"/>
                <w:szCs w:val="16"/>
                <w:color w:val="auto"/>
              </w:rPr>
              <w:t>18.2%</w:t>
            </w:r>
          </w:p>
        </w:tc>
        <w:tc>
          <w:tcPr>
            <w:tcW w:w="240" w:type="dxa"/>
            <w:vAlign w:val="bottom"/>
            <w:tcBorders>
              <w:bottom w:val="single" w:sz="8" w:color="AF0000"/>
            </w:tcBorders>
          </w:tcPr>
          <w:p>
            <w:pPr>
              <w:spacing w:after="0"/>
              <w:rPr>
                <w:sz w:val="16"/>
                <w:szCs w:val="16"/>
                <w:color w:val="auto"/>
              </w:rPr>
            </w:pPr>
          </w:p>
        </w:tc>
        <w:tc>
          <w:tcPr>
            <w:tcW w:w="780" w:type="dxa"/>
            <w:vAlign w:val="bottom"/>
            <w:tcBorders>
              <w:bottom w:val="single" w:sz="8" w:color="AF0000"/>
            </w:tcBorders>
          </w:tcPr>
          <w:p>
            <w:pPr>
              <w:jc w:val="right"/>
              <w:spacing w:after="0" w:line="183" w:lineRule="exact"/>
              <w:rPr>
                <w:sz w:val="20"/>
                <w:szCs w:val="20"/>
                <w:color w:val="auto"/>
              </w:rPr>
            </w:pPr>
            <w:r>
              <w:rPr>
                <w:rFonts w:ascii="Calibri" w:cs="Calibri" w:eastAsia="Calibri" w:hAnsi="Calibri"/>
                <w:sz w:val="16"/>
                <w:szCs w:val="16"/>
                <w:color w:val="auto"/>
              </w:rPr>
              <w:t>17.0%</w:t>
            </w:r>
          </w:p>
        </w:tc>
        <w:tc>
          <w:tcPr>
            <w:tcW w:w="200" w:type="dxa"/>
            <w:vAlign w:val="bottom"/>
            <w:tcBorders>
              <w:bottom w:val="single" w:sz="8" w:color="AF0000"/>
            </w:tcBorders>
          </w:tcPr>
          <w:p>
            <w:pPr>
              <w:spacing w:after="0"/>
              <w:rPr>
                <w:sz w:val="16"/>
                <w:szCs w:val="16"/>
                <w:color w:val="auto"/>
              </w:rPr>
            </w:pPr>
          </w:p>
        </w:tc>
        <w:tc>
          <w:tcPr>
            <w:tcW w:w="700" w:type="dxa"/>
            <w:vAlign w:val="bottom"/>
            <w:tcBorders>
              <w:bottom w:val="single" w:sz="8" w:color="AF0000"/>
            </w:tcBorders>
          </w:tcPr>
          <w:p>
            <w:pPr>
              <w:jc w:val="right"/>
              <w:ind w:right="19"/>
              <w:spacing w:after="0" w:line="183" w:lineRule="exact"/>
              <w:rPr>
                <w:sz w:val="20"/>
                <w:szCs w:val="20"/>
                <w:color w:val="auto"/>
              </w:rPr>
            </w:pPr>
            <w:r>
              <w:rPr>
                <w:rFonts w:ascii="Calibri" w:cs="Calibri" w:eastAsia="Calibri" w:hAnsi="Calibri"/>
                <w:sz w:val="16"/>
                <w:szCs w:val="16"/>
                <w:color w:val="auto"/>
              </w:rPr>
              <w:t>16.0%</w:t>
            </w:r>
          </w:p>
        </w:tc>
        <w:tc>
          <w:tcPr>
            <w:tcW w:w="360" w:type="dxa"/>
            <w:vAlign w:val="bottom"/>
            <w:tcBorders>
              <w:bottom w:val="single" w:sz="8" w:color="AF0000"/>
            </w:tcBorders>
          </w:tcPr>
          <w:p>
            <w:pPr>
              <w:spacing w:after="0"/>
              <w:rPr>
                <w:sz w:val="16"/>
                <w:szCs w:val="16"/>
                <w:color w:val="auto"/>
              </w:rPr>
            </w:pPr>
          </w:p>
        </w:tc>
        <w:tc>
          <w:tcPr>
            <w:tcW w:w="960" w:type="dxa"/>
            <w:vAlign w:val="bottom"/>
            <w:tcBorders>
              <w:bottom w:val="single" w:sz="8" w:color="AF0000"/>
            </w:tcBorders>
          </w:tcPr>
          <w:p>
            <w:pPr>
              <w:jc w:val="right"/>
              <w:ind w:right="39"/>
              <w:spacing w:after="0" w:line="183" w:lineRule="exact"/>
              <w:rPr>
                <w:sz w:val="20"/>
                <w:szCs w:val="20"/>
                <w:color w:val="auto"/>
              </w:rPr>
            </w:pPr>
            <w:r>
              <w:rPr>
                <w:rFonts w:ascii="Calibri" w:cs="Calibri" w:eastAsia="Calibri" w:hAnsi="Calibri"/>
                <w:sz w:val="16"/>
                <w:szCs w:val="16"/>
                <w:color w:val="auto"/>
              </w:rPr>
              <w:t>13.7%</w:t>
            </w:r>
          </w:p>
        </w:tc>
        <w:tc>
          <w:tcPr>
            <w:tcW w:w="380" w:type="dxa"/>
            <w:vAlign w:val="bottom"/>
            <w:tcBorders>
              <w:bottom w:val="single" w:sz="8" w:color="AF0000"/>
            </w:tcBorders>
          </w:tcPr>
          <w:p>
            <w:pPr>
              <w:spacing w:after="0"/>
              <w:rPr>
                <w:sz w:val="16"/>
                <w:szCs w:val="16"/>
                <w:color w:val="auto"/>
              </w:rPr>
            </w:pPr>
          </w:p>
        </w:tc>
        <w:tc>
          <w:tcPr>
            <w:tcW w:w="840" w:type="dxa"/>
            <w:vAlign w:val="bottom"/>
            <w:tcBorders>
              <w:bottom w:val="single" w:sz="8" w:color="AF0000"/>
            </w:tcBorders>
            <w:gridSpan w:val="2"/>
          </w:tcPr>
          <w:p>
            <w:pPr>
              <w:jc w:val="right"/>
              <w:ind w:right="20"/>
              <w:spacing w:after="0" w:line="183" w:lineRule="exact"/>
              <w:rPr>
                <w:sz w:val="20"/>
                <w:szCs w:val="20"/>
                <w:color w:val="auto"/>
              </w:rPr>
            </w:pPr>
            <w:r>
              <w:rPr>
                <w:rFonts w:ascii="Calibri" w:cs="Calibri" w:eastAsia="Calibri" w:hAnsi="Calibri"/>
                <w:sz w:val="16"/>
                <w:szCs w:val="16"/>
                <w:color w:val="auto"/>
              </w:rPr>
              <w:t>11.8%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00"/>
        <w:spacing w:after="0"/>
        <w:rPr>
          <w:sz w:val="20"/>
          <w:szCs w:val="20"/>
          <w:color w:val="auto"/>
        </w:rPr>
      </w:pPr>
      <w:r>
        <w:rPr>
          <w:rFonts w:ascii="Calibri" w:cs="Calibri" w:eastAsia="Calibri" w:hAnsi="Calibri"/>
          <w:sz w:val="16"/>
          <w:szCs w:val="16"/>
          <w:color w:val="auto"/>
        </w:rPr>
        <w:t>Note: Certain per share impacts may not sum to totals due to rounding.</w:t>
      </w:r>
    </w:p>
    <w:p>
      <w:pPr>
        <w:spacing w:after="0" w:line="184" w:lineRule="exact"/>
        <w:rPr>
          <w:sz w:val="20"/>
          <w:szCs w:val="20"/>
          <w:color w:val="auto"/>
        </w:rPr>
      </w:pPr>
    </w:p>
    <w:p>
      <w:pPr>
        <w:ind w:left="540" w:right="399" w:hanging="331"/>
        <w:spacing w:after="0" w:line="235" w:lineRule="auto"/>
        <w:tabs>
          <w:tab w:leader="none" w:pos="540" w:val="left"/>
        </w:tabs>
        <w:numPr>
          <w:ilvl w:val="0"/>
          <w:numId w:val="117"/>
        </w:numPr>
        <w:rPr>
          <w:rFonts w:ascii="Calibri" w:cs="Calibri" w:eastAsia="Calibri" w:hAnsi="Calibri"/>
          <w:sz w:val="16"/>
          <w:szCs w:val="16"/>
          <w:color w:val="AF0000"/>
        </w:rPr>
      </w:pPr>
      <w:r>
        <w:rPr>
          <w:rFonts w:ascii="Calibri" w:cs="Calibri" w:eastAsia="Calibri" w:hAnsi="Calibri"/>
          <w:sz w:val="16"/>
          <w:szCs w:val="16"/>
          <w:color w:val="auto"/>
        </w:rPr>
        <w:t>Represents corporate restructuring charges refected within costs of sales including the write-of of inventory related to the divestture or exit of certain businesses or product lines.</w:t>
      </w:r>
    </w:p>
    <w:p>
      <w:pPr>
        <w:spacing w:after="0" w:line="7" w:lineRule="exact"/>
        <w:rPr>
          <w:rFonts w:ascii="Calibri" w:cs="Calibri" w:eastAsia="Calibri" w:hAnsi="Calibri"/>
          <w:sz w:val="16"/>
          <w:szCs w:val="16"/>
          <w:color w:val="AF0000"/>
        </w:rPr>
      </w:pPr>
    </w:p>
    <w:p>
      <w:pPr>
        <w:ind w:left="540" w:hanging="331"/>
        <w:spacing w:after="0"/>
        <w:tabs>
          <w:tab w:leader="none" w:pos="540" w:val="left"/>
        </w:tabs>
        <w:numPr>
          <w:ilvl w:val="0"/>
          <w:numId w:val="117"/>
        </w:numPr>
        <w:rPr>
          <w:rFonts w:ascii="Calibri" w:cs="Calibri" w:eastAsia="Calibri" w:hAnsi="Calibri"/>
          <w:sz w:val="16"/>
          <w:szCs w:val="16"/>
          <w:color w:val="AF0000"/>
        </w:rPr>
      </w:pPr>
      <w:r>
        <w:rPr>
          <w:rFonts w:ascii="Calibri" w:cs="Calibri" w:eastAsia="Calibri" w:hAnsi="Calibri"/>
          <w:sz w:val="16"/>
          <w:szCs w:val="16"/>
          <w:color w:val="auto"/>
        </w:rPr>
        <w:t>Represents performance-based share-based compensaton expense, including stock-setled and cash-setled awards.</w:t>
      </w:r>
    </w:p>
    <w:p>
      <w:pPr>
        <w:ind w:left="540" w:right="299" w:hanging="331"/>
        <w:spacing w:after="0" w:line="232" w:lineRule="auto"/>
        <w:tabs>
          <w:tab w:leader="none" w:pos="540" w:val="left"/>
        </w:tabs>
        <w:numPr>
          <w:ilvl w:val="0"/>
          <w:numId w:val="117"/>
        </w:numPr>
        <w:rPr>
          <w:rFonts w:ascii="Calibri" w:cs="Calibri" w:eastAsia="Calibri" w:hAnsi="Calibri"/>
          <w:sz w:val="16"/>
          <w:szCs w:val="16"/>
          <w:color w:val="AF0000"/>
        </w:rPr>
      </w:pPr>
      <w:r>
        <w:rPr>
          <w:rFonts w:ascii="Calibri" w:cs="Calibri" w:eastAsia="Calibri" w:hAnsi="Calibri"/>
          <w:sz w:val="16"/>
          <w:szCs w:val="16"/>
          <w:color w:val="auto"/>
        </w:rPr>
        <w:t>Includes severance related to corporate initatves, write-ofs and valuaton adjustments of other long-term assets associated with restructuring actvites, expenses related to the Foundatons for Growth Program, and other transformaton costs.</w:t>
      </w:r>
    </w:p>
    <w:p>
      <w:pPr>
        <w:spacing w:after="0" w:line="7" w:lineRule="exact"/>
        <w:rPr>
          <w:rFonts w:ascii="Calibri" w:cs="Calibri" w:eastAsia="Calibri" w:hAnsi="Calibri"/>
          <w:sz w:val="16"/>
          <w:szCs w:val="16"/>
          <w:color w:val="AF0000"/>
        </w:rPr>
      </w:pPr>
    </w:p>
    <w:p>
      <w:pPr>
        <w:ind w:left="540" w:hanging="331"/>
        <w:spacing w:after="0"/>
        <w:tabs>
          <w:tab w:leader="none" w:pos="540" w:val="left"/>
        </w:tabs>
        <w:numPr>
          <w:ilvl w:val="0"/>
          <w:numId w:val="117"/>
        </w:numPr>
        <w:rPr>
          <w:rFonts w:ascii="Calibri" w:cs="Calibri" w:eastAsia="Calibri" w:hAnsi="Calibri"/>
          <w:sz w:val="16"/>
          <w:szCs w:val="16"/>
          <w:color w:val="AF0000"/>
        </w:rPr>
      </w:pPr>
      <w:r>
        <w:rPr>
          <w:rFonts w:ascii="Calibri" w:cs="Calibri" w:eastAsia="Calibri" w:hAnsi="Calibri"/>
          <w:sz w:val="16"/>
          <w:szCs w:val="16"/>
          <w:color w:val="auto"/>
        </w:rPr>
        <w:t>Represents incremental expenses incurred to comply with the E.U. Medical Device Regulaton (“MDR”).</w:t>
      </w:r>
    </w:p>
    <w:p>
      <w:pPr>
        <w:ind w:left="540" w:right="259" w:hanging="331"/>
        <w:spacing w:after="0" w:line="236" w:lineRule="auto"/>
        <w:tabs>
          <w:tab w:leader="none" w:pos="540" w:val="left"/>
        </w:tabs>
        <w:numPr>
          <w:ilvl w:val="0"/>
          <w:numId w:val="117"/>
        </w:numPr>
        <w:rPr>
          <w:rFonts w:ascii="Calibri" w:cs="Calibri" w:eastAsia="Calibri" w:hAnsi="Calibri"/>
          <w:sz w:val="16"/>
          <w:szCs w:val="16"/>
          <w:color w:val="AF0000"/>
        </w:rPr>
      </w:pPr>
      <w:r>
        <w:rPr>
          <w:rFonts w:ascii="Calibri" w:cs="Calibri" w:eastAsia="Calibri" w:hAnsi="Calibri"/>
          <w:sz w:val="16"/>
          <w:szCs w:val="16"/>
          <w:color w:val="auto"/>
        </w:rPr>
        <w:t>Represents expense from acquired in-process research and development, charges related to abandoned patents, costs incurred in responding to an inquiry from the U.S. Department of Justce (</w:t>
      </w:r>
      <w:r>
        <w:rPr>
          <w:rFonts w:ascii="Calibri" w:cs="Calibri" w:eastAsia="Calibri" w:hAnsi="Calibri"/>
          <w:sz w:val="16"/>
          <w:szCs w:val="16"/>
          <w:u w:val="single" w:color="auto"/>
          <w:color w:val="auto"/>
        </w:rPr>
        <w:t>DOJ</w:t>
      </w:r>
      <w:r>
        <w:rPr>
          <w:rFonts w:ascii="Calibri" w:cs="Calibri" w:eastAsia="Calibri" w:hAnsi="Calibri"/>
          <w:sz w:val="16"/>
          <w:szCs w:val="16"/>
          <w:color w:val="auto"/>
        </w:rPr>
        <w:t>), costs to comply with Merit’s corporate integrity agreement with the DOJ, insurance reimbursement of approximately $(3.0) million for costs incurred in responding to an inquiry by the DOJ in 2023, legal costs associated with a shareholder derivatve proceeding in 2022, accrued class acton litgaton setlement costs of $10 million in 2021, net of expected insurance proceeds, accrued contract terminaton costs of approximately $6 million in 2021 to renegotate certain terms of an acquisiton agreement, $18.7 million of setlement costs in 2020 to fully resolve an investgaton conducted by the DOJ, and actvist shareholder setlement fees in 2020.</w:t>
      </w:r>
    </w:p>
    <w:p>
      <w:pPr>
        <w:spacing w:after="0" w:line="5" w:lineRule="exact"/>
        <w:rPr>
          <w:rFonts w:ascii="Calibri" w:cs="Calibri" w:eastAsia="Calibri" w:hAnsi="Calibri"/>
          <w:sz w:val="16"/>
          <w:szCs w:val="16"/>
          <w:color w:val="AF0000"/>
        </w:rPr>
      </w:pPr>
    </w:p>
    <w:p>
      <w:pPr>
        <w:ind w:left="540" w:right="239" w:hanging="331"/>
        <w:spacing w:after="0" w:line="232" w:lineRule="auto"/>
        <w:tabs>
          <w:tab w:leader="none" w:pos="540" w:val="left"/>
        </w:tabs>
        <w:numPr>
          <w:ilvl w:val="0"/>
          <w:numId w:val="117"/>
        </w:numPr>
        <w:rPr>
          <w:rFonts w:ascii="Calibri" w:cs="Calibri" w:eastAsia="Calibri" w:hAnsi="Calibri"/>
          <w:sz w:val="16"/>
          <w:szCs w:val="16"/>
          <w:color w:val="AF0000"/>
        </w:rPr>
      </w:pPr>
      <w:r>
        <w:rPr>
          <w:rFonts w:ascii="Calibri" w:cs="Calibri" w:eastAsia="Calibri" w:hAnsi="Calibri"/>
          <w:sz w:val="16"/>
          <w:szCs w:val="16"/>
          <w:color w:val="auto"/>
        </w:rPr>
        <w:t>Represents net tax expense related to non-recurring tax withholdings in connecton with restructuring of certain internatonal subsidiaries.</w:t>
      </w:r>
    </w:p>
    <w:p>
      <w:pPr>
        <w:spacing w:after="0" w:line="200" w:lineRule="exact"/>
        <w:rPr>
          <w:sz w:val="20"/>
          <w:szCs w:val="20"/>
          <w:color w:val="auto"/>
        </w:rPr>
      </w:pPr>
    </w:p>
    <w:p>
      <w:pPr>
        <w:spacing w:after="0" w:line="237" w:lineRule="exact"/>
        <w:rPr>
          <w:sz w:val="20"/>
          <w:szCs w:val="20"/>
          <w:color w:val="auto"/>
        </w:rPr>
      </w:pPr>
    </w:p>
    <w:p>
      <w:pPr>
        <w:ind w:left="7300"/>
        <w:spacing w:after="0"/>
        <w:rPr>
          <w:sz w:val="20"/>
          <w:szCs w:val="20"/>
          <w:color w:val="auto"/>
        </w:rPr>
      </w:pPr>
      <w:r>
        <w:rPr>
          <w:rFonts w:ascii="Calibri" w:cs="Calibri" w:eastAsia="Calibri" w:hAnsi="Calibri"/>
          <w:sz w:val="17"/>
          <w:szCs w:val="17"/>
          <w:color w:val="auto"/>
        </w:rPr>
        <w:t xml:space="preserve">www.merit.com </w:t>
      </w:r>
      <w:r>
        <w:rPr>
          <w:rFonts w:ascii="Calibri" w:cs="Calibri" w:eastAsia="Calibri" w:hAnsi="Calibri"/>
          <w:sz w:val="17"/>
          <w:szCs w:val="17"/>
          <w:color w:val="AF0000"/>
        </w:rPr>
        <w:t>|</w:t>
      </w:r>
      <w:r>
        <w:rPr>
          <w:rFonts w:ascii="Calibri" w:cs="Calibri" w:eastAsia="Calibri" w:hAnsi="Calibri"/>
          <w:sz w:val="17"/>
          <w:szCs w:val="17"/>
          <w:color w:val="auto"/>
        </w:rPr>
        <w:t xml:space="preserv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362585</wp:posOffset>
            </wp:positionV>
            <wp:extent cx="545211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101" w:name="page102"/>
    <w:bookmarkEnd w:id="101"/>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OTHER PROXY INFORMATION</w:t>
      </w:r>
    </w:p>
    <w:p>
      <w:pPr>
        <w:spacing w:after="0" w:line="131" w:lineRule="exact"/>
        <w:rPr>
          <w:sz w:val="20"/>
          <w:szCs w:val="20"/>
          <w:color w:val="auto"/>
        </w:rPr>
      </w:pPr>
    </w:p>
    <w:p>
      <w:pPr>
        <w:ind w:left="2480"/>
        <w:spacing w:after="0"/>
        <w:rPr>
          <w:sz w:val="20"/>
          <w:szCs w:val="20"/>
          <w:color w:val="auto"/>
        </w:rPr>
      </w:pPr>
      <w:r>
        <w:rPr>
          <w:rFonts w:ascii="Calibri" w:cs="Calibri" w:eastAsia="Calibri" w:hAnsi="Calibri"/>
          <w:sz w:val="18"/>
          <w:szCs w:val="18"/>
          <w:b w:val="1"/>
          <w:bCs w:val="1"/>
          <w:color w:val="auto"/>
        </w:rPr>
        <w:t>RECONCILIATION OF REPORTED GROSS MARGIN (GAAP)</w:t>
      </w:r>
    </w:p>
    <w:p>
      <w:pPr>
        <w:spacing w:after="0" w:line="37" w:lineRule="exact"/>
        <w:rPr>
          <w:sz w:val="20"/>
          <w:szCs w:val="20"/>
          <w:color w:val="auto"/>
        </w:rPr>
      </w:pPr>
    </w:p>
    <w:p>
      <w:pPr>
        <w:ind w:left="2880"/>
        <w:spacing w:after="0"/>
        <w:rPr>
          <w:sz w:val="20"/>
          <w:szCs w:val="20"/>
          <w:color w:val="auto"/>
        </w:rPr>
      </w:pPr>
      <w:r>
        <w:rPr>
          <w:rFonts w:ascii="Calibri" w:cs="Calibri" w:eastAsia="Calibri" w:hAnsi="Calibri"/>
          <w:sz w:val="18"/>
          <w:szCs w:val="18"/>
          <w:b w:val="1"/>
          <w:bCs w:val="1"/>
          <w:color w:val="auto"/>
        </w:rPr>
        <w:t>TO NON-GAAP GROSS MARGIN (NON-GAAP)</w:t>
      </w:r>
    </w:p>
    <w:p>
      <w:pPr>
        <w:spacing w:after="0" w:line="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(UNAUDITED, AS A PERCENTAGE OF REPORTED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134620</wp:posOffset>
            </wp:positionV>
            <wp:extent cx="545211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Calibri" w:cs="Calibri" w:eastAsia="Calibri" w:hAnsi="Calibri"/>
                <w:sz w:val="16"/>
                <w:szCs w:val="16"/>
                <w:b w:val="1"/>
                <w:bCs w:val="1"/>
                <w:color w:val="auto"/>
                <w:w w:val="98"/>
              </w:rPr>
              <w:t>Year Ended</w:t>
            </w: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Calibri" w:cs="Calibri" w:eastAsia="Calibri" w:hAnsi="Calibri"/>
                <w:sz w:val="16"/>
                <w:szCs w:val="16"/>
                <w:b w:val="1"/>
                <w:bCs w:val="1"/>
                <w:color w:val="auto"/>
              </w:rPr>
              <w:t>December 31,</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60" w:type="dxa"/>
            <w:vAlign w:val="bottom"/>
          </w:tcPr>
          <w:p>
            <w:pPr>
              <w:jc w:val="center"/>
              <w:ind w:left="199"/>
              <w:spacing w:after="0"/>
              <w:rPr>
                <w:sz w:val="20"/>
                <w:szCs w:val="20"/>
                <w:color w:val="auto"/>
              </w:rPr>
            </w:pPr>
            <w:r>
              <w:rPr>
                <w:rFonts w:ascii="Calibri" w:cs="Calibri" w:eastAsia="Calibri" w:hAnsi="Calibri"/>
                <w:sz w:val="16"/>
                <w:szCs w:val="16"/>
                <w:b w:val="1"/>
                <w:bCs w:val="1"/>
                <w:color w:val="auto"/>
                <w:w w:val="98"/>
              </w:rPr>
              <w:t>2023</w:t>
            </w:r>
          </w:p>
        </w:tc>
        <w:tc>
          <w:tcPr>
            <w:tcW w:w="760" w:type="dxa"/>
            <w:vAlign w:val="bottom"/>
          </w:tcPr>
          <w:p>
            <w:pPr>
              <w:jc w:val="center"/>
              <w:ind w:left="79"/>
              <w:spacing w:after="0"/>
              <w:rPr>
                <w:sz w:val="20"/>
                <w:szCs w:val="20"/>
                <w:color w:val="auto"/>
              </w:rPr>
            </w:pPr>
            <w:r>
              <w:rPr>
                <w:rFonts w:ascii="Calibri" w:cs="Calibri" w:eastAsia="Calibri" w:hAnsi="Calibri"/>
                <w:sz w:val="16"/>
                <w:szCs w:val="16"/>
                <w:b w:val="1"/>
                <w:bCs w:val="1"/>
                <w:color w:val="auto"/>
                <w:w w:val="98"/>
              </w:rPr>
              <w:t>2022</w:t>
            </w:r>
          </w:p>
        </w:tc>
        <w:tc>
          <w:tcPr>
            <w:tcW w:w="1160" w:type="dxa"/>
            <w:vAlign w:val="bottom"/>
          </w:tcPr>
          <w:p>
            <w:pPr>
              <w:jc w:val="center"/>
              <w:spacing w:after="0"/>
              <w:rPr>
                <w:sz w:val="20"/>
                <w:szCs w:val="20"/>
                <w:color w:val="auto"/>
              </w:rPr>
            </w:pPr>
            <w:r>
              <w:rPr>
                <w:rFonts w:ascii="Calibri" w:cs="Calibri" w:eastAsia="Calibri" w:hAnsi="Calibri"/>
                <w:sz w:val="16"/>
                <w:szCs w:val="16"/>
                <w:b w:val="1"/>
                <w:bCs w:val="1"/>
                <w:color w:val="auto"/>
              </w:rPr>
              <w:t>2021</w:t>
            </w:r>
          </w:p>
        </w:tc>
        <w:tc>
          <w:tcPr>
            <w:tcW w:w="760" w:type="dxa"/>
            <w:vAlign w:val="bottom"/>
          </w:tcPr>
          <w:p>
            <w:pPr>
              <w:jc w:val="center"/>
              <w:ind w:right="39"/>
              <w:spacing w:after="0"/>
              <w:rPr>
                <w:sz w:val="20"/>
                <w:szCs w:val="20"/>
                <w:color w:val="auto"/>
              </w:rPr>
            </w:pPr>
            <w:r>
              <w:rPr>
                <w:rFonts w:ascii="Calibri" w:cs="Calibri" w:eastAsia="Calibri" w:hAnsi="Calibri"/>
                <w:sz w:val="16"/>
                <w:szCs w:val="16"/>
                <w:b w:val="1"/>
                <w:bCs w:val="1"/>
                <w:color w:val="auto"/>
                <w:w w:val="98"/>
              </w:rPr>
              <w:t>2020</w:t>
            </w:r>
          </w:p>
        </w:tc>
        <w:tc>
          <w:tcPr>
            <w:tcW w:w="900" w:type="dxa"/>
            <w:vAlign w:val="bottom"/>
          </w:tcPr>
          <w:p>
            <w:pPr>
              <w:jc w:val="center"/>
              <w:spacing w:after="0"/>
              <w:rPr>
                <w:sz w:val="20"/>
                <w:szCs w:val="20"/>
                <w:color w:val="auto"/>
              </w:rPr>
            </w:pPr>
            <w:r>
              <w:rPr>
                <w:rFonts w:ascii="Calibri" w:cs="Calibri" w:eastAsia="Calibri" w:hAnsi="Calibri"/>
                <w:sz w:val="16"/>
                <w:szCs w:val="16"/>
                <w:b w:val="1"/>
                <w:bCs w:val="1"/>
                <w:color w:val="auto"/>
                <w:w w:val="98"/>
              </w:rPr>
              <w:t>2019</w:t>
            </w:r>
          </w:p>
        </w:tc>
      </w:tr>
      <w:tr>
        <w:trPr>
          <w:trHeight w:val="35"/>
        </w:trPr>
        <w:tc>
          <w:tcPr>
            <w:tcW w:w="386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3840" w:type="dxa"/>
            <w:vAlign w:val="bottom"/>
            <w:tcBorders>
              <w:top w:val="single" w:sz="8" w:color="AF0000"/>
              <w:bottom w:val="single" w:sz="8" w:color="A6A6A6"/>
            </w:tcBorders>
          </w:tcPr>
          <w:p>
            <w:pPr>
              <w:spacing w:after="0" w:line="189" w:lineRule="exact"/>
              <w:rPr>
                <w:sz w:val="20"/>
                <w:szCs w:val="20"/>
                <w:color w:val="auto"/>
              </w:rPr>
            </w:pPr>
            <w:r>
              <w:rPr>
                <w:rFonts w:ascii="Calibri" w:cs="Calibri" w:eastAsia="Calibri" w:hAnsi="Calibri"/>
                <w:sz w:val="16"/>
                <w:szCs w:val="16"/>
                <w:color w:val="auto"/>
              </w:rPr>
              <w:t>Reported Gross Margin</w:t>
            </w:r>
          </w:p>
        </w:tc>
        <w:tc>
          <w:tcPr>
            <w:tcW w:w="1160" w:type="dxa"/>
            <w:vAlign w:val="bottom"/>
            <w:tcBorders>
              <w:top w:val="single" w:sz="8" w:color="AF0000"/>
              <w:bottom w:val="single" w:sz="8" w:color="A6A6A6"/>
            </w:tcBorders>
          </w:tcPr>
          <w:p>
            <w:pPr>
              <w:jc w:val="center"/>
              <w:ind w:left="199"/>
              <w:spacing w:after="0" w:line="189" w:lineRule="exact"/>
              <w:rPr>
                <w:sz w:val="20"/>
                <w:szCs w:val="20"/>
                <w:color w:val="auto"/>
              </w:rPr>
            </w:pPr>
            <w:r>
              <w:rPr>
                <w:rFonts w:ascii="Calibri" w:cs="Calibri" w:eastAsia="Calibri" w:hAnsi="Calibri"/>
                <w:sz w:val="16"/>
                <w:szCs w:val="16"/>
                <w:color w:val="auto"/>
              </w:rPr>
              <w:t>46.4%</w:t>
            </w:r>
          </w:p>
        </w:tc>
        <w:tc>
          <w:tcPr>
            <w:tcW w:w="760" w:type="dxa"/>
            <w:vAlign w:val="bottom"/>
            <w:tcBorders>
              <w:top w:val="single" w:sz="8" w:color="AF0000"/>
              <w:bottom w:val="single" w:sz="8" w:color="A6A6A6"/>
            </w:tcBorders>
          </w:tcPr>
          <w:p>
            <w:pPr>
              <w:jc w:val="center"/>
              <w:ind w:left="79"/>
              <w:spacing w:after="0" w:line="189" w:lineRule="exact"/>
              <w:rPr>
                <w:sz w:val="20"/>
                <w:szCs w:val="20"/>
                <w:color w:val="auto"/>
              </w:rPr>
            </w:pPr>
            <w:r>
              <w:rPr>
                <w:rFonts w:ascii="Calibri" w:cs="Calibri" w:eastAsia="Calibri" w:hAnsi="Calibri"/>
                <w:sz w:val="16"/>
                <w:szCs w:val="16"/>
                <w:color w:val="auto"/>
              </w:rPr>
              <w:t>45.1%</w:t>
            </w:r>
          </w:p>
        </w:tc>
        <w:tc>
          <w:tcPr>
            <w:tcW w:w="1160" w:type="dxa"/>
            <w:vAlign w:val="bottom"/>
            <w:tcBorders>
              <w:top w:val="single" w:sz="8" w:color="AF0000"/>
              <w:bottom w:val="single" w:sz="8" w:color="A6A6A6"/>
            </w:tcBorders>
          </w:tcPr>
          <w:p>
            <w:pPr>
              <w:jc w:val="center"/>
              <w:spacing w:after="0" w:line="189" w:lineRule="exact"/>
              <w:rPr>
                <w:sz w:val="20"/>
                <w:szCs w:val="20"/>
                <w:color w:val="auto"/>
              </w:rPr>
            </w:pPr>
            <w:r>
              <w:rPr>
                <w:rFonts w:ascii="Calibri" w:cs="Calibri" w:eastAsia="Calibri" w:hAnsi="Calibri"/>
                <w:sz w:val="16"/>
                <w:szCs w:val="16"/>
                <w:color w:val="auto"/>
              </w:rPr>
              <w:t>45.2%</w:t>
            </w:r>
          </w:p>
        </w:tc>
        <w:tc>
          <w:tcPr>
            <w:tcW w:w="760" w:type="dxa"/>
            <w:vAlign w:val="bottom"/>
            <w:tcBorders>
              <w:top w:val="single" w:sz="8" w:color="AF0000"/>
              <w:bottom w:val="single" w:sz="8" w:color="A6A6A6"/>
            </w:tcBorders>
          </w:tcPr>
          <w:p>
            <w:pPr>
              <w:jc w:val="center"/>
              <w:ind w:right="39"/>
              <w:spacing w:after="0" w:line="189" w:lineRule="exact"/>
              <w:rPr>
                <w:sz w:val="20"/>
                <w:szCs w:val="20"/>
                <w:color w:val="auto"/>
              </w:rPr>
            </w:pPr>
            <w:r>
              <w:rPr>
                <w:rFonts w:ascii="Calibri" w:cs="Calibri" w:eastAsia="Calibri" w:hAnsi="Calibri"/>
                <w:sz w:val="16"/>
                <w:szCs w:val="16"/>
                <w:color w:val="auto"/>
              </w:rPr>
              <w:t>41.6%</w:t>
            </w:r>
          </w:p>
        </w:tc>
        <w:tc>
          <w:tcPr>
            <w:tcW w:w="900" w:type="dxa"/>
            <w:vAlign w:val="bottom"/>
            <w:tcBorders>
              <w:top w:val="single" w:sz="8" w:color="AF0000"/>
              <w:bottom w:val="single" w:sz="8" w:color="A6A6A6"/>
            </w:tcBorders>
          </w:tcPr>
          <w:p>
            <w:pPr>
              <w:jc w:val="center"/>
              <w:spacing w:after="0" w:line="189" w:lineRule="exact"/>
              <w:rPr>
                <w:sz w:val="20"/>
                <w:szCs w:val="20"/>
                <w:color w:val="auto"/>
              </w:rPr>
            </w:pPr>
            <w:r>
              <w:rPr>
                <w:rFonts w:ascii="Calibri" w:cs="Calibri" w:eastAsia="Calibri" w:hAnsi="Calibri"/>
                <w:sz w:val="16"/>
                <w:szCs w:val="16"/>
                <w:color w:val="auto"/>
              </w:rPr>
              <w:t>43.5%</w:t>
            </w:r>
          </w:p>
        </w:tc>
      </w:tr>
      <w:tr>
        <w:trPr>
          <w:trHeight w:val="209"/>
        </w:trPr>
        <w:tc>
          <w:tcPr>
            <w:tcW w:w="20" w:type="dxa"/>
            <w:vAlign w:val="bottom"/>
            <w:tcBorders>
              <w:bottom w:val="single" w:sz="8" w:color="A6A6A6"/>
            </w:tcBorders>
          </w:tcPr>
          <w:p>
            <w:pPr>
              <w:spacing w:after="0"/>
              <w:rPr>
                <w:sz w:val="18"/>
                <w:szCs w:val="18"/>
                <w:color w:val="auto"/>
              </w:rPr>
            </w:pPr>
          </w:p>
        </w:tc>
        <w:tc>
          <w:tcPr>
            <w:tcW w:w="38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r>
      <w:tr>
        <w:trPr>
          <w:trHeight w:val="187"/>
        </w:trPr>
        <w:tc>
          <w:tcPr>
            <w:tcW w:w="3860" w:type="dxa"/>
            <w:vAlign w:val="bottom"/>
            <w:gridSpan w:val="2"/>
          </w:tcPr>
          <w:p>
            <w:pPr>
              <w:spacing w:after="0" w:line="187" w:lineRule="exact"/>
              <w:rPr>
                <w:sz w:val="20"/>
                <w:szCs w:val="20"/>
                <w:color w:val="auto"/>
              </w:rPr>
            </w:pPr>
            <w:r>
              <w:rPr>
                <w:rFonts w:ascii="Calibri" w:cs="Calibri" w:eastAsia="Calibri" w:hAnsi="Calibri"/>
                <w:sz w:val="16"/>
                <w:szCs w:val="16"/>
                <w:i w:val="1"/>
                <w:iCs w:val="1"/>
                <w:color w:val="auto"/>
              </w:rPr>
              <w:t>Add back impact of:</w:t>
            </w: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20" w:type="dxa"/>
            <w:vAlign w:val="bottom"/>
          </w:tcPr>
          <w:p>
            <w:pPr>
              <w:spacing w:after="0" w:line="20" w:lineRule="exact"/>
              <w:rPr>
                <w:sz w:val="1"/>
                <w:szCs w:val="1"/>
                <w:color w:val="auto"/>
              </w:rPr>
            </w:pPr>
          </w:p>
        </w:tc>
        <w:tc>
          <w:tcPr>
            <w:tcW w:w="3840" w:type="dxa"/>
            <w:vAlign w:val="bottom"/>
            <w:tcBorders>
              <w:bottom w:val="single" w:sz="8" w:color="A6A6A6"/>
            </w:tcBorders>
          </w:tcPr>
          <w:p>
            <w:pPr>
              <w:spacing w:after="0" w:line="20" w:lineRule="exact"/>
              <w:rPr>
                <w:sz w:val="1"/>
                <w:szCs w:val="1"/>
                <w:color w:val="auto"/>
              </w:rPr>
            </w:pPr>
          </w:p>
        </w:tc>
        <w:tc>
          <w:tcPr>
            <w:tcW w:w="1160" w:type="dxa"/>
            <w:vAlign w:val="bottom"/>
            <w:tcBorders>
              <w:bottom w:val="single" w:sz="8" w:color="A6A6A6"/>
            </w:tcBorders>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1160" w:type="dxa"/>
            <w:vAlign w:val="bottom"/>
            <w:tcBorders>
              <w:bottom w:val="single" w:sz="8" w:color="A6A6A6"/>
            </w:tcBorders>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A6A6A6"/>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840" w:type="dxa"/>
            <w:vAlign w:val="bottom"/>
            <w:tcBorders>
              <w:bottom w:val="single" w:sz="8" w:color="A6A6A6"/>
            </w:tcBorders>
          </w:tcPr>
          <w:p>
            <w:pPr>
              <w:ind w:left="60"/>
              <w:spacing w:after="0" w:line="183" w:lineRule="exact"/>
              <w:rPr>
                <w:sz w:val="20"/>
                <w:szCs w:val="20"/>
                <w:color w:val="auto"/>
              </w:rPr>
            </w:pPr>
            <w:r>
              <w:rPr>
                <w:rFonts w:ascii="Calibri" w:cs="Calibri" w:eastAsia="Calibri" w:hAnsi="Calibri"/>
                <w:sz w:val="16"/>
                <w:szCs w:val="16"/>
                <w:color w:val="auto"/>
              </w:rPr>
              <w:t>Amortzaton of intangibles</w:t>
            </w:r>
          </w:p>
        </w:tc>
        <w:tc>
          <w:tcPr>
            <w:tcW w:w="1160" w:type="dxa"/>
            <w:vAlign w:val="bottom"/>
            <w:tcBorders>
              <w:bottom w:val="single" w:sz="8" w:color="A6A6A6"/>
            </w:tcBorders>
          </w:tcPr>
          <w:p>
            <w:pPr>
              <w:jc w:val="center"/>
              <w:ind w:left="199"/>
              <w:spacing w:after="0" w:line="183" w:lineRule="exact"/>
              <w:rPr>
                <w:sz w:val="20"/>
                <w:szCs w:val="20"/>
                <w:color w:val="auto"/>
              </w:rPr>
            </w:pPr>
            <w:r>
              <w:rPr>
                <w:rFonts w:ascii="Calibri" w:cs="Calibri" w:eastAsia="Calibri" w:hAnsi="Calibri"/>
                <w:sz w:val="16"/>
                <w:szCs w:val="16"/>
                <w:color w:val="auto"/>
              </w:rPr>
              <w:t>3.8%</w:t>
            </w:r>
          </w:p>
        </w:tc>
        <w:tc>
          <w:tcPr>
            <w:tcW w:w="760" w:type="dxa"/>
            <w:vAlign w:val="bottom"/>
            <w:tcBorders>
              <w:bottom w:val="single" w:sz="8" w:color="A6A6A6"/>
            </w:tcBorders>
          </w:tcPr>
          <w:p>
            <w:pPr>
              <w:jc w:val="center"/>
              <w:ind w:left="79"/>
              <w:spacing w:after="0" w:line="183" w:lineRule="exact"/>
              <w:rPr>
                <w:sz w:val="20"/>
                <w:szCs w:val="20"/>
                <w:color w:val="auto"/>
              </w:rPr>
            </w:pPr>
            <w:r>
              <w:rPr>
                <w:rFonts w:ascii="Calibri" w:cs="Calibri" w:eastAsia="Calibri" w:hAnsi="Calibri"/>
                <w:sz w:val="16"/>
                <w:szCs w:val="16"/>
                <w:color w:val="auto"/>
              </w:rPr>
              <w:t>3.7%</w:t>
            </w:r>
          </w:p>
        </w:tc>
        <w:tc>
          <w:tcPr>
            <w:tcW w:w="1160" w:type="dxa"/>
            <w:vAlign w:val="bottom"/>
            <w:tcBorders>
              <w:bottom w:val="single" w:sz="8" w:color="A6A6A6"/>
            </w:tcBorders>
          </w:tcPr>
          <w:p>
            <w:pPr>
              <w:jc w:val="center"/>
              <w:spacing w:after="0" w:line="183" w:lineRule="exact"/>
              <w:rPr>
                <w:sz w:val="20"/>
                <w:szCs w:val="20"/>
                <w:color w:val="auto"/>
              </w:rPr>
            </w:pPr>
            <w:r>
              <w:rPr>
                <w:rFonts w:ascii="Calibri" w:cs="Calibri" w:eastAsia="Calibri" w:hAnsi="Calibri"/>
                <w:sz w:val="16"/>
                <w:szCs w:val="16"/>
                <w:color w:val="auto"/>
              </w:rPr>
              <w:t>4.0%</w:t>
            </w:r>
          </w:p>
        </w:tc>
        <w:tc>
          <w:tcPr>
            <w:tcW w:w="760" w:type="dxa"/>
            <w:vAlign w:val="bottom"/>
            <w:tcBorders>
              <w:bottom w:val="single" w:sz="8" w:color="A6A6A6"/>
            </w:tcBorders>
          </w:tcPr>
          <w:p>
            <w:pPr>
              <w:jc w:val="center"/>
              <w:ind w:right="39"/>
              <w:spacing w:after="0" w:line="183" w:lineRule="exact"/>
              <w:rPr>
                <w:sz w:val="20"/>
                <w:szCs w:val="20"/>
                <w:color w:val="auto"/>
              </w:rPr>
            </w:pPr>
            <w:r>
              <w:rPr>
                <w:rFonts w:ascii="Calibri" w:cs="Calibri" w:eastAsia="Calibri" w:hAnsi="Calibri"/>
                <w:sz w:val="16"/>
                <w:szCs w:val="16"/>
                <w:color w:val="auto"/>
              </w:rPr>
              <w:t>5.3%</w:t>
            </w:r>
          </w:p>
        </w:tc>
        <w:tc>
          <w:tcPr>
            <w:tcW w:w="900" w:type="dxa"/>
            <w:vAlign w:val="bottom"/>
            <w:tcBorders>
              <w:bottom w:val="single" w:sz="8" w:color="A6A6A6"/>
            </w:tcBorders>
          </w:tcPr>
          <w:p>
            <w:pPr>
              <w:jc w:val="center"/>
              <w:spacing w:after="0" w:line="183" w:lineRule="exact"/>
              <w:rPr>
                <w:sz w:val="20"/>
                <w:szCs w:val="20"/>
                <w:color w:val="auto"/>
              </w:rPr>
            </w:pPr>
            <w:r>
              <w:rPr>
                <w:rFonts w:ascii="Calibri" w:cs="Calibri" w:eastAsia="Calibri" w:hAnsi="Calibri"/>
                <w:sz w:val="16"/>
                <w:szCs w:val="16"/>
                <w:color w:val="auto"/>
              </w:rPr>
              <w:t>5.0%</w:t>
            </w:r>
          </w:p>
        </w:tc>
      </w:tr>
      <w:tr>
        <w:trPr>
          <w:trHeight w:val="196"/>
        </w:trPr>
        <w:tc>
          <w:tcPr>
            <w:tcW w:w="20" w:type="dxa"/>
            <w:vAlign w:val="bottom"/>
          </w:tcPr>
          <w:p>
            <w:pPr>
              <w:spacing w:after="0"/>
              <w:rPr>
                <w:sz w:val="17"/>
                <w:szCs w:val="17"/>
                <w:color w:val="auto"/>
              </w:rPr>
            </w:pPr>
          </w:p>
        </w:tc>
        <w:tc>
          <w:tcPr>
            <w:tcW w:w="3840" w:type="dxa"/>
            <w:vAlign w:val="bottom"/>
            <w:tcBorders>
              <w:bottom w:val="single" w:sz="8" w:color="A6A6A6"/>
            </w:tcBorders>
          </w:tcPr>
          <w:p>
            <w:pPr>
              <w:ind w:left="60"/>
              <w:spacing w:after="0" w:line="196" w:lineRule="exact"/>
              <w:rPr>
                <w:sz w:val="20"/>
                <w:szCs w:val="20"/>
                <w:color w:val="auto"/>
              </w:rPr>
            </w:pPr>
            <w:r>
              <w:rPr>
                <w:rFonts w:ascii="Calibri" w:cs="Calibri" w:eastAsia="Calibri" w:hAnsi="Calibri"/>
                <w:sz w:val="14"/>
                <w:szCs w:val="14"/>
                <w:color w:val="auto"/>
              </w:rPr>
              <w:t xml:space="preserve">Corporate restructuring and inventory write-of </w:t>
            </w:r>
            <w:r>
              <w:rPr>
                <w:rFonts w:ascii="Calibri" w:cs="Calibri" w:eastAsia="Calibri" w:hAnsi="Calibri"/>
                <w:sz w:val="21"/>
                <w:szCs w:val="21"/>
                <w:b w:val="1"/>
                <w:bCs w:val="1"/>
                <w:color w:val="AF0000"/>
                <w:vertAlign w:val="superscript"/>
              </w:rPr>
              <w:t>(1)</w:t>
            </w:r>
          </w:p>
        </w:tc>
        <w:tc>
          <w:tcPr>
            <w:tcW w:w="1160" w:type="dxa"/>
            <w:vAlign w:val="bottom"/>
            <w:tcBorders>
              <w:bottom w:val="single" w:sz="8" w:color="A6A6A6"/>
            </w:tcBorders>
          </w:tcPr>
          <w:p>
            <w:pPr>
              <w:jc w:val="center"/>
              <w:ind w:left="199"/>
              <w:spacing w:after="0" w:line="193" w:lineRule="exact"/>
              <w:rPr>
                <w:sz w:val="20"/>
                <w:szCs w:val="20"/>
                <w:color w:val="auto"/>
              </w:rPr>
            </w:pPr>
            <w:r>
              <w:rPr>
                <w:rFonts w:ascii="Calibri" w:cs="Calibri" w:eastAsia="Calibri" w:hAnsi="Calibri"/>
                <w:sz w:val="16"/>
                <w:szCs w:val="16"/>
                <w:color w:val="auto"/>
              </w:rPr>
              <w:t>0.0%</w:t>
            </w:r>
          </w:p>
        </w:tc>
        <w:tc>
          <w:tcPr>
            <w:tcW w:w="760" w:type="dxa"/>
            <w:vAlign w:val="bottom"/>
            <w:tcBorders>
              <w:bottom w:val="single" w:sz="8" w:color="A6A6A6"/>
            </w:tcBorders>
          </w:tcPr>
          <w:p>
            <w:pPr>
              <w:jc w:val="center"/>
              <w:ind w:left="59"/>
              <w:spacing w:after="0" w:line="193" w:lineRule="exact"/>
              <w:rPr>
                <w:sz w:val="20"/>
                <w:szCs w:val="20"/>
                <w:color w:val="auto"/>
              </w:rPr>
            </w:pPr>
            <w:r>
              <w:rPr>
                <w:rFonts w:ascii="Calibri" w:cs="Calibri" w:eastAsia="Calibri" w:hAnsi="Calibri"/>
                <w:sz w:val="16"/>
                <w:szCs w:val="16"/>
                <w:color w:val="auto"/>
                <w:w w:val="96"/>
              </w:rPr>
              <w:t>—</w:t>
            </w:r>
          </w:p>
        </w:tc>
        <w:tc>
          <w:tcPr>
            <w:tcW w:w="1160" w:type="dxa"/>
            <w:vAlign w:val="bottom"/>
            <w:tcBorders>
              <w:bottom w:val="single" w:sz="8" w:color="A6A6A6"/>
            </w:tcBorders>
          </w:tcPr>
          <w:p>
            <w:pPr>
              <w:jc w:val="center"/>
              <w:spacing w:after="0" w:line="193" w:lineRule="exact"/>
              <w:rPr>
                <w:sz w:val="20"/>
                <w:szCs w:val="20"/>
                <w:color w:val="auto"/>
              </w:rPr>
            </w:pPr>
            <w:r>
              <w:rPr>
                <w:rFonts w:ascii="Calibri" w:cs="Calibri" w:eastAsia="Calibri" w:hAnsi="Calibri"/>
                <w:sz w:val="16"/>
                <w:szCs w:val="16"/>
                <w:color w:val="auto"/>
              </w:rPr>
              <w:t>0.2%</w:t>
            </w:r>
          </w:p>
        </w:tc>
        <w:tc>
          <w:tcPr>
            <w:tcW w:w="760" w:type="dxa"/>
            <w:vAlign w:val="bottom"/>
            <w:tcBorders>
              <w:bottom w:val="single" w:sz="8" w:color="A6A6A6"/>
            </w:tcBorders>
          </w:tcPr>
          <w:p>
            <w:pPr>
              <w:jc w:val="center"/>
              <w:ind w:right="39"/>
              <w:spacing w:after="0" w:line="193" w:lineRule="exact"/>
              <w:rPr>
                <w:sz w:val="20"/>
                <w:szCs w:val="20"/>
                <w:color w:val="auto"/>
              </w:rPr>
            </w:pPr>
            <w:r>
              <w:rPr>
                <w:rFonts w:ascii="Calibri" w:cs="Calibri" w:eastAsia="Calibri" w:hAnsi="Calibri"/>
                <w:sz w:val="16"/>
                <w:szCs w:val="16"/>
                <w:color w:val="auto"/>
              </w:rPr>
              <w:t>0.2%</w:t>
            </w:r>
          </w:p>
        </w:tc>
        <w:tc>
          <w:tcPr>
            <w:tcW w:w="900" w:type="dxa"/>
            <w:vAlign w:val="bottom"/>
            <w:tcBorders>
              <w:bottom w:val="single" w:sz="8" w:color="A6A6A6"/>
            </w:tcBorders>
          </w:tcPr>
          <w:p>
            <w:pPr>
              <w:jc w:val="center"/>
              <w:spacing w:after="0" w:line="193" w:lineRule="exact"/>
              <w:rPr>
                <w:sz w:val="20"/>
                <w:szCs w:val="20"/>
                <w:color w:val="auto"/>
              </w:rPr>
            </w:pPr>
            <w:r>
              <w:rPr>
                <w:rFonts w:ascii="Calibri" w:cs="Calibri" w:eastAsia="Calibri" w:hAnsi="Calibri"/>
                <w:sz w:val="16"/>
                <w:szCs w:val="16"/>
                <w:color w:val="auto"/>
                <w:w w:val="96"/>
              </w:rPr>
              <w:t>—</w:t>
            </w:r>
          </w:p>
        </w:tc>
      </w:tr>
      <w:tr>
        <w:trPr>
          <w:trHeight w:val="183"/>
        </w:trPr>
        <w:tc>
          <w:tcPr>
            <w:tcW w:w="20" w:type="dxa"/>
            <w:vAlign w:val="bottom"/>
          </w:tcPr>
          <w:p>
            <w:pPr>
              <w:spacing w:after="0"/>
              <w:rPr>
                <w:sz w:val="15"/>
                <w:szCs w:val="15"/>
                <w:color w:val="auto"/>
              </w:rPr>
            </w:pPr>
          </w:p>
        </w:tc>
        <w:tc>
          <w:tcPr>
            <w:tcW w:w="3840" w:type="dxa"/>
            <w:vAlign w:val="bottom"/>
            <w:tcBorders>
              <w:bottom w:val="single" w:sz="8" w:color="A6A6A6"/>
            </w:tcBorders>
          </w:tcPr>
          <w:p>
            <w:pPr>
              <w:ind w:left="60"/>
              <w:spacing w:after="0" w:line="183" w:lineRule="exact"/>
              <w:rPr>
                <w:sz w:val="20"/>
                <w:szCs w:val="20"/>
                <w:color w:val="auto"/>
              </w:rPr>
            </w:pPr>
            <w:r>
              <w:rPr>
                <w:rFonts w:ascii="Calibri" w:cs="Calibri" w:eastAsia="Calibri" w:hAnsi="Calibri"/>
                <w:sz w:val="16"/>
                <w:szCs w:val="16"/>
                <w:color w:val="auto"/>
              </w:rPr>
              <w:t>Inventory mark-up related to acquisitons</w:t>
            </w:r>
          </w:p>
        </w:tc>
        <w:tc>
          <w:tcPr>
            <w:tcW w:w="1160" w:type="dxa"/>
            <w:vAlign w:val="bottom"/>
            <w:tcBorders>
              <w:bottom w:val="single" w:sz="8" w:color="A6A6A6"/>
            </w:tcBorders>
          </w:tcPr>
          <w:p>
            <w:pPr>
              <w:jc w:val="center"/>
              <w:ind w:left="199"/>
              <w:spacing w:after="0" w:line="183" w:lineRule="exact"/>
              <w:rPr>
                <w:sz w:val="20"/>
                <w:szCs w:val="20"/>
                <w:color w:val="auto"/>
              </w:rPr>
            </w:pPr>
            <w:r>
              <w:rPr>
                <w:rFonts w:ascii="Calibri" w:cs="Calibri" w:eastAsia="Calibri" w:hAnsi="Calibri"/>
                <w:sz w:val="16"/>
                <w:szCs w:val="16"/>
                <w:color w:val="auto"/>
              </w:rPr>
              <w:t>0.2%</w:t>
            </w:r>
          </w:p>
        </w:tc>
        <w:tc>
          <w:tcPr>
            <w:tcW w:w="760" w:type="dxa"/>
            <w:vAlign w:val="bottom"/>
            <w:tcBorders>
              <w:bottom w:val="single" w:sz="8" w:color="A6A6A6"/>
            </w:tcBorders>
          </w:tcPr>
          <w:p>
            <w:pPr>
              <w:jc w:val="center"/>
              <w:ind w:left="59"/>
              <w:spacing w:after="0" w:line="183" w:lineRule="exact"/>
              <w:rPr>
                <w:sz w:val="20"/>
                <w:szCs w:val="20"/>
                <w:color w:val="auto"/>
              </w:rPr>
            </w:pPr>
            <w:r>
              <w:rPr>
                <w:rFonts w:ascii="Calibri" w:cs="Calibri" w:eastAsia="Calibri" w:hAnsi="Calibri"/>
                <w:sz w:val="16"/>
                <w:szCs w:val="16"/>
                <w:color w:val="auto"/>
                <w:w w:val="96"/>
              </w:rPr>
              <w:t>—</w:t>
            </w:r>
          </w:p>
        </w:tc>
        <w:tc>
          <w:tcPr>
            <w:tcW w:w="1160" w:type="dxa"/>
            <w:vAlign w:val="bottom"/>
            <w:tcBorders>
              <w:bottom w:val="single" w:sz="8" w:color="A6A6A6"/>
            </w:tcBorders>
          </w:tcPr>
          <w:p>
            <w:pPr>
              <w:jc w:val="center"/>
              <w:spacing w:after="0" w:line="183" w:lineRule="exact"/>
              <w:rPr>
                <w:sz w:val="20"/>
                <w:szCs w:val="20"/>
                <w:color w:val="auto"/>
              </w:rPr>
            </w:pPr>
            <w:r>
              <w:rPr>
                <w:rFonts w:ascii="Calibri" w:cs="Calibri" w:eastAsia="Calibri" w:hAnsi="Calibri"/>
                <w:sz w:val="16"/>
                <w:szCs w:val="16"/>
                <w:color w:val="auto"/>
                <w:w w:val="96"/>
              </w:rPr>
              <w:t>—</w:t>
            </w:r>
          </w:p>
        </w:tc>
        <w:tc>
          <w:tcPr>
            <w:tcW w:w="760" w:type="dxa"/>
            <w:vAlign w:val="bottom"/>
            <w:tcBorders>
              <w:bottom w:val="single" w:sz="8" w:color="A6A6A6"/>
            </w:tcBorders>
          </w:tcPr>
          <w:p>
            <w:pPr>
              <w:jc w:val="center"/>
              <w:ind w:right="39"/>
              <w:spacing w:after="0" w:line="183" w:lineRule="exact"/>
              <w:rPr>
                <w:sz w:val="20"/>
                <w:szCs w:val="20"/>
                <w:color w:val="auto"/>
              </w:rPr>
            </w:pPr>
            <w:r>
              <w:rPr>
                <w:rFonts w:ascii="Calibri" w:cs="Calibri" w:eastAsia="Calibri" w:hAnsi="Calibri"/>
                <w:sz w:val="16"/>
                <w:szCs w:val="16"/>
                <w:color w:val="auto"/>
              </w:rPr>
              <w:t>0.0%</w:t>
            </w:r>
          </w:p>
        </w:tc>
        <w:tc>
          <w:tcPr>
            <w:tcW w:w="900" w:type="dxa"/>
            <w:vAlign w:val="bottom"/>
            <w:tcBorders>
              <w:bottom w:val="single" w:sz="8" w:color="A6A6A6"/>
            </w:tcBorders>
          </w:tcPr>
          <w:p>
            <w:pPr>
              <w:jc w:val="center"/>
              <w:spacing w:after="0" w:line="183" w:lineRule="exact"/>
              <w:rPr>
                <w:sz w:val="20"/>
                <w:szCs w:val="20"/>
                <w:color w:val="auto"/>
              </w:rPr>
            </w:pPr>
            <w:r>
              <w:rPr>
                <w:rFonts w:ascii="Calibri" w:cs="Calibri" w:eastAsia="Calibri" w:hAnsi="Calibri"/>
                <w:sz w:val="16"/>
                <w:szCs w:val="16"/>
                <w:color w:val="auto"/>
              </w:rPr>
              <w:t>0.1%</w:t>
            </w:r>
          </w:p>
        </w:tc>
      </w:tr>
      <w:tr>
        <w:trPr>
          <w:trHeight w:val="190"/>
        </w:trPr>
        <w:tc>
          <w:tcPr>
            <w:tcW w:w="20" w:type="dxa"/>
            <w:vAlign w:val="bottom"/>
            <w:tcBorders>
              <w:bottom w:val="single" w:sz="8" w:color="AF0000"/>
            </w:tcBorders>
          </w:tcPr>
          <w:p>
            <w:pPr>
              <w:spacing w:after="0"/>
              <w:rPr>
                <w:sz w:val="16"/>
                <w:szCs w:val="16"/>
                <w:color w:val="auto"/>
              </w:rPr>
            </w:pPr>
          </w:p>
        </w:tc>
        <w:tc>
          <w:tcPr>
            <w:tcW w:w="3840" w:type="dxa"/>
            <w:vAlign w:val="bottom"/>
            <w:tcBorders>
              <w:bottom w:val="single" w:sz="8" w:color="AF0000"/>
            </w:tcBorders>
          </w:tcPr>
          <w:p>
            <w:pPr>
              <w:spacing w:after="0" w:line="183" w:lineRule="exact"/>
              <w:rPr>
                <w:sz w:val="20"/>
                <w:szCs w:val="20"/>
                <w:color w:val="auto"/>
              </w:rPr>
            </w:pPr>
            <w:r>
              <w:rPr>
                <w:rFonts w:ascii="Calibri" w:cs="Calibri" w:eastAsia="Calibri" w:hAnsi="Calibri"/>
                <w:sz w:val="16"/>
                <w:szCs w:val="16"/>
                <w:b w:val="1"/>
                <w:bCs w:val="1"/>
                <w:color w:val="auto"/>
              </w:rPr>
              <w:t>Non-GAAP Gross Margin</w:t>
            </w:r>
          </w:p>
        </w:tc>
        <w:tc>
          <w:tcPr>
            <w:tcW w:w="1160" w:type="dxa"/>
            <w:vAlign w:val="bottom"/>
            <w:tcBorders>
              <w:bottom w:val="single" w:sz="8" w:color="AF0000"/>
            </w:tcBorders>
          </w:tcPr>
          <w:p>
            <w:pPr>
              <w:jc w:val="right"/>
              <w:ind w:right="179"/>
              <w:spacing w:after="0" w:line="183" w:lineRule="exact"/>
              <w:rPr>
                <w:sz w:val="20"/>
                <w:szCs w:val="20"/>
                <w:color w:val="auto"/>
              </w:rPr>
            </w:pPr>
            <w:r>
              <w:rPr>
                <w:rFonts w:ascii="Calibri" w:cs="Calibri" w:eastAsia="Calibri" w:hAnsi="Calibri"/>
                <w:sz w:val="16"/>
                <w:szCs w:val="16"/>
                <w:b w:val="1"/>
                <w:bCs w:val="1"/>
                <w:color w:val="auto"/>
              </w:rPr>
              <w:t>50.4%</w:t>
            </w:r>
          </w:p>
        </w:tc>
        <w:tc>
          <w:tcPr>
            <w:tcW w:w="760" w:type="dxa"/>
            <w:vAlign w:val="bottom"/>
            <w:tcBorders>
              <w:bottom w:val="single" w:sz="8" w:color="AF0000"/>
            </w:tcBorders>
          </w:tcPr>
          <w:p>
            <w:pPr>
              <w:jc w:val="right"/>
              <w:ind w:right="39"/>
              <w:spacing w:after="0" w:line="183" w:lineRule="exact"/>
              <w:rPr>
                <w:sz w:val="20"/>
                <w:szCs w:val="20"/>
                <w:color w:val="auto"/>
              </w:rPr>
            </w:pPr>
            <w:r>
              <w:rPr>
                <w:rFonts w:ascii="Calibri" w:cs="Calibri" w:eastAsia="Calibri" w:hAnsi="Calibri"/>
                <w:sz w:val="16"/>
                <w:szCs w:val="16"/>
                <w:b w:val="1"/>
                <w:bCs w:val="1"/>
                <w:color w:val="auto"/>
              </w:rPr>
              <w:t>48.8%</w:t>
            </w:r>
          </w:p>
        </w:tc>
        <w:tc>
          <w:tcPr>
            <w:tcW w:w="1160" w:type="dxa"/>
            <w:vAlign w:val="bottom"/>
            <w:tcBorders>
              <w:bottom w:val="single" w:sz="8" w:color="AF0000"/>
            </w:tcBorders>
          </w:tcPr>
          <w:p>
            <w:pPr>
              <w:jc w:val="right"/>
              <w:ind w:right="319"/>
              <w:spacing w:after="0" w:line="183" w:lineRule="exact"/>
              <w:rPr>
                <w:sz w:val="20"/>
                <w:szCs w:val="20"/>
                <w:color w:val="auto"/>
              </w:rPr>
            </w:pPr>
            <w:r>
              <w:rPr>
                <w:rFonts w:ascii="Calibri" w:cs="Calibri" w:eastAsia="Calibri" w:hAnsi="Calibri"/>
                <w:sz w:val="16"/>
                <w:szCs w:val="16"/>
                <w:b w:val="1"/>
                <w:bCs w:val="1"/>
                <w:color w:val="auto"/>
              </w:rPr>
              <w:t>49.3%</w:t>
            </w:r>
          </w:p>
        </w:tc>
        <w:tc>
          <w:tcPr>
            <w:tcW w:w="760" w:type="dxa"/>
            <w:vAlign w:val="bottom"/>
            <w:tcBorders>
              <w:bottom w:val="single" w:sz="8" w:color="AF0000"/>
            </w:tcBorders>
          </w:tcPr>
          <w:p>
            <w:pPr>
              <w:jc w:val="right"/>
              <w:ind w:right="179"/>
              <w:spacing w:after="0" w:line="183" w:lineRule="exact"/>
              <w:rPr>
                <w:sz w:val="20"/>
                <w:szCs w:val="20"/>
                <w:color w:val="auto"/>
              </w:rPr>
            </w:pPr>
            <w:r>
              <w:rPr>
                <w:rFonts w:ascii="Calibri" w:cs="Calibri" w:eastAsia="Calibri" w:hAnsi="Calibri"/>
                <w:sz w:val="16"/>
                <w:szCs w:val="16"/>
                <w:b w:val="1"/>
                <w:bCs w:val="1"/>
                <w:color w:val="auto"/>
              </w:rPr>
              <w:t>47.1%</w:t>
            </w:r>
          </w:p>
        </w:tc>
        <w:tc>
          <w:tcPr>
            <w:tcW w:w="900" w:type="dxa"/>
            <w:vAlign w:val="bottom"/>
            <w:tcBorders>
              <w:bottom w:val="single" w:sz="8" w:color="AF0000"/>
            </w:tcBorders>
          </w:tcPr>
          <w:p>
            <w:pPr>
              <w:jc w:val="right"/>
              <w:ind w:right="179"/>
              <w:spacing w:after="0" w:line="183" w:lineRule="exact"/>
              <w:rPr>
                <w:sz w:val="20"/>
                <w:szCs w:val="20"/>
                <w:color w:val="auto"/>
              </w:rPr>
            </w:pPr>
            <w:r>
              <w:rPr>
                <w:rFonts w:ascii="Calibri" w:cs="Calibri" w:eastAsia="Calibri" w:hAnsi="Calibri"/>
                <w:sz w:val="16"/>
                <w:szCs w:val="16"/>
                <w:b w:val="1"/>
                <w:bCs w:val="1"/>
                <w:color w:val="auto"/>
              </w:rPr>
              <w:t>48.6%</w:t>
            </w:r>
          </w:p>
        </w:tc>
      </w:tr>
    </w:tbl>
    <w:p>
      <w:pPr>
        <w:spacing w:after="0" w:line="115" w:lineRule="exact"/>
        <w:rPr>
          <w:sz w:val="20"/>
          <w:szCs w:val="20"/>
          <w:color w:val="auto"/>
        </w:rPr>
      </w:pPr>
    </w:p>
    <w:p>
      <w:pPr>
        <w:ind w:left="200"/>
        <w:spacing w:after="0"/>
        <w:rPr>
          <w:sz w:val="20"/>
          <w:szCs w:val="20"/>
          <w:color w:val="auto"/>
        </w:rPr>
      </w:pPr>
      <w:r>
        <w:rPr>
          <w:rFonts w:ascii="Calibri" w:cs="Calibri" w:eastAsia="Calibri" w:hAnsi="Calibri"/>
          <w:sz w:val="16"/>
          <w:szCs w:val="16"/>
          <w:color w:val="auto"/>
        </w:rPr>
        <w:t>Note: Certain percentages may not sum to totals due to rounding</w:t>
      </w:r>
    </w:p>
    <w:p>
      <w:pPr>
        <w:spacing w:after="0" w:line="185" w:lineRule="exact"/>
        <w:rPr>
          <w:sz w:val="20"/>
          <w:szCs w:val="20"/>
          <w:color w:val="auto"/>
        </w:rPr>
      </w:pPr>
    </w:p>
    <w:p>
      <w:pPr>
        <w:ind w:left="540" w:right="399" w:hanging="331"/>
        <w:spacing w:after="0" w:line="235" w:lineRule="auto"/>
        <w:tabs>
          <w:tab w:leader="none" w:pos="540" w:val="left"/>
        </w:tabs>
        <w:numPr>
          <w:ilvl w:val="0"/>
          <w:numId w:val="118"/>
        </w:numPr>
        <w:rPr>
          <w:rFonts w:ascii="Calibri" w:cs="Calibri" w:eastAsia="Calibri" w:hAnsi="Calibri"/>
          <w:sz w:val="16"/>
          <w:szCs w:val="16"/>
          <w:color w:val="AF0000"/>
        </w:rPr>
      </w:pPr>
      <w:r>
        <w:rPr>
          <w:rFonts w:ascii="Calibri" w:cs="Calibri" w:eastAsia="Calibri" w:hAnsi="Calibri"/>
          <w:sz w:val="16"/>
          <w:szCs w:val="16"/>
          <w:color w:val="auto"/>
        </w:rPr>
        <w:t>Represents corporate restructuring charges refected within costs of sales including the write-of of inventory related to the divestture or exit of certain businesses or product lines.</w:t>
      </w:r>
    </w:p>
    <w:p>
      <w:pPr>
        <w:spacing w:after="0" w:line="203" w:lineRule="exact"/>
        <w:rPr>
          <w:sz w:val="20"/>
          <w:szCs w:val="20"/>
          <w:color w:val="auto"/>
        </w:rPr>
      </w:pPr>
    </w:p>
    <w:p>
      <w:pPr>
        <w:ind w:left="2880"/>
        <w:spacing w:after="0"/>
        <w:rPr>
          <w:sz w:val="20"/>
          <w:szCs w:val="20"/>
          <w:color w:val="auto"/>
        </w:rPr>
      </w:pPr>
      <w:r>
        <w:rPr>
          <w:rFonts w:ascii="Calibri" w:cs="Calibri" w:eastAsia="Calibri" w:hAnsi="Calibri"/>
          <w:sz w:val="18"/>
          <w:szCs w:val="18"/>
          <w:b w:val="1"/>
          <w:bCs w:val="1"/>
          <w:color w:val="auto"/>
        </w:rPr>
        <w:t>RECONCILIATION OF OPERATING CASH FLOW</w:t>
      </w:r>
    </w:p>
    <w:p>
      <w:pPr>
        <w:spacing w:after="0" w:line="37" w:lineRule="exact"/>
        <w:rPr>
          <w:sz w:val="20"/>
          <w:szCs w:val="20"/>
          <w:color w:val="auto"/>
        </w:rPr>
      </w:pPr>
    </w:p>
    <w:p>
      <w:pPr>
        <w:ind w:left="3320"/>
        <w:spacing w:after="0"/>
        <w:rPr>
          <w:sz w:val="20"/>
          <w:szCs w:val="20"/>
          <w:color w:val="auto"/>
        </w:rPr>
      </w:pPr>
      <w:r>
        <w:rPr>
          <w:rFonts w:ascii="Calibri" w:cs="Calibri" w:eastAsia="Calibri" w:hAnsi="Calibri"/>
          <w:sz w:val="18"/>
          <w:szCs w:val="18"/>
          <w:b w:val="1"/>
          <w:bCs w:val="1"/>
          <w:color w:val="auto"/>
        </w:rPr>
        <w:t>TO NON-GAAP FREE CASH FLOW</w:t>
      </w:r>
    </w:p>
    <w:p>
      <w:pPr>
        <w:spacing w:after="0" w:line="2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TO ADJUSTED NON-GAAP FREE CASH FLOW</w:t>
      </w:r>
    </w:p>
    <w:p>
      <w:pPr>
        <w:spacing w:after="0" w:line="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(UNAUDITED, IN THOUSANDS)</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3420" w:type="dxa"/>
            <w:vAlign w:val="bottom"/>
            <w:tcBorders>
              <w:top w:val="single" w:sz="8" w:color="AF0000"/>
            </w:tcBorders>
          </w:tcPr>
          <w:p>
            <w:pPr>
              <w:spacing w:after="0"/>
              <w:rPr>
                <w:sz w:val="19"/>
                <w:szCs w:val="19"/>
                <w:color w:val="auto"/>
              </w:rPr>
            </w:pPr>
          </w:p>
        </w:tc>
        <w:tc>
          <w:tcPr>
            <w:tcW w:w="340" w:type="dxa"/>
            <w:vAlign w:val="bottom"/>
            <w:tcBorders>
              <w:top w:val="single" w:sz="8" w:color="AF0000"/>
            </w:tcBorders>
          </w:tcPr>
          <w:p>
            <w:pPr>
              <w:spacing w:after="0"/>
              <w:rPr>
                <w:sz w:val="19"/>
                <w:szCs w:val="19"/>
                <w:color w:val="auto"/>
              </w:rPr>
            </w:pPr>
          </w:p>
        </w:tc>
        <w:tc>
          <w:tcPr>
            <w:tcW w:w="800" w:type="dxa"/>
            <w:vAlign w:val="bottom"/>
            <w:tcBorders>
              <w:top w:val="single" w:sz="8" w:color="AF0000"/>
            </w:tcBorders>
          </w:tcPr>
          <w:p>
            <w:pPr>
              <w:spacing w:after="0"/>
              <w:rPr>
                <w:sz w:val="19"/>
                <w:szCs w:val="19"/>
                <w:color w:val="auto"/>
              </w:rPr>
            </w:pPr>
          </w:p>
        </w:tc>
        <w:tc>
          <w:tcPr>
            <w:tcW w:w="320" w:type="dxa"/>
            <w:vAlign w:val="bottom"/>
            <w:tcBorders>
              <w:top w:val="single" w:sz="8" w:color="AF0000"/>
            </w:tcBorders>
          </w:tcPr>
          <w:p>
            <w:pPr>
              <w:spacing w:after="0"/>
              <w:rPr>
                <w:sz w:val="19"/>
                <w:szCs w:val="19"/>
                <w:color w:val="auto"/>
              </w:rPr>
            </w:pPr>
          </w:p>
        </w:tc>
        <w:tc>
          <w:tcPr>
            <w:tcW w:w="2820" w:type="dxa"/>
            <w:vAlign w:val="bottom"/>
            <w:tcBorders>
              <w:top w:val="single" w:sz="8" w:color="AF0000"/>
            </w:tcBorders>
            <w:gridSpan w:val="4"/>
          </w:tcPr>
          <w:p>
            <w:pPr>
              <w:jc w:val="right"/>
              <w:ind w:right="659"/>
              <w:spacing w:after="0"/>
              <w:rPr>
                <w:sz w:val="20"/>
                <w:szCs w:val="20"/>
                <w:color w:val="auto"/>
              </w:rPr>
            </w:pPr>
            <w:r>
              <w:rPr>
                <w:rFonts w:ascii="Calibri" w:cs="Calibri" w:eastAsia="Calibri" w:hAnsi="Calibri"/>
                <w:sz w:val="16"/>
                <w:szCs w:val="16"/>
                <w:b w:val="1"/>
                <w:bCs w:val="1"/>
                <w:color w:val="auto"/>
              </w:rPr>
              <w:t>Year Ended December 31,</w:t>
            </w:r>
          </w:p>
        </w:tc>
        <w:tc>
          <w:tcPr>
            <w:tcW w:w="240" w:type="dxa"/>
            <w:vAlign w:val="bottom"/>
            <w:tcBorders>
              <w:top w:val="single" w:sz="8" w:color="AF0000"/>
            </w:tcBorders>
          </w:tcPr>
          <w:p>
            <w:pPr>
              <w:spacing w:after="0"/>
              <w:rPr>
                <w:sz w:val="19"/>
                <w:szCs w:val="19"/>
                <w:color w:val="auto"/>
              </w:rPr>
            </w:pPr>
          </w:p>
        </w:tc>
        <w:tc>
          <w:tcPr>
            <w:tcW w:w="640" w:type="dxa"/>
            <w:vAlign w:val="bottom"/>
            <w:tcBorders>
              <w:top w:val="single" w:sz="8" w:color="AF0000"/>
            </w:tcBorders>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3420" w:type="dxa"/>
            <w:vAlign w:val="bottom"/>
            <w:tcBorders>
              <w:bottom w:val="single" w:sz="8" w:color="AF0000"/>
            </w:tcBorders>
          </w:tcPr>
          <w:p>
            <w:pPr>
              <w:spacing w:after="0"/>
              <w:rPr>
                <w:sz w:val="21"/>
                <w:szCs w:val="21"/>
                <w:color w:val="auto"/>
              </w:rPr>
            </w:pPr>
          </w:p>
        </w:tc>
        <w:tc>
          <w:tcPr>
            <w:tcW w:w="340" w:type="dxa"/>
            <w:vAlign w:val="bottom"/>
            <w:tcBorders>
              <w:bottom w:val="single" w:sz="8" w:color="AF0000"/>
            </w:tcBorders>
          </w:tcPr>
          <w:p>
            <w:pPr>
              <w:spacing w:after="0"/>
              <w:rPr>
                <w:sz w:val="21"/>
                <w:szCs w:val="21"/>
                <w:color w:val="auto"/>
              </w:rPr>
            </w:pPr>
          </w:p>
        </w:tc>
        <w:tc>
          <w:tcPr>
            <w:tcW w:w="800" w:type="dxa"/>
            <w:vAlign w:val="bottom"/>
            <w:tcBorders>
              <w:bottom w:val="single" w:sz="8" w:color="AF0000"/>
            </w:tcBorders>
          </w:tcPr>
          <w:p>
            <w:pPr>
              <w:jc w:val="right"/>
              <w:ind w:right="279"/>
              <w:spacing w:after="0"/>
              <w:rPr>
                <w:sz w:val="20"/>
                <w:szCs w:val="20"/>
                <w:color w:val="auto"/>
              </w:rPr>
            </w:pPr>
            <w:r>
              <w:rPr>
                <w:rFonts w:ascii="Calibri" w:cs="Calibri" w:eastAsia="Calibri" w:hAnsi="Calibri"/>
                <w:sz w:val="16"/>
                <w:szCs w:val="16"/>
                <w:b w:val="1"/>
                <w:bCs w:val="1"/>
                <w:color w:val="auto"/>
              </w:rPr>
              <w:t>2023</w:t>
            </w:r>
          </w:p>
        </w:tc>
        <w:tc>
          <w:tcPr>
            <w:tcW w:w="320" w:type="dxa"/>
            <w:vAlign w:val="bottom"/>
            <w:tcBorders>
              <w:bottom w:val="single" w:sz="8" w:color="AF0000"/>
            </w:tcBorders>
          </w:tcPr>
          <w:p>
            <w:pPr>
              <w:spacing w:after="0"/>
              <w:rPr>
                <w:sz w:val="21"/>
                <w:szCs w:val="21"/>
                <w:color w:val="auto"/>
              </w:rPr>
            </w:pPr>
          </w:p>
        </w:tc>
        <w:tc>
          <w:tcPr>
            <w:tcW w:w="800" w:type="dxa"/>
            <w:vAlign w:val="bottom"/>
            <w:tcBorders>
              <w:bottom w:val="single" w:sz="8" w:color="AF0000"/>
            </w:tcBorders>
          </w:tcPr>
          <w:p>
            <w:pPr>
              <w:jc w:val="right"/>
              <w:ind w:right="279"/>
              <w:spacing w:after="0"/>
              <w:rPr>
                <w:sz w:val="20"/>
                <w:szCs w:val="20"/>
                <w:color w:val="auto"/>
              </w:rPr>
            </w:pPr>
            <w:r>
              <w:rPr>
                <w:rFonts w:ascii="Calibri" w:cs="Calibri" w:eastAsia="Calibri" w:hAnsi="Calibri"/>
                <w:sz w:val="16"/>
                <w:szCs w:val="16"/>
                <w:b w:val="1"/>
                <w:bCs w:val="1"/>
                <w:color w:val="auto"/>
              </w:rPr>
              <w:t>2022</w:t>
            </w:r>
          </w:p>
        </w:tc>
        <w:tc>
          <w:tcPr>
            <w:tcW w:w="280" w:type="dxa"/>
            <w:vAlign w:val="bottom"/>
            <w:tcBorders>
              <w:bottom w:val="single" w:sz="8" w:color="AF0000"/>
            </w:tcBorders>
          </w:tcPr>
          <w:p>
            <w:pPr>
              <w:spacing w:after="0"/>
              <w:rPr>
                <w:sz w:val="21"/>
                <w:szCs w:val="21"/>
                <w:color w:val="auto"/>
              </w:rPr>
            </w:pPr>
          </w:p>
        </w:tc>
        <w:tc>
          <w:tcPr>
            <w:tcW w:w="820" w:type="dxa"/>
            <w:vAlign w:val="bottom"/>
            <w:tcBorders>
              <w:bottom w:val="single" w:sz="8" w:color="AF0000"/>
            </w:tcBorders>
          </w:tcPr>
          <w:p>
            <w:pPr>
              <w:jc w:val="right"/>
              <w:ind w:right="279"/>
              <w:spacing w:after="0"/>
              <w:rPr>
                <w:sz w:val="20"/>
                <w:szCs w:val="20"/>
                <w:color w:val="auto"/>
              </w:rPr>
            </w:pPr>
            <w:r>
              <w:rPr>
                <w:rFonts w:ascii="Calibri" w:cs="Calibri" w:eastAsia="Calibri" w:hAnsi="Calibri"/>
                <w:sz w:val="16"/>
                <w:szCs w:val="16"/>
                <w:b w:val="1"/>
                <w:bCs w:val="1"/>
                <w:color w:val="auto"/>
              </w:rPr>
              <w:t>2021</w:t>
            </w:r>
          </w:p>
        </w:tc>
        <w:tc>
          <w:tcPr>
            <w:tcW w:w="920" w:type="dxa"/>
            <w:vAlign w:val="bottom"/>
            <w:tcBorders>
              <w:bottom w:val="single" w:sz="8" w:color="AF0000"/>
            </w:tcBorders>
          </w:tcPr>
          <w:p>
            <w:pPr>
              <w:jc w:val="right"/>
              <w:ind w:right="139"/>
              <w:spacing w:after="0"/>
              <w:rPr>
                <w:sz w:val="20"/>
                <w:szCs w:val="20"/>
                <w:color w:val="auto"/>
              </w:rPr>
            </w:pPr>
            <w:r>
              <w:rPr>
                <w:rFonts w:ascii="Calibri" w:cs="Calibri" w:eastAsia="Calibri" w:hAnsi="Calibri"/>
                <w:sz w:val="16"/>
                <w:szCs w:val="16"/>
                <w:b w:val="1"/>
                <w:bCs w:val="1"/>
                <w:color w:val="auto"/>
              </w:rPr>
              <w:t>2020</w:t>
            </w:r>
          </w:p>
        </w:tc>
        <w:tc>
          <w:tcPr>
            <w:tcW w:w="240" w:type="dxa"/>
            <w:vAlign w:val="bottom"/>
            <w:tcBorders>
              <w:bottom w:val="single" w:sz="8" w:color="AF0000"/>
            </w:tcBorders>
          </w:tcPr>
          <w:p>
            <w:pPr>
              <w:spacing w:after="0"/>
              <w:rPr>
                <w:sz w:val="21"/>
                <w:szCs w:val="21"/>
                <w:color w:val="auto"/>
              </w:rPr>
            </w:pPr>
          </w:p>
        </w:tc>
        <w:tc>
          <w:tcPr>
            <w:tcW w:w="640" w:type="dxa"/>
            <w:vAlign w:val="bottom"/>
            <w:tcBorders>
              <w:bottom w:val="single" w:sz="8" w:color="AF0000"/>
            </w:tcBorders>
          </w:tcPr>
          <w:p>
            <w:pPr>
              <w:jc w:val="right"/>
              <w:ind w:right="39"/>
              <w:spacing w:after="0" w:line="239" w:lineRule="exact"/>
              <w:rPr>
                <w:sz w:val="20"/>
                <w:szCs w:val="20"/>
                <w:color w:val="auto"/>
              </w:rPr>
            </w:pPr>
            <w:r>
              <w:rPr>
                <w:rFonts w:ascii="Calibri" w:cs="Calibri" w:eastAsia="Calibri" w:hAnsi="Calibri"/>
                <w:sz w:val="16"/>
                <w:szCs w:val="16"/>
                <w:b w:val="1"/>
                <w:bCs w:val="1"/>
                <w:color w:val="auto"/>
                <w:w w:val="98"/>
              </w:rPr>
              <w:t>2019</w:t>
            </w:r>
            <w:r>
              <w:rPr>
                <w:rFonts w:ascii="Calibri" w:cs="Calibri" w:eastAsia="Calibri" w:hAnsi="Calibri"/>
                <w:sz w:val="24"/>
                <w:szCs w:val="24"/>
                <w:b w:val="1"/>
                <w:bCs w:val="1"/>
                <w:color w:val="AF0000"/>
                <w:w w:val="98"/>
                <w:vertAlign w:val="superscript"/>
              </w:rPr>
              <w:t>(4)</w:t>
            </w:r>
          </w:p>
        </w:tc>
        <w:tc>
          <w:tcPr>
            <w:tcW w:w="20" w:type="dxa"/>
            <w:vAlign w:val="bottom"/>
          </w:tcPr>
          <w:p>
            <w:pPr>
              <w:spacing w:after="0"/>
              <w:rPr>
                <w:sz w:val="21"/>
                <w:szCs w:val="21"/>
                <w:color w:val="auto"/>
              </w:rPr>
            </w:pPr>
          </w:p>
        </w:tc>
      </w:tr>
      <w:tr>
        <w:trPr>
          <w:trHeight w:val="189"/>
        </w:trPr>
        <w:tc>
          <w:tcPr>
            <w:tcW w:w="3420" w:type="dxa"/>
            <w:vAlign w:val="bottom"/>
            <w:tcBorders>
              <w:bottom w:val="single" w:sz="8" w:color="A6A6A6"/>
            </w:tcBorders>
          </w:tcPr>
          <w:p>
            <w:pPr>
              <w:spacing w:after="0" w:line="189" w:lineRule="exact"/>
              <w:rPr>
                <w:sz w:val="20"/>
                <w:szCs w:val="20"/>
                <w:color w:val="auto"/>
              </w:rPr>
            </w:pPr>
            <w:r>
              <w:rPr>
                <w:rFonts w:ascii="Calibri" w:cs="Calibri" w:eastAsia="Calibri" w:hAnsi="Calibri"/>
                <w:sz w:val="16"/>
                <w:szCs w:val="16"/>
                <w:color w:val="auto"/>
              </w:rPr>
              <w:t>Operatng cash fow</w:t>
            </w:r>
          </w:p>
        </w:tc>
        <w:tc>
          <w:tcPr>
            <w:tcW w:w="340" w:type="dxa"/>
            <w:vAlign w:val="bottom"/>
            <w:tcBorders>
              <w:bottom w:val="single" w:sz="8" w:color="A6A6A6"/>
            </w:tcBorders>
          </w:tcPr>
          <w:p>
            <w:pPr>
              <w:jc w:val="right"/>
              <w:ind w:right="39"/>
              <w:spacing w:after="0" w:line="189"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A6A6A6"/>
            </w:tcBorders>
          </w:tcPr>
          <w:p>
            <w:pPr>
              <w:jc w:val="right"/>
              <w:ind w:right="39"/>
              <w:spacing w:after="0" w:line="189" w:lineRule="exact"/>
              <w:rPr>
                <w:sz w:val="20"/>
                <w:szCs w:val="20"/>
                <w:color w:val="auto"/>
              </w:rPr>
            </w:pPr>
            <w:r>
              <w:rPr>
                <w:rFonts w:ascii="Calibri" w:cs="Calibri" w:eastAsia="Calibri" w:hAnsi="Calibri"/>
                <w:sz w:val="16"/>
                <w:szCs w:val="16"/>
                <w:color w:val="auto"/>
              </w:rPr>
              <w:t>145,151</w:t>
            </w:r>
          </w:p>
        </w:tc>
        <w:tc>
          <w:tcPr>
            <w:tcW w:w="320" w:type="dxa"/>
            <w:vAlign w:val="bottom"/>
            <w:tcBorders>
              <w:bottom w:val="single" w:sz="8" w:color="A6A6A6"/>
            </w:tcBorders>
          </w:tcPr>
          <w:p>
            <w:pPr>
              <w:jc w:val="right"/>
              <w:ind w:right="39"/>
              <w:spacing w:after="0" w:line="189"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A6A6A6"/>
            </w:tcBorders>
          </w:tcPr>
          <w:p>
            <w:pPr>
              <w:jc w:val="right"/>
              <w:ind w:right="59"/>
              <w:spacing w:after="0" w:line="189" w:lineRule="exact"/>
              <w:rPr>
                <w:sz w:val="20"/>
                <w:szCs w:val="20"/>
                <w:color w:val="auto"/>
              </w:rPr>
            </w:pPr>
            <w:r>
              <w:rPr>
                <w:rFonts w:ascii="Calibri" w:cs="Calibri" w:eastAsia="Calibri" w:hAnsi="Calibri"/>
                <w:sz w:val="16"/>
                <w:szCs w:val="16"/>
                <w:color w:val="auto"/>
              </w:rPr>
              <w:t>114,291</w:t>
            </w:r>
          </w:p>
        </w:tc>
        <w:tc>
          <w:tcPr>
            <w:tcW w:w="28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820" w:type="dxa"/>
            <w:vAlign w:val="bottom"/>
            <w:tcBorders>
              <w:bottom w:val="single" w:sz="8" w:color="A6A6A6"/>
            </w:tcBorders>
          </w:tcPr>
          <w:p>
            <w:pPr>
              <w:jc w:val="right"/>
              <w:ind w:right="99"/>
              <w:spacing w:after="0" w:line="189" w:lineRule="exact"/>
              <w:rPr>
                <w:sz w:val="20"/>
                <w:szCs w:val="20"/>
                <w:color w:val="auto"/>
              </w:rPr>
            </w:pPr>
            <w:r>
              <w:rPr>
                <w:rFonts w:ascii="Calibri" w:cs="Calibri" w:eastAsia="Calibri" w:hAnsi="Calibri"/>
                <w:sz w:val="16"/>
                <w:szCs w:val="16"/>
                <w:color w:val="auto"/>
              </w:rPr>
              <w:t>147,231</w:t>
            </w:r>
          </w:p>
        </w:tc>
        <w:tc>
          <w:tcPr>
            <w:tcW w:w="920" w:type="dxa"/>
            <w:vAlign w:val="bottom"/>
            <w:tcBorders>
              <w:bottom w:val="single" w:sz="8" w:color="A6A6A6"/>
            </w:tcBorders>
          </w:tcPr>
          <w:p>
            <w:pPr>
              <w:jc w:val="right"/>
              <w:ind w:right="19"/>
              <w:spacing w:after="0" w:line="189" w:lineRule="exact"/>
              <w:rPr>
                <w:sz w:val="20"/>
                <w:szCs w:val="20"/>
                <w:color w:val="auto"/>
              </w:rPr>
            </w:pPr>
            <w:r>
              <w:rPr>
                <w:rFonts w:ascii="Calibri" w:cs="Calibri" w:eastAsia="Calibri" w:hAnsi="Calibri"/>
                <w:sz w:val="16"/>
                <w:szCs w:val="16"/>
                <w:color w:val="auto"/>
              </w:rPr>
              <w:t>$ 165,270</w:t>
            </w:r>
          </w:p>
        </w:tc>
        <w:tc>
          <w:tcPr>
            <w:tcW w:w="24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w:t>
            </w:r>
          </w:p>
        </w:tc>
        <w:tc>
          <w:tcPr>
            <w:tcW w:w="640" w:type="dxa"/>
            <w:vAlign w:val="bottom"/>
            <w:tcBorders>
              <w:bottom w:val="single" w:sz="8" w:color="A6A6A6"/>
            </w:tcBorders>
          </w:tcPr>
          <w:p>
            <w:pPr>
              <w:jc w:val="right"/>
              <w:spacing w:after="0" w:line="189" w:lineRule="exact"/>
              <w:rPr>
                <w:sz w:val="20"/>
                <w:szCs w:val="20"/>
                <w:color w:val="auto"/>
              </w:rPr>
            </w:pPr>
            <w:r>
              <w:rPr>
                <w:rFonts w:ascii="Calibri" w:cs="Calibri" w:eastAsia="Calibri" w:hAnsi="Calibri"/>
                <w:sz w:val="16"/>
                <w:szCs w:val="16"/>
                <w:color w:val="auto"/>
              </w:rPr>
              <w:t>77,813</w:t>
            </w:r>
          </w:p>
        </w:tc>
        <w:tc>
          <w:tcPr>
            <w:tcW w:w="20" w:type="dxa"/>
            <w:vAlign w:val="bottom"/>
          </w:tcPr>
          <w:p>
            <w:pPr>
              <w:spacing w:after="0"/>
              <w:rPr>
                <w:sz w:val="16"/>
                <w:szCs w:val="16"/>
                <w:color w:val="auto"/>
              </w:rPr>
            </w:pPr>
          </w:p>
        </w:tc>
      </w:tr>
      <w:tr>
        <w:trPr>
          <w:trHeight w:val="183"/>
        </w:trPr>
        <w:tc>
          <w:tcPr>
            <w:tcW w:w="342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420" w:type="dxa"/>
            <w:vAlign w:val="bottom"/>
            <w:tcBorders>
              <w:bottom w:val="single" w:sz="8" w:color="A6A6A6"/>
            </w:tcBorders>
          </w:tcPr>
          <w:p>
            <w:pPr>
              <w:spacing w:after="0" w:line="183" w:lineRule="exact"/>
              <w:rPr>
                <w:sz w:val="20"/>
                <w:szCs w:val="20"/>
                <w:color w:val="auto"/>
              </w:rPr>
            </w:pPr>
            <w:r>
              <w:rPr>
                <w:rFonts w:ascii="Calibri" w:cs="Calibri" w:eastAsia="Calibri" w:hAnsi="Calibri"/>
                <w:sz w:val="16"/>
                <w:szCs w:val="16"/>
                <w:i w:val="1"/>
                <w:iCs w:val="1"/>
                <w:color w:val="auto"/>
              </w:rPr>
              <w:t>Less:</w:t>
            </w:r>
          </w:p>
        </w:tc>
        <w:tc>
          <w:tcPr>
            <w:tcW w:w="3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420" w:type="dxa"/>
            <w:vAlign w:val="bottom"/>
            <w:tcBorders>
              <w:bottom w:val="single" w:sz="8" w:color="A6A6A6"/>
            </w:tcBorders>
          </w:tcPr>
          <w:p>
            <w:pPr>
              <w:ind w:left="80"/>
              <w:spacing w:after="0" w:line="183" w:lineRule="exact"/>
              <w:rPr>
                <w:sz w:val="20"/>
                <w:szCs w:val="20"/>
                <w:color w:val="auto"/>
              </w:rPr>
            </w:pPr>
            <w:r>
              <w:rPr>
                <w:rFonts w:ascii="Calibri" w:cs="Calibri" w:eastAsia="Calibri" w:hAnsi="Calibri"/>
                <w:sz w:val="16"/>
                <w:szCs w:val="16"/>
                <w:color w:val="auto"/>
              </w:rPr>
              <w:t>Capital expenditures</w:t>
            </w:r>
          </w:p>
        </w:tc>
        <w:tc>
          <w:tcPr>
            <w:tcW w:w="3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color w:val="auto"/>
              </w:rPr>
              <w:t>34,290</w:t>
            </w:r>
          </w:p>
        </w:tc>
        <w:tc>
          <w:tcPr>
            <w:tcW w:w="3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59"/>
              <w:spacing w:after="0" w:line="183" w:lineRule="exact"/>
              <w:rPr>
                <w:sz w:val="20"/>
                <w:szCs w:val="20"/>
                <w:color w:val="auto"/>
              </w:rPr>
            </w:pPr>
            <w:r>
              <w:rPr>
                <w:rFonts w:ascii="Calibri" w:cs="Calibri" w:eastAsia="Calibri" w:hAnsi="Calibri"/>
                <w:sz w:val="16"/>
                <w:szCs w:val="16"/>
                <w:color w:val="auto"/>
              </w:rPr>
              <w:t>45,029</w:t>
            </w:r>
          </w:p>
        </w:tc>
        <w:tc>
          <w:tcPr>
            <w:tcW w:w="2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99"/>
              <w:spacing w:after="0" w:line="183" w:lineRule="exact"/>
              <w:rPr>
                <w:sz w:val="20"/>
                <w:szCs w:val="20"/>
                <w:color w:val="auto"/>
              </w:rPr>
            </w:pPr>
            <w:r>
              <w:rPr>
                <w:rFonts w:ascii="Calibri" w:cs="Calibri" w:eastAsia="Calibri" w:hAnsi="Calibri"/>
                <w:sz w:val="16"/>
                <w:szCs w:val="16"/>
                <w:color w:val="auto"/>
              </w:rPr>
              <w:t>27,939</w:t>
            </w:r>
          </w:p>
        </w:tc>
        <w:tc>
          <w:tcPr>
            <w:tcW w:w="920" w:type="dxa"/>
            <w:vAlign w:val="bottom"/>
            <w:tcBorders>
              <w:bottom w:val="single" w:sz="8" w:color="A6A6A6"/>
            </w:tcBorders>
          </w:tcPr>
          <w:p>
            <w:pPr>
              <w:jc w:val="right"/>
              <w:ind w:right="19"/>
              <w:spacing w:after="0" w:line="183" w:lineRule="exact"/>
              <w:rPr>
                <w:sz w:val="20"/>
                <w:szCs w:val="20"/>
                <w:color w:val="auto"/>
              </w:rPr>
            </w:pPr>
            <w:r>
              <w:rPr>
                <w:rFonts w:ascii="Calibri" w:cs="Calibri" w:eastAsia="Calibri" w:hAnsi="Calibri"/>
                <w:sz w:val="16"/>
                <w:szCs w:val="16"/>
                <w:color w:val="auto"/>
              </w:rPr>
              <w:t>45,988</w:t>
            </w:r>
          </w:p>
        </w:tc>
        <w:tc>
          <w:tcPr>
            <w:tcW w:w="24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color w:val="auto"/>
              </w:rPr>
              <w:t>78,173</w:t>
            </w:r>
          </w:p>
        </w:tc>
        <w:tc>
          <w:tcPr>
            <w:tcW w:w="20" w:type="dxa"/>
            <w:vAlign w:val="bottom"/>
          </w:tcPr>
          <w:p>
            <w:pPr>
              <w:spacing w:after="0"/>
              <w:rPr>
                <w:sz w:val="15"/>
                <w:szCs w:val="15"/>
                <w:color w:val="auto"/>
              </w:rPr>
            </w:pPr>
          </w:p>
        </w:tc>
      </w:tr>
      <w:tr>
        <w:trPr>
          <w:trHeight w:val="183"/>
        </w:trPr>
        <w:tc>
          <w:tcPr>
            <w:tcW w:w="342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r>
      <w:tr>
        <w:trPr>
          <w:trHeight w:val="183"/>
        </w:trPr>
        <w:tc>
          <w:tcPr>
            <w:tcW w:w="3420" w:type="dxa"/>
            <w:vAlign w:val="bottom"/>
            <w:tcBorders>
              <w:bottom w:val="single" w:sz="8" w:color="A6A6A6"/>
            </w:tcBorders>
          </w:tcPr>
          <w:p>
            <w:pPr>
              <w:spacing w:after="0" w:line="183" w:lineRule="exact"/>
              <w:rPr>
                <w:sz w:val="20"/>
                <w:szCs w:val="20"/>
                <w:color w:val="auto"/>
              </w:rPr>
            </w:pPr>
            <w:r>
              <w:rPr>
                <w:rFonts w:ascii="Calibri" w:cs="Calibri" w:eastAsia="Calibri" w:hAnsi="Calibri"/>
                <w:sz w:val="16"/>
                <w:szCs w:val="16"/>
                <w:b w:val="1"/>
                <w:bCs w:val="1"/>
                <w:color w:val="auto"/>
              </w:rPr>
              <w:t>Non-GAAP Free Cash Flow</w:t>
            </w:r>
          </w:p>
        </w:tc>
        <w:tc>
          <w:tcPr>
            <w:tcW w:w="34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b w:val="1"/>
                <w:bCs w:val="1"/>
                <w:color w:val="auto"/>
              </w:rPr>
              <w:t>$</w:t>
            </w:r>
          </w:p>
        </w:tc>
        <w:tc>
          <w:tcPr>
            <w:tcW w:w="80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b w:val="1"/>
                <w:bCs w:val="1"/>
                <w:color w:val="auto"/>
              </w:rPr>
              <w:t>110,861</w:t>
            </w:r>
          </w:p>
        </w:tc>
        <w:tc>
          <w:tcPr>
            <w:tcW w:w="32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b w:val="1"/>
                <w:bCs w:val="1"/>
                <w:color w:val="auto"/>
              </w:rPr>
              <w:t>$</w:t>
            </w:r>
          </w:p>
        </w:tc>
        <w:tc>
          <w:tcPr>
            <w:tcW w:w="800" w:type="dxa"/>
            <w:vAlign w:val="bottom"/>
            <w:tcBorders>
              <w:bottom w:val="single" w:sz="8" w:color="A6A6A6"/>
            </w:tcBorders>
          </w:tcPr>
          <w:p>
            <w:pPr>
              <w:jc w:val="right"/>
              <w:ind w:right="59"/>
              <w:spacing w:after="0" w:line="183" w:lineRule="exact"/>
              <w:rPr>
                <w:sz w:val="20"/>
                <w:szCs w:val="20"/>
                <w:color w:val="auto"/>
              </w:rPr>
            </w:pPr>
            <w:r>
              <w:rPr>
                <w:rFonts w:ascii="Calibri" w:cs="Calibri" w:eastAsia="Calibri" w:hAnsi="Calibri"/>
                <w:sz w:val="16"/>
                <w:szCs w:val="16"/>
                <w:b w:val="1"/>
                <w:bCs w:val="1"/>
                <w:color w:val="auto"/>
              </w:rPr>
              <w:t>69,262</w:t>
            </w:r>
          </w:p>
        </w:tc>
        <w:tc>
          <w:tcPr>
            <w:tcW w:w="28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b w:val="1"/>
                <w:bCs w:val="1"/>
                <w:color w:val="auto"/>
              </w:rPr>
              <w:t>$</w:t>
            </w:r>
          </w:p>
        </w:tc>
        <w:tc>
          <w:tcPr>
            <w:tcW w:w="820" w:type="dxa"/>
            <w:vAlign w:val="bottom"/>
            <w:tcBorders>
              <w:bottom w:val="single" w:sz="8" w:color="A6A6A6"/>
            </w:tcBorders>
          </w:tcPr>
          <w:p>
            <w:pPr>
              <w:jc w:val="right"/>
              <w:ind w:right="99"/>
              <w:spacing w:after="0" w:line="183" w:lineRule="exact"/>
              <w:rPr>
                <w:sz w:val="20"/>
                <w:szCs w:val="20"/>
                <w:color w:val="auto"/>
              </w:rPr>
            </w:pPr>
            <w:r>
              <w:rPr>
                <w:rFonts w:ascii="Calibri" w:cs="Calibri" w:eastAsia="Calibri" w:hAnsi="Calibri"/>
                <w:sz w:val="16"/>
                <w:szCs w:val="16"/>
                <w:b w:val="1"/>
                <w:bCs w:val="1"/>
                <w:color w:val="auto"/>
              </w:rPr>
              <w:t>119,292</w:t>
            </w:r>
          </w:p>
        </w:tc>
        <w:tc>
          <w:tcPr>
            <w:tcW w:w="920" w:type="dxa"/>
            <w:vAlign w:val="bottom"/>
            <w:tcBorders>
              <w:bottom w:val="single" w:sz="8" w:color="A6A6A6"/>
            </w:tcBorders>
          </w:tcPr>
          <w:p>
            <w:pPr>
              <w:jc w:val="right"/>
              <w:ind w:right="19"/>
              <w:spacing w:after="0" w:line="183" w:lineRule="exact"/>
              <w:rPr>
                <w:sz w:val="20"/>
                <w:szCs w:val="20"/>
                <w:color w:val="auto"/>
              </w:rPr>
            </w:pPr>
            <w:r>
              <w:rPr>
                <w:rFonts w:ascii="Calibri" w:cs="Calibri" w:eastAsia="Calibri" w:hAnsi="Calibri"/>
                <w:sz w:val="16"/>
                <w:szCs w:val="16"/>
                <w:b w:val="1"/>
                <w:bCs w:val="1"/>
                <w:color w:val="auto"/>
              </w:rPr>
              <w:t>$ 119,282</w:t>
            </w:r>
          </w:p>
        </w:tc>
        <w:tc>
          <w:tcPr>
            <w:tcW w:w="24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b w:val="1"/>
                <w:bCs w:val="1"/>
                <w:color w:val="auto"/>
              </w:rPr>
              <w:t>$</w:t>
            </w:r>
          </w:p>
        </w:tc>
        <w:tc>
          <w:tcPr>
            <w:tcW w:w="64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b w:val="1"/>
                <w:bCs w:val="1"/>
                <w:color w:val="auto"/>
              </w:rPr>
              <w:t>(360)</w:t>
            </w:r>
          </w:p>
        </w:tc>
        <w:tc>
          <w:tcPr>
            <w:tcW w:w="20" w:type="dxa"/>
            <w:vAlign w:val="bottom"/>
          </w:tcPr>
          <w:p>
            <w:pPr>
              <w:spacing w:after="0"/>
              <w:rPr>
                <w:sz w:val="15"/>
                <w:szCs w:val="15"/>
                <w:color w:val="auto"/>
              </w:rPr>
            </w:pPr>
          </w:p>
        </w:tc>
      </w:tr>
      <w:tr>
        <w:trPr>
          <w:trHeight w:val="183"/>
        </w:trPr>
        <w:tc>
          <w:tcPr>
            <w:tcW w:w="342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420" w:type="dxa"/>
            <w:vAlign w:val="bottom"/>
            <w:tcBorders>
              <w:bottom w:val="single" w:sz="8" w:color="A6A6A6"/>
            </w:tcBorders>
          </w:tcPr>
          <w:p>
            <w:pPr>
              <w:spacing w:after="0" w:line="183" w:lineRule="exact"/>
              <w:rPr>
                <w:sz w:val="20"/>
                <w:szCs w:val="20"/>
                <w:color w:val="auto"/>
              </w:rPr>
            </w:pPr>
            <w:r>
              <w:rPr>
                <w:rFonts w:ascii="Calibri" w:cs="Calibri" w:eastAsia="Calibri" w:hAnsi="Calibri"/>
                <w:sz w:val="16"/>
                <w:szCs w:val="16"/>
                <w:i w:val="1"/>
                <w:iCs w:val="1"/>
                <w:color w:val="auto"/>
              </w:rPr>
              <w:t>Add back impact of:</w:t>
            </w:r>
          </w:p>
        </w:tc>
        <w:tc>
          <w:tcPr>
            <w:tcW w:w="3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3420" w:type="dxa"/>
            <w:vAlign w:val="bottom"/>
            <w:tcBorders>
              <w:bottom w:val="single" w:sz="8" w:color="A6A6A6"/>
            </w:tcBorders>
          </w:tcPr>
          <w:p>
            <w:pPr>
              <w:ind w:left="80"/>
              <w:spacing w:after="0" w:line="196" w:lineRule="exact"/>
              <w:rPr>
                <w:sz w:val="20"/>
                <w:szCs w:val="20"/>
                <w:color w:val="auto"/>
              </w:rPr>
            </w:pPr>
            <w:r>
              <w:rPr>
                <w:rFonts w:ascii="Calibri" w:cs="Calibri" w:eastAsia="Calibri" w:hAnsi="Calibri"/>
                <w:sz w:val="14"/>
                <w:szCs w:val="14"/>
                <w:color w:val="auto"/>
              </w:rPr>
              <w:t>Corporate transformaton</w:t>
            </w:r>
            <w:r>
              <w:rPr>
                <w:rFonts w:ascii="Calibri" w:cs="Calibri" w:eastAsia="Calibri" w:hAnsi="Calibri"/>
                <w:sz w:val="21"/>
                <w:szCs w:val="21"/>
                <w:b w:val="1"/>
                <w:bCs w:val="1"/>
                <w:color w:val="AF0000"/>
                <w:vertAlign w:val="superscript"/>
              </w:rPr>
              <w:t>(1)</w:t>
            </w:r>
          </w:p>
        </w:tc>
        <w:tc>
          <w:tcPr>
            <w:tcW w:w="34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ind w:right="39"/>
              <w:spacing w:after="0" w:line="193" w:lineRule="exact"/>
              <w:rPr>
                <w:sz w:val="20"/>
                <w:szCs w:val="20"/>
                <w:color w:val="auto"/>
              </w:rPr>
            </w:pPr>
            <w:r>
              <w:rPr>
                <w:rFonts w:ascii="Calibri" w:cs="Calibri" w:eastAsia="Calibri" w:hAnsi="Calibri"/>
                <w:sz w:val="16"/>
                <w:szCs w:val="16"/>
                <w:color w:val="auto"/>
              </w:rPr>
              <w:t>14,834</w:t>
            </w:r>
          </w:p>
        </w:tc>
        <w:tc>
          <w:tcPr>
            <w:tcW w:w="32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ind w:right="59"/>
              <w:spacing w:after="0" w:line="193" w:lineRule="exact"/>
              <w:rPr>
                <w:sz w:val="20"/>
                <w:szCs w:val="20"/>
                <w:color w:val="auto"/>
              </w:rPr>
            </w:pPr>
            <w:r>
              <w:rPr>
                <w:rFonts w:ascii="Calibri" w:cs="Calibri" w:eastAsia="Calibri" w:hAnsi="Calibri"/>
                <w:sz w:val="16"/>
                <w:szCs w:val="16"/>
                <w:color w:val="auto"/>
              </w:rPr>
              <w:t>16,923</w:t>
            </w:r>
          </w:p>
        </w:tc>
        <w:tc>
          <w:tcPr>
            <w:tcW w:w="280" w:type="dxa"/>
            <w:vAlign w:val="bottom"/>
            <w:tcBorders>
              <w:bottom w:val="single" w:sz="8" w:color="A6A6A6"/>
            </w:tcBorders>
          </w:tcPr>
          <w:p>
            <w:pPr>
              <w:spacing w:after="0"/>
              <w:rPr>
                <w:sz w:val="17"/>
                <w:szCs w:val="17"/>
                <w:color w:val="auto"/>
              </w:rPr>
            </w:pPr>
          </w:p>
        </w:tc>
        <w:tc>
          <w:tcPr>
            <w:tcW w:w="820" w:type="dxa"/>
            <w:vAlign w:val="bottom"/>
            <w:tcBorders>
              <w:bottom w:val="single" w:sz="8" w:color="A6A6A6"/>
            </w:tcBorders>
          </w:tcPr>
          <w:p>
            <w:pPr>
              <w:jc w:val="right"/>
              <w:ind w:right="139"/>
              <w:spacing w:after="0" w:line="193" w:lineRule="exact"/>
              <w:rPr>
                <w:sz w:val="20"/>
                <w:szCs w:val="20"/>
                <w:color w:val="auto"/>
              </w:rPr>
            </w:pPr>
            <w:r>
              <w:rPr>
                <w:rFonts w:ascii="Calibri" w:cs="Calibri" w:eastAsia="Calibri" w:hAnsi="Calibri"/>
                <w:sz w:val="16"/>
                <w:szCs w:val="16"/>
                <w:color w:val="auto"/>
              </w:rPr>
              <w:t>18,855</w:t>
            </w:r>
          </w:p>
        </w:tc>
        <w:tc>
          <w:tcPr>
            <w:tcW w:w="92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8,551</w:t>
            </w:r>
          </w:p>
        </w:tc>
        <w:tc>
          <w:tcPr>
            <w:tcW w:w="240" w:type="dxa"/>
            <w:vAlign w:val="bottom"/>
            <w:tcBorders>
              <w:bottom w:val="single" w:sz="8" w:color="A6A6A6"/>
            </w:tcBorders>
          </w:tcPr>
          <w:p>
            <w:pPr>
              <w:spacing w:after="0"/>
              <w:rPr>
                <w:sz w:val="17"/>
                <w:szCs w:val="17"/>
                <w:color w:val="auto"/>
              </w:rPr>
            </w:pPr>
          </w:p>
        </w:tc>
        <w:tc>
          <w:tcPr>
            <w:tcW w:w="640" w:type="dxa"/>
            <w:vAlign w:val="bottom"/>
            <w:tcBorders>
              <w:bottom w:val="single" w:sz="8" w:color="A6A6A6"/>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420" w:type="dxa"/>
            <w:vAlign w:val="bottom"/>
            <w:tcBorders>
              <w:bottom w:val="single" w:sz="8" w:color="A6A6A6"/>
            </w:tcBorders>
          </w:tcPr>
          <w:p>
            <w:pPr>
              <w:ind w:left="80"/>
              <w:spacing w:after="0" w:line="196" w:lineRule="exact"/>
              <w:rPr>
                <w:sz w:val="20"/>
                <w:szCs w:val="20"/>
                <w:color w:val="auto"/>
              </w:rPr>
            </w:pPr>
            <w:r>
              <w:rPr>
                <w:rFonts w:ascii="Calibri" w:cs="Calibri" w:eastAsia="Calibri" w:hAnsi="Calibri"/>
                <w:sz w:val="14"/>
                <w:szCs w:val="14"/>
                <w:color w:val="auto"/>
              </w:rPr>
              <w:t>Medical Device Regulaton expenses</w:t>
            </w:r>
            <w:r>
              <w:rPr>
                <w:rFonts w:ascii="Calibri" w:cs="Calibri" w:eastAsia="Calibri" w:hAnsi="Calibri"/>
                <w:sz w:val="21"/>
                <w:szCs w:val="21"/>
                <w:b w:val="1"/>
                <w:bCs w:val="1"/>
                <w:color w:val="AF0000"/>
                <w:vertAlign w:val="superscript"/>
              </w:rPr>
              <w:t>(2)</w:t>
            </w:r>
          </w:p>
        </w:tc>
        <w:tc>
          <w:tcPr>
            <w:tcW w:w="34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ind w:right="39"/>
              <w:spacing w:after="0" w:line="193" w:lineRule="exact"/>
              <w:rPr>
                <w:sz w:val="20"/>
                <w:szCs w:val="20"/>
                <w:color w:val="auto"/>
              </w:rPr>
            </w:pPr>
            <w:r>
              <w:rPr>
                <w:rFonts w:ascii="Calibri" w:cs="Calibri" w:eastAsia="Calibri" w:hAnsi="Calibri"/>
                <w:sz w:val="16"/>
                <w:szCs w:val="16"/>
                <w:color w:val="auto"/>
              </w:rPr>
              <w:t>11,822</w:t>
            </w:r>
          </w:p>
        </w:tc>
        <w:tc>
          <w:tcPr>
            <w:tcW w:w="32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ind w:right="59"/>
              <w:spacing w:after="0" w:line="193" w:lineRule="exact"/>
              <w:rPr>
                <w:sz w:val="20"/>
                <w:szCs w:val="20"/>
                <w:color w:val="auto"/>
              </w:rPr>
            </w:pPr>
            <w:r>
              <w:rPr>
                <w:rFonts w:ascii="Calibri" w:cs="Calibri" w:eastAsia="Calibri" w:hAnsi="Calibri"/>
                <w:sz w:val="16"/>
                <w:szCs w:val="16"/>
                <w:color w:val="auto"/>
              </w:rPr>
              <w:t>12,933</w:t>
            </w:r>
          </w:p>
        </w:tc>
        <w:tc>
          <w:tcPr>
            <w:tcW w:w="280" w:type="dxa"/>
            <w:vAlign w:val="bottom"/>
            <w:tcBorders>
              <w:bottom w:val="single" w:sz="8" w:color="A6A6A6"/>
            </w:tcBorders>
          </w:tcPr>
          <w:p>
            <w:pPr>
              <w:spacing w:after="0"/>
              <w:rPr>
                <w:sz w:val="17"/>
                <w:szCs w:val="17"/>
                <w:color w:val="auto"/>
              </w:rPr>
            </w:pPr>
          </w:p>
        </w:tc>
        <w:tc>
          <w:tcPr>
            <w:tcW w:w="820" w:type="dxa"/>
            <w:vAlign w:val="bottom"/>
            <w:tcBorders>
              <w:bottom w:val="single" w:sz="8" w:color="A6A6A6"/>
            </w:tcBorders>
          </w:tcPr>
          <w:p>
            <w:pPr>
              <w:jc w:val="right"/>
              <w:ind w:right="139"/>
              <w:spacing w:after="0" w:line="193" w:lineRule="exact"/>
              <w:rPr>
                <w:sz w:val="20"/>
                <w:szCs w:val="20"/>
                <w:color w:val="auto"/>
              </w:rPr>
            </w:pPr>
            <w:r>
              <w:rPr>
                <w:rFonts w:ascii="Calibri" w:cs="Calibri" w:eastAsia="Calibri" w:hAnsi="Calibri"/>
                <w:sz w:val="16"/>
                <w:szCs w:val="16"/>
                <w:color w:val="auto"/>
              </w:rPr>
              <w:t>4,036</w:t>
            </w:r>
          </w:p>
        </w:tc>
        <w:tc>
          <w:tcPr>
            <w:tcW w:w="92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1,379</w:t>
            </w:r>
          </w:p>
        </w:tc>
        <w:tc>
          <w:tcPr>
            <w:tcW w:w="240" w:type="dxa"/>
            <w:vAlign w:val="bottom"/>
            <w:tcBorders>
              <w:bottom w:val="single" w:sz="8" w:color="A6A6A6"/>
            </w:tcBorders>
          </w:tcPr>
          <w:p>
            <w:pPr>
              <w:spacing w:after="0"/>
              <w:rPr>
                <w:sz w:val="17"/>
                <w:szCs w:val="17"/>
                <w:color w:val="auto"/>
              </w:rPr>
            </w:pPr>
          </w:p>
        </w:tc>
        <w:tc>
          <w:tcPr>
            <w:tcW w:w="640" w:type="dxa"/>
            <w:vAlign w:val="bottom"/>
            <w:tcBorders>
              <w:bottom w:val="single" w:sz="8" w:color="A6A6A6"/>
            </w:tcBorders>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3420" w:type="dxa"/>
            <w:vAlign w:val="bottom"/>
            <w:tcBorders>
              <w:bottom w:val="single" w:sz="8" w:color="A6A6A6"/>
            </w:tcBorders>
          </w:tcPr>
          <w:p>
            <w:pPr>
              <w:ind w:left="80"/>
              <w:spacing w:after="0" w:line="183" w:lineRule="exact"/>
              <w:rPr>
                <w:sz w:val="20"/>
                <w:szCs w:val="20"/>
                <w:color w:val="auto"/>
              </w:rPr>
            </w:pPr>
            <w:r>
              <w:rPr>
                <w:rFonts w:ascii="Calibri" w:cs="Calibri" w:eastAsia="Calibri" w:hAnsi="Calibri"/>
                <w:sz w:val="16"/>
                <w:szCs w:val="16"/>
                <w:color w:val="auto"/>
              </w:rPr>
              <w:t>Acquisiton-related</w:t>
            </w:r>
          </w:p>
        </w:tc>
        <w:tc>
          <w:tcPr>
            <w:tcW w:w="3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color w:val="auto"/>
              </w:rPr>
              <w:t>5,286</w:t>
            </w:r>
          </w:p>
        </w:tc>
        <w:tc>
          <w:tcPr>
            <w:tcW w:w="3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59"/>
              <w:spacing w:after="0" w:line="183" w:lineRule="exact"/>
              <w:rPr>
                <w:sz w:val="20"/>
                <w:szCs w:val="20"/>
                <w:color w:val="auto"/>
              </w:rPr>
            </w:pPr>
            <w:r>
              <w:rPr>
                <w:rFonts w:ascii="Calibri" w:cs="Calibri" w:eastAsia="Calibri" w:hAnsi="Calibri"/>
                <w:sz w:val="16"/>
                <w:szCs w:val="16"/>
                <w:color w:val="auto"/>
              </w:rPr>
              <w:t>2,114</w:t>
            </w:r>
          </w:p>
        </w:tc>
        <w:tc>
          <w:tcPr>
            <w:tcW w:w="2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139"/>
              <w:spacing w:after="0" w:line="183" w:lineRule="exact"/>
              <w:rPr>
                <w:sz w:val="20"/>
                <w:szCs w:val="20"/>
                <w:color w:val="auto"/>
              </w:rPr>
            </w:pPr>
            <w:r>
              <w:rPr>
                <w:rFonts w:ascii="Calibri" w:cs="Calibri" w:eastAsia="Calibri" w:hAnsi="Calibri"/>
                <w:sz w:val="16"/>
                <w:szCs w:val="16"/>
                <w:color w:val="auto"/>
              </w:rPr>
              <w:t>8,473</w:t>
            </w:r>
          </w:p>
        </w:tc>
        <w:tc>
          <w:tcPr>
            <w:tcW w:w="920" w:type="dxa"/>
            <w:vAlign w:val="bottom"/>
            <w:tcBorders>
              <w:bottom w:val="single" w:sz="8" w:color="A6A6A6"/>
            </w:tcBorders>
          </w:tcPr>
          <w:p>
            <w:pPr>
              <w:jc w:val="right"/>
              <w:ind w:right="19"/>
              <w:spacing w:after="0" w:line="183" w:lineRule="exact"/>
              <w:rPr>
                <w:sz w:val="20"/>
                <w:szCs w:val="20"/>
                <w:color w:val="auto"/>
              </w:rPr>
            </w:pPr>
            <w:r>
              <w:rPr>
                <w:rFonts w:ascii="Calibri" w:cs="Calibri" w:eastAsia="Calibri" w:hAnsi="Calibri"/>
                <w:sz w:val="16"/>
                <w:szCs w:val="16"/>
                <w:color w:val="auto"/>
              </w:rPr>
              <w:t>1,229</w:t>
            </w:r>
          </w:p>
        </w:tc>
        <w:tc>
          <w:tcPr>
            <w:tcW w:w="24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3420" w:type="dxa"/>
            <w:vAlign w:val="bottom"/>
            <w:tcBorders>
              <w:bottom w:val="single" w:sz="8" w:color="A6A6A6"/>
            </w:tcBorders>
          </w:tcPr>
          <w:p>
            <w:pPr>
              <w:ind w:left="80"/>
              <w:spacing w:after="0" w:line="196" w:lineRule="exact"/>
              <w:rPr>
                <w:sz w:val="20"/>
                <w:szCs w:val="20"/>
                <w:color w:val="auto"/>
              </w:rPr>
            </w:pPr>
            <w:r>
              <w:rPr>
                <w:rFonts w:ascii="Calibri" w:cs="Calibri" w:eastAsia="Calibri" w:hAnsi="Calibri"/>
                <w:sz w:val="14"/>
                <w:szCs w:val="14"/>
                <w:color w:val="auto"/>
              </w:rPr>
              <w:t xml:space="preserve">Other </w:t>
            </w:r>
            <w:r>
              <w:rPr>
                <w:rFonts w:ascii="Calibri" w:cs="Calibri" w:eastAsia="Calibri" w:hAnsi="Calibri"/>
                <w:sz w:val="21"/>
                <w:szCs w:val="21"/>
                <w:b w:val="1"/>
                <w:bCs w:val="1"/>
                <w:color w:val="AF0000"/>
                <w:vertAlign w:val="superscript"/>
              </w:rPr>
              <w:t>(3)</w:t>
            </w:r>
          </w:p>
        </w:tc>
        <w:tc>
          <w:tcPr>
            <w:tcW w:w="34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ind w:right="39"/>
              <w:spacing w:after="0" w:line="193" w:lineRule="exact"/>
              <w:rPr>
                <w:sz w:val="20"/>
                <w:szCs w:val="20"/>
                <w:color w:val="auto"/>
              </w:rPr>
            </w:pPr>
            <w:r>
              <w:rPr>
                <w:rFonts w:ascii="Calibri" w:cs="Calibri" w:eastAsia="Calibri" w:hAnsi="Calibri"/>
                <w:sz w:val="16"/>
                <w:szCs w:val="16"/>
                <w:color w:val="auto"/>
              </w:rPr>
              <w:t>(2,877)</w:t>
            </w:r>
          </w:p>
        </w:tc>
        <w:tc>
          <w:tcPr>
            <w:tcW w:w="32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ind w:right="59"/>
              <w:spacing w:after="0" w:line="193" w:lineRule="exact"/>
              <w:rPr>
                <w:sz w:val="20"/>
                <w:szCs w:val="20"/>
                <w:color w:val="auto"/>
              </w:rPr>
            </w:pPr>
            <w:r>
              <w:rPr>
                <w:rFonts w:ascii="Calibri" w:cs="Calibri" w:eastAsia="Calibri" w:hAnsi="Calibri"/>
                <w:sz w:val="16"/>
                <w:szCs w:val="16"/>
                <w:color w:val="auto"/>
              </w:rPr>
              <w:t>10,357</w:t>
            </w:r>
          </w:p>
        </w:tc>
        <w:tc>
          <w:tcPr>
            <w:tcW w:w="280" w:type="dxa"/>
            <w:vAlign w:val="bottom"/>
            <w:tcBorders>
              <w:bottom w:val="single" w:sz="8" w:color="A6A6A6"/>
            </w:tcBorders>
          </w:tcPr>
          <w:p>
            <w:pPr>
              <w:spacing w:after="0"/>
              <w:rPr>
                <w:sz w:val="17"/>
                <w:szCs w:val="17"/>
                <w:color w:val="auto"/>
              </w:rPr>
            </w:pPr>
          </w:p>
        </w:tc>
        <w:tc>
          <w:tcPr>
            <w:tcW w:w="820" w:type="dxa"/>
            <w:vAlign w:val="bottom"/>
            <w:tcBorders>
              <w:bottom w:val="single" w:sz="8" w:color="A6A6A6"/>
            </w:tcBorders>
          </w:tcPr>
          <w:p>
            <w:pPr>
              <w:jc w:val="right"/>
              <w:ind w:right="139"/>
              <w:spacing w:after="0" w:line="193" w:lineRule="exact"/>
              <w:rPr>
                <w:sz w:val="20"/>
                <w:szCs w:val="20"/>
                <w:color w:val="auto"/>
              </w:rPr>
            </w:pPr>
            <w:r>
              <w:rPr>
                <w:rFonts w:ascii="Calibri" w:cs="Calibri" w:eastAsia="Calibri" w:hAnsi="Calibri"/>
                <w:sz w:val="16"/>
                <w:szCs w:val="16"/>
                <w:color w:val="auto"/>
              </w:rPr>
              <w:t>6,416</w:t>
            </w:r>
          </w:p>
        </w:tc>
        <w:tc>
          <w:tcPr>
            <w:tcW w:w="920" w:type="dxa"/>
            <w:vAlign w:val="bottom"/>
            <w:tcBorders>
              <w:bottom w:val="single" w:sz="8" w:color="A6A6A6"/>
            </w:tcBorders>
          </w:tcPr>
          <w:p>
            <w:pPr>
              <w:jc w:val="right"/>
              <w:ind w:right="19"/>
              <w:spacing w:after="0" w:line="193" w:lineRule="exact"/>
              <w:rPr>
                <w:sz w:val="20"/>
                <w:szCs w:val="20"/>
                <w:color w:val="auto"/>
              </w:rPr>
            </w:pPr>
            <w:r>
              <w:rPr>
                <w:rFonts w:ascii="Calibri" w:cs="Calibri" w:eastAsia="Calibri" w:hAnsi="Calibri"/>
                <w:sz w:val="16"/>
                <w:szCs w:val="16"/>
                <w:color w:val="auto"/>
              </w:rPr>
              <w:t>24,334</w:t>
            </w:r>
          </w:p>
        </w:tc>
        <w:tc>
          <w:tcPr>
            <w:tcW w:w="240" w:type="dxa"/>
            <w:vAlign w:val="bottom"/>
            <w:tcBorders>
              <w:bottom w:val="single" w:sz="8" w:color="A6A6A6"/>
            </w:tcBorders>
          </w:tcPr>
          <w:p>
            <w:pPr>
              <w:spacing w:after="0"/>
              <w:rPr>
                <w:sz w:val="17"/>
                <w:szCs w:val="17"/>
                <w:color w:val="auto"/>
              </w:rPr>
            </w:pPr>
          </w:p>
        </w:tc>
        <w:tc>
          <w:tcPr>
            <w:tcW w:w="640" w:type="dxa"/>
            <w:vAlign w:val="bottom"/>
            <w:tcBorders>
              <w:bottom w:val="single" w:sz="8" w:color="A6A6A6"/>
            </w:tcBorders>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3420" w:type="dxa"/>
            <w:vAlign w:val="bottom"/>
            <w:tcBorders>
              <w:bottom w:val="single" w:sz="8" w:color="A6A6A6"/>
            </w:tcBorders>
          </w:tcPr>
          <w:p>
            <w:pPr>
              <w:ind w:left="80"/>
              <w:spacing w:after="0" w:line="183" w:lineRule="exact"/>
              <w:rPr>
                <w:sz w:val="20"/>
                <w:szCs w:val="20"/>
                <w:color w:val="auto"/>
              </w:rPr>
            </w:pPr>
            <w:r>
              <w:rPr>
                <w:rFonts w:ascii="Calibri" w:cs="Calibri" w:eastAsia="Calibri" w:hAnsi="Calibri"/>
                <w:sz w:val="16"/>
                <w:szCs w:val="16"/>
                <w:color w:val="auto"/>
              </w:rPr>
              <w:t>Contngent acquisiton payments in Operatng CF</w:t>
            </w:r>
          </w:p>
        </w:tc>
        <w:tc>
          <w:tcPr>
            <w:tcW w:w="3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color w:val="auto"/>
              </w:rPr>
              <w:t>12,762</w:t>
            </w:r>
          </w:p>
        </w:tc>
        <w:tc>
          <w:tcPr>
            <w:tcW w:w="3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59"/>
              <w:spacing w:after="0" w:line="183" w:lineRule="exact"/>
              <w:rPr>
                <w:sz w:val="20"/>
                <w:szCs w:val="20"/>
                <w:color w:val="auto"/>
              </w:rPr>
            </w:pPr>
            <w:r>
              <w:rPr>
                <w:rFonts w:ascii="Calibri" w:cs="Calibri" w:eastAsia="Calibri" w:hAnsi="Calibri"/>
                <w:sz w:val="16"/>
                <w:szCs w:val="16"/>
                <w:color w:val="auto"/>
              </w:rPr>
              <w:t>1,780</w:t>
            </w:r>
          </w:p>
        </w:tc>
        <w:tc>
          <w:tcPr>
            <w:tcW w:w="2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139"/>
              <w:spacing w:after="0" w:line="183" w:lineRule="exact"/>
              <w:rPr>
                <w:sz w:val="20"/>
                <w:szCs w:val="20"/>
                <w:color w:val="auto"/>
              </w:rPr>
            </w:pPr>
            <w:r>
              <w:rPr>
                <w:rFonts w:ascii="Calibri" w:cs="Calibri" w:eastAsia="Calibri" w:hAnsi="Calibri"/>
                <w:sz w:val="16"/>
                <w:szCs w:val="16"/>
                <w:color w:val="auto"/>
              </w:rPr>
              <w:t>—</w:t>
            </w:r>
          </w:p>
        </w:tc>
        <w:tc>
          <w:tcPr>
            <w:tcW w:w="920" w:type="dxa"/>
            <w:vAlign w:val="bottom"/>
            <w:tcBorders>
              <w:bottom w:val="single" w:sz="8" w:color="A6A6A6"/>
            </w:tcBorders>
          </w:tcPr>
          <w:p>
            <w:pPr>
              <w:jc w:val="right"/>
              <w:ind w:right="19"/>
              <w:spacing w:after="0" w:line="18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42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420" w:type="dxa"/>
            <w:vAlign w:val="bottom"/>
            <w:tcBorders>
              <w:bottom w:val="single" w:sz="8" w:color="A6A6A6"/>
            </w:tcBorders>
          </w:tcPr>
          <w:p>
            <w:pPr>
              <w:spacing w:after="0" w:line="183" w:lineRule="exact"/>
              <w:rPr>
                <w:sz w:val="20"/>
                <w:szCs w:val="20"/>
                <w:color w:val="auto"/>
              </w:rPr>
            </w:pPr>
            <w:r>
              <w:rPr>
                <w:rFonts w:ascii="Calibri" w:cs="Calibri" w:eastAsia="Calibri" w:hAnsi="Calibri"/>
                <w:sz w:val="16"/>
                <w:szCs w:val="16"/>
                <w:b w:val="1"/>
                <w:bCs w:val="1"/>
                <w:color w:val="auto"/>
              </w:rPr>
              <w:t>Non-GAAP Free Cash Flow – Adjusted</w:t>
            </w:r>
          </w:p>
        </w:tc>
        <w:tc>
          <w:tcPr>
            <w:tcW w:w="34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b w:val="1"/>
                <w:bCs w:val="1"/>
                <w:color w:val="auto"/>
              </w:rPr>
              <w:t>$</w:t>
            </w:r>
          </w:p>
        </w:tc>
        <w:tc>
          <w:tcPr>
            <w:tcW w:w="80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b w:val="1"/>
                <w:bCs w:val="1"/>
                <w:color w:val="auto"/>
              </w:rPr>
              <w:t>152,688</w:t>
            </w:r>
          </w:p>
        </w:tc>
        <w:tc>
          <w:tcPr>
            <w:tcW w:w="320" w:type="dxa"/>
            <w:vAlign w:val="bottom"/>
            <w:tcBorders>
              <w:bottom w:val="single" w:sz="8" w:color="A6A6A6"/>
            </w:tcBorders>
          </w:tcPr>
          <w:p>
            <w:pPr>
              <w:jc w:val="right"/>
              <w:ind w:right="39"/>
              <w:spacing w:after="0" w:line="183" w:lineRule="exact"/>
              <w:rPr>
                <w:sz w:val="20"/>
                <w:szCs w:val="20"/>
                <w:color w:val="auto"/>
              </w:rPr>
            </w:pPr>
            <w:r>
              <w:rPr>
                <w:rFonts w:ascii="Calibri" w:cs="Calibri" w:eastAsia="Calibri" w:hAnsi="Calibri"/>
                <w:sz w:val="16"/>
                <w:szCs w:val="16"/>
                <w:b w:val="1"/>
                <w:bCs w:val="1"/>
                <w:color w:val="auto"/>
              </w:rPr>
              <w:t>$</w:t>
            </w:r>
          </w:p>
        </w:tc>
        <w:tc>
          <w:tcPr>
            <w:tcW w:w="800" w:type="dxa"/>
            <w:vAlign w:val="bottom"/>
            <w:tcBorders>
              <w:bottom w:val="single" w:sz="8" w:color="A6A6A6"/>
            </w:tcBorders>
          </w:tcPr>
          <w:p>
            <w:pPr>
              <w:jc w:val="right"/>
              <w:ind w:right="59"/>
              <w:spacing w:after="0" w:line="183" w:lineRule="exact"/>
              <w:rPr>
                <w:sz w:val="20"/>
                <w:szCs w:val="20"/>
                <w:color w:val="auto"/>
              </w:rPr>
            </w:pPr>
            <w:r>
              <w:rPr>
                <w:rFonts w:ascii="Calibri" w:cs="Calibri" w:eastAsia="Calibri" w:hAnsi="Calibri"/>
                <w:sz w:val="16"/>
                <w:szCs w:val="16"/>
                <w:b w:val="1"/>
                <w:bCs w:val="1"/>
                <w:color w:val="auto"/>
              </w:rPr>
              <w:t>113,369</w:t>
            </w:r>
          </w:p>
        </w:tc>
        <w:tc>
          <w:tcPr>
            <w:tcW w:w="280" w:type="dxa"/>
            <w:vAlign w:val="bottom"/>
            <w:tcBorders>
              <w:bottom w:val="single" w:sz="8" w:color="A6A6A6"/>
            </w:tcBorders>
          </w:tcPr>
          <w:p>
            <w:pPr>
              <w:jc w:val="right"/>
              <w:spacing w:after="0" w:line="183" w:lineRule="exact"/>
              <w:rPr>
                <w:sz w:val="20"/>
                <w:szCs w:val="20"/>
                <w:color w:val="auto"/>
              </w:rPr>
            </w:pPr>
            <w:r>
              <w:rPr>
                <w:rFonts w:ascii="Calibri" w:cs="Calibri" w:eastAsia="Calibri" w:hAnsi="Calibri"/>
                <w:sz w:val="16"/>
                <w:szCs w:val="16"/>
                <w:b w:val="1"/>
                <w:bCs w:val="1"/>
                <w:color w:val="auto"/>
              </w:rPr>
              <w:t>$</w:t>
            </w:r>
          </w:p>
        </w:tc>
        <w:tc>
          <w:tcPr>
            <w:tcW w:w="820" w:type="dxa"/>
            <w:vAlign w:val="bottom"/>
            <w:tcBorders>
              <w:bottom w:val="single" w:sz="8" w:color="A6A6A6"/>
            </w:tcBorders>
          </w:tcPr>
          <w:p>
            <w:pPr>
              <w:jc w:val="right"/>
              <w:ind w:right="139"/>
              <w:spacing w:after="0" w:line="183" w:lineRule="exact"/>
              <w:rPr>
                <w:sz w:val="20"/>
                <w:szCs w:val="20"/>
                <w:color w:val="auto"/>
              </w:rPr>
            </w:pPr>
            <w:r>
              <w:rPr>
                <w:rFonts w:ascii="Calibri" w:cs="Calibri" w:eastAsia="Calibri" w:hAnsi="Calibri"/>
                <w:sz w:val="16"/>
                <w:szCs w:val="16"/>
                <w:b w:val="1"/>
                <w:bCs w:val="1"/>
                <w:color w:val="auto"/>
              </w:rPr>
              <w:t>157,072</w:t>
            </w:r>
          </w:p>
        </w:tc>
        <w:tc>
          <w:tcPr>
            <w:tcW w:w="920" w:type="dxa"/>
            <w:vAlign w:val="bottom"/>
            <w:tcBorders>
              <w:bottom w:val="single" w:sz="8" w:color="A6A6A6"/>
            </w:tcBorders>
          </w:tcPr>
          <w:p>
            <w:pPr>
              <w:jc w:val="right"/>
              <w:ind w:right="19"/>
              <w:spacing w:after="0" w:line="183" w:lineRule="exact"/>
              <w:rPr>
                <w:sz w:val="20"/>
                <w:szCs w:val="20"/>
                <w:color w:val="auto"/>
              </w:rPr>
            </w:pPr>
            <w:r>
              <w:rPr>
                <w:rFonts w:ascii="Calibri" w:cs="Calibri" w:eastAsia="Calibri" w:hAnsi="Calibri"/>
                <w:sz w:val="16"/>
                <w:szCs w:val="16"/>
                <w:b w:val="1"/>
                <w:bCs w:val="1"/>
                <w:color w:val="auto"/>
              </w:rPr>
              <w:t>$ 154,775</w:t>
            </w:r>
          </w:p>
        </w:tc>
        <w:tc>
          <w:tcPr>
            <w:tcW w:w="24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3420" w:type="dxa"/>
            <w:vAlign w:val="bottom"/>
            <w:tcBorders>
              <w:bottom w:val="single" w:sz="8" w:color="AF0000"/>
            </w:tcBorders>
          </w:tcPr>
          <w:p>
            <w:pPr>
              <w:spacing w:after="0"/>
              <w:rPr>
                <w:sz w:val="16"/>
                <w:szCs w:val="16"/>
                <w:color w:val="auto"/>
              </w:rPr>
            </w:pPr>
          </w:p>
        </w:tc>
        <w:tc>
          <w:tcPr>
            <w:tcW w:w="340" w:type="dxa"/>
            <w:vAlign w:val="bottom"/>
            <w:tcBorders>
              <w:bottom w:val="single" w:sz="8" w:color="AF0000"/>
            </w:tcBorders>
          </w:tcPr>
          <w:p>
            <w:pPr>
              <w:spacing w:after="0"/>
              <w:rPr>
                <w:sz w:val="16"/>
                <w:szCs w:val="16"/>
                <w:color w:val="auto"/>
              </w:rPr>
            </w:pPr>
          </w:p>
        </w:tc>
        <w:tc>
          <w:tcPr>
            <w:tcW w:w="800" w:type="dxa"/>
            <w:vAlign w:val="bottom"/>
            <w:tcBorders>
              <w:bottom w:val="single" w:sz="8" w:color="AF0000"/>
            </w:tcBorders>
          </w:tcPr>
          <w:p>
            <w:pPr>
              <w:spacing w:after="0"/>
              <w:rPr>
                <w:sz w:val="16"/>
                <w:szCs w:val="16"/>
                <w:color w:val="auto"/>
              </w:rPr>
            </w:pPr>
          </w:p>
        </w:tc>
        <w:tc>
          <w:tcPr>
            <w:tcW w:w="320" w:type="dxa"/>
            <w:vAlign w:val="bottom"/>
            <w:tcBorders>
              <w:bottom w:val="single" w:sz="8" w:color="AF0000"/>
            </w:tcBorders>
          </w:tcPr>
          <w:p>
            <w:pPr>
              <w:spacing w:after="0"/>
              <w:rPr>
                <w:sz w:val="16"/>
                <w:szCs w:val="16"/>
                <w:color w:val="auto"/>
              </w:rPr>
            </w:pPr>
          </w:p>
        </w:tc>
        <w:tc>
          <w:tcPr>
            <w:tcW w:w="800" w:type="dxa"/>
            <w:vAlign w:val="bottom"/>
            <w:tcBorders>
              <w:bottom w:val="single" w:sz="8" w:color="AF0000"/>
            </w:tcBorders>
          </w:tcPr>
          <w:p>
            <w:pPr>
              <w:spacing w:after="0"/>
              <w:rPr>
                <w:sz w:val="16"/>
                <w:szCs w:val="16"/>
                <w:color w:val="auto"/>
              </w:rPr>
            </w:pPr>
          </w:p>
        </w:tc>
        <w:tc>
          <w:tcPr>
            <w:tcW w:w="280" w:type="dxa"/>
            <w:vAlign w:val="bottom"/>
            <w:tcBorders>
              <w:bottom w:val="single" w:sz="8" w:color="AF0000"/>
            </w:tcBorders>
          </w:tcPr>
          <w:p>
            <w:pPr>
              <w:spacing w:after="0"/>
              <w:rPr>
                <w:sz w:val="16"/>
                <w:szCs w:val="16"/>
                <w:color w:val="auto"/>
              </w:rPr>
            </w:pPr>
          </w:p>
        </w:tc>
        <w:tc>
          <w:tcPr>
            <w:tcW w:w="820" w:type="dxa"/>
            <w:vAlign w:val="bottom"/>
            <w:tcBorders>
              <w:bottom w:val="single" w:sz="8" w:color="AF0000"/>
            </w:tcBorders>
          </w:tcPr>
          <w:p>
            <w:pPr>
              <w:spacing w:after="0"/>
              <w:rPr>
                <w:sz w:val="16"/>
                <w:szCs w:val="16"/>
                <w:color w:val="auto"/>
              </w:rPr>
            </w:pPr>
          </w:p>
        </w:tc>
        <w:tc>
          <w:tcPr>
            <w:tcW w:w="920" w:type="dxa"/>
            <w:vAlign w:val="bottom"/>
            <w:tcBorders>
              <w:bottom w:val="single" w:sz="8" w:color="AF0000"/>
            </w:tcBorders>
          </w:tcPr>
          <w:p>
            <w:pPr>
              <w:spacing w:after="0"/>
              <w:rPr>
                <w:sz w:val="16"/>
                <w:szCs w:val="16"/>
                <w:color w:val="auto"/>
              </w:rPr>
            </w:pPr>
          </w:p>
        </w:tc>
        <w:tc>
          <w:tcPr>
            <w:tcW w:w="240" w:type="dxa"/>
            <w:vAlign w:val="bottom"/>
            <w:tcBorders>
              <w:bottom w:val="single" w:sz="8" w:color="AF0000"/>
            </w:tcBorders>
          </w:tcPr>
          <w:p>
            <w:pPr>
              <w:spacing w:after="0"/>
              <w:rPr>
                <w:sz w:val="16"/>
                <w:szCs w:val="16"/>
                <w:color w:val="auto"/>
              </w:rPr>
            </w:pPr>
          </w:p>
        </w:tc>
        <w:tc>
          <w:tcPr>
            <w:tcW w:w="640" w:type="dxa"/>
            <w:vAlign w:val="bottom"/>
            <w:tcBorders>
              <w:bottom w:val="single" w:sz="8" w:color="AF0000"/>
            </w:tcBorders>
          </w:tcPr>
          <w:p>
            <w:pPr>
              <w:spacing w:after="0"/>
              <w:rPr>
                <w:sz w:val="16"/>
                <w:szCs w:val="16"/>
                <w:color w:val="auto"/>
              </w:rPr>
            </w:pPr>
          </w:p>
        </w:tc>
        <w:tc>
          <w:tcPr>
            <w:tcW w:w="20" w:type="dxa"/>
            <w:vAlign w:val="bottom"/>
          </w:tcPr>
          <w:p>
            <w:pPr>
              <w:spacing w:after="0"/>
              <w:rPr>
                <w:sz w:val="16"/>
                <w:szCs w:val="16"/>
                <w:color w:val="auto"/>
              </w:rPr>
            </w:pPr>
          </w:p>
        </w:tc>
      </w:tr>
    </w:tbl>
    <w:p>
      <w:pPr>
        <w:spacing w:after="0" w:line="169" w:lineRule="exact"/>
        <w:rPr>
          <w:sz w:val="20"/>
          <w:szCs w:val="20"/>
          <w:color w:val="auto"/>
        </w:rPr>
      </w:pPr>
    </w:p>
    <w:p>
      <w:pPr>
        <w:ind w:left="540" w:hanging="331"/>
        <w:spacing w:after="0"/>
        <w:tabs>
          <w:tab w:leader="none" w:pos="540" w:val="left"/>
        </w:tabs>
        <w:numPr>
          <w:ilvl w:val="0"/>
          <w:numId w:val="119"/>
        </w:numPr>
        <w:rPr>
          <w:rFonts w:ascii="Calibri" w:cs="Calibri" w:eastAsia="Calibri" w:hAnsi="Calibri"/>
          <w:sz w:val="16"/>
          <w:szCs w:val="16"/>
          <w:color w:val="AF0000"/>
        </w:rPr>
      </w:pPr>
      <w:r>
        <w:rPr>
          <w:rFonts w:ascii="Calibri" w:cs="Calibri" w:eastAsia="Calibri" w:hAnsi="Calibri"/>
          <w:sz w:val="16"/>
          <w:szCs w:val="16"/>
          <w:color w:val="auto"/>
        </w:rPr>
        <w:t>Includes severance related to corporate initatves and expenses related to the Foundatons for Growth Program.</w:t>
      </w:r>
    </w:p>
    <w:p>
      <w:pPr>
        <w:ind w:left="540" w:hanging="331"/>
        <w:spacing w:after="0" w:line="232" w:lineRule="auto"/>
        <w:tabs>
          <w:tab w:leader="none" w:pos="540" w:val="left"/>
        </w:tabs>
        <w:numPr>
          <w:ilvl w:val="0"/>
          <w:numId w:val="119"/>
        </w:numPr>
        <w:rPr>
          <w:rFonts w:ascii="Calibri" w:cs="Calibri" w:eastAsia="Calibri" w:hAnsi="Calibri"/>
          <w:sz w:val="16"/>
          <w:szCs w:val="16"/>
          <w:color w:val="AF0000"/>
        </w:rPr>
      </w:pPr>
      <w:r>
        <w:rPr>
          <w:rFonts w:ascii="Calibri" w:cs="Calibri" w:eastAsia="Calibri" w:hAnsi="Calibri"/>
          <w:sz w:val="16"/>
          <w:szCs w:val="16"/>
          <w:color w:val="auto"/>
        </w:rPr>
        <w:t>Represents incremental expenses incurred to comply with the E.U. Medical Device Regulaton (“MDR”).</w:t>
      </w:r>
    </w:p>
    <w:p>
      <w:pPr>
        <w:ind w:left="540" w:right="279" w:hanging="331"/>
        <w:spacing w:after="0" w:line="235" w:lineRule="auto"/>
        <w:tabs>
          <w:tab w:leader="none" w:pos="540" w:val="left"/>
        </w:tabs>
        <w:numPr>
          <w:ilvl w:val="0"/>
          <w:numId w:val="119"/>
        </w:numPr>
        <w:rPr>
          <w:rFonts w:ascii="Calibri" w:cs="Calibri" w:eastAsia="Calibri" w:hAnsi="Calibri"/>
          <w:sz w:val="16"/>
          <w:szCs w:val="16"/>
          <w:color w:val="AF0000"/>
        </w:rPr>
      </w:pPr>
      <w:r>
        <w:rPr>
          <w:rFonts w:ascii="Calibri" w:cs="Calibri" w:eastAsia="Calibri" w:hAnsi="Calibri"/>
          <w:sz w:val="16"/>
          <w:szCs w:val="16"/>
          <w:color w:val="auto"/>
        </w:rPr>
        <w:t>Represents expense from acquired in-process research and development, insurance reimbursement of approximately $(3.0) million for costs incurred in responding to an inquiry by the DOJ in 2023, class acton litgaton setlement costs of $10 million in 2022, contract terminaton costs of approximately $6 million in 2021 to renegotate certain terms of an acquisiton agreement, $18.7 million of setlement costs in 2020 to fully resolve an investgaton conducted by the DOJ, and actvist shareholder setlement fees in 2020.</w:t>
      </w:r>
    </w:p>
    <w:p>
      <w:pPr>
        <w:spacing w:after="0" w:line="2" w:lineRule="exact"/>
        <w:rPr>
          <w:rFonts w:ascii="Calibri" w:cs="Calibri" w:eastAsia="Calibri" w:hAnsi="Calibri"/>
          <w:sz w:val="16"/>
          <w:szCs w:val="16"/>
          <w:color w:val="AF0000"/>
        </w:rPr>
      </w:pPr>
    </w:p>
    <w:p>
      <w:pPr>
        <w:ind w:left="540" w:hanging="331"/>
        <w:spacing w:after="0" w:line="232" w:lineRule="auto"/>
        <w:tabs>
          <w:tab w:leader="none" w:pos="540" w:val="left"/>
        </w:tabs>
        <w:numPr>
          <w:ilvl w:val="0"/>
          <w:numId w:val="119"/>
        </w:numPr>
        <w:rPr>
          <w:rFonts w:ascii="Calibri" w:cs="Calibri" w:eastAsia="Calibri" w:hAnsi="Calibri"/>
          <w:sz w:val="16"/>
          <w:szCs w:val="16"/>
          <w:color w:val="AF0000"/>
        </w:rPr>
      </w:pPr>
      <w:r>
        <w:rPr>
          <w:rFonts w:ascii="Calibri" w:cs="Calibri" w:eastAsia="Calibri" w:hAnsi="Calibri"/>
          <w:sz w:val="16"/>
          <w:szCs w:val="16"/>
          <w:color w:val="auto"/>
        </w:rPr>
        <w:t>Adjusted Non-GAAP Free Cash Flow was a metric used by the Company startng in 2020.</w:t>
      </w: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 xml:space="preserve">98 </w:t>
      </w:r>
      <w:r>
        <w:rPr>
          <w:rFonts w:ascii="Calibri" w:cs="Calibri" w:eastAsia="Calibri" w:hAnsi="Calibri"/>
          <w:sz w:val="18"/>
          <w:szCs w:val="18"/>
          <w:color w:val="AF0000"/>
        </w:rPr>
        <w:t>|</w:t>
      </w:r>
      <w:r>
        <w:rPr>
          <w:rFonts w:ascii="Calibri" w:cs="Calibri" w:eastAsia="Calibri" w:hAnsi="Calibri"/>
          <w:sz w:val="18"/>
          <w:szCs w:val="18"/>
          <w:color w:val="auto"/>
        </w:rPr>
        <w:t xml:space="preserve"> Understand. Innovate. Deliver.</w:t>
      </w:r>
      <w:r>
        <w:rPr>
          <w:rFonts w:ascii="Calibri" w:cs="Calibri" w:eastAsia="Calibri" w:hAnsi="Calibri"/>
          <w:sz w:val="26"/>
          <w:szCs w:val="26"/>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102" w:name="page103"/>
    <w:bookmarkEnd w:id="102"/>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OTHER PROXY INFORMATION</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u w:val="single" w:color="auto"/>
          <w:color w:val="auto"/>
        </w:rPr>
        <w:t>APPENDIX A</w:t>
      </w:r>
    </w:p>
    <w:p>
      <w:pPr>
        <w:spacing w:after="0" w:line="18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COMPANIES INCLUDED IN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NASDAQ Stocks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SIC 3840-3849 US COMPANIES SURGICAL, MEDICAL and DENTAL INSTRUMENTS AND SUPPLIES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Calibri" w:cs="Calibri" w:eastAsia="Calibri" w:hAnsi="Calibri"/>
                <w:sz w:val="16"/>
                <w:szCs w:val="16"/>
                <w:color w:val="auto"/>
              </w:rPr>
              <w:t>MODD</w:t>
            </w:r>
          </w:p>
        </w:tc>
        <w:tc>
          <w:tcPr>
            <w:tcW w:w="3440" w:type="dxa"/>
            <w:vAlign w:val="bottom"/>
          </w:tcPr>
          <w:p>
            <w:pPr>
              <w:ind w:left="160"/>
              <w:spacing w:after="0"/>
              <w:rPr>
                <w:sz w:val="20"/>
                <w:szCs w:val="20"/>
                <w:color w:val="auto"/>
              </w:rPr>
            </w:pPr>
            <w:r>
              <w:rPr>
                <w:rFonts w:ascii="Calibri" w:cs="Calibri" w:eastAsia="Calibri" w:hAnsi="Calibri"/>
                <w:sz w:val="16"/>
                <w:szCs w:val="16"/>
                <w:color w:val="auto"/>
              </w:rPr>
              <w:t>Modular Medical, Inc.</w:t>
            </w:r>
          </w:p>
        </w:tc>
        <w:tc>
          <w:tcPr>
            <w:tcW w:w="900" w:type="dxa"/>
            <w:vAlign w:val="bottom"/>
          </w:tcPr>
          <w:p>
            <w:pPr>
              <w:ind w:left="320"/>
              <w:spacing w:after="0"/>
              <w:rPr>
                <w:sz w:val="20"/>
                <w:szCs w:val="20"/>
                <w:color w:val="auto"/>
              </w:rPr>
            </w:pPr>
            <w:r>
              <w:rPr>
                <w:rFonts w:ascii="Calibri" w:cs="Calibri" w:eastAsia="Calibri" w:hAnsi="Calibri"/>
                <w:sz w:val="16"/>
                <w:szCs w:val="16"/>
                <w:color w:val="auto"/>
              </w:rPr>
              <w:t>ATRC</w:t>
            </w:r>
          </w:p>
        </w:tc>
        <w:tc>
          <w:tcPr>
            <w:tcW w:w="3640" w:type="dxa"/>
            <w:vAlign w:val="bottom"/>
          </w:tcPr>
          <w:p>
            <w:pPr>
              <w:ind w:left="180"/>
              <w:spacing w:after="0"/>
              <w:rPr>
                <w:sz w:val="20"/>
                <w:szCs w:val="20"/>
                <w:color w:val="auto"/>
              </w:rPr>
            </w:pPr>
            <w:r>
              <w:rPr>
                <w:rFonts w:ascii="Calibri" w:cs="Calibri" w:eastAsia="Calibri" w:hAnsi="Calibri"/>
                <w:sz w:val="16"/>
                <w:szCs w:val="16"/>
                <w:color w:val="auto"/>
              </w:rPr>
              <w:t>AtriCure,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MOTS</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Motus GI Holdings,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AVGR</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Avinger,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MOVE</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Movano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AXNX</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Axonics,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CLPT</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ClearPoint Neuro,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BSGM</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BioSig Technologies,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TLSI</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TriSalus Life Sciences,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CERS</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Cerus Corporaton</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NAOV</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NanoVibronix,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BLFS</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BioLife Solutons,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NARI</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Inari Medical,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CODX</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Co-Diagnostcs,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NDRA</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ENDRA Life Sciences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MBOT</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Microbot Medical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NEPH</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Nephros,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CTSO</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Cytosorbents Corporaton</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NMRD</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Nemaura Medical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CUTR</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Cutera,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NMTC</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NeuroOne Medical Technologies Corporaton</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LIVN</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LivaNova PLC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NPCE</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NeuroPace,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PSTV</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Plus Therapeutcs,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NTRB</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Nutriband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DCTH</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Delcath Systems,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NURO</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NeuroMetrix,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STRR</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Star Equity Holdings,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NVAC</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NorthView Acquisiton Corporaton</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DXCM</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DexCom,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NVCR</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NovoCure Limited</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DXR</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Daxor Corporaton</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NVIV</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InVivo Therapeutcs</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DYNT</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Dynatronics Corporaton</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NXGL</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NEXGEL,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ECOR</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electroCore,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NXL</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Nexalin Technology,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OSUR</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OraSure Technologies,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LGMK</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LogicMark,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ESTA</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Establishment Labs Holdings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RSLS</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ReShape Lifesciences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VANI</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Vivani Medical,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OFIX</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Orthofx Medical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FONR</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FONAR Corporaton</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OM</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Outset Medical,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INO</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Inovio Pharmaceutcals,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OTEC</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OceanTech Acquisitons I Corp.</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NVNO</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enVVeno Medical Corporaton</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PAVM</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PAVmed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HOLX</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Hologic,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PDEX</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Pro-Dex,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ICAD</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iCAD,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PLSE</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Pulse Biosciences,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HSDT</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Helius Medical Technologies,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POCI</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Precision Optcs Corporaton,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IART</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Integra LifeSciences Holdings Corporaton</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PODD</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Insulet Corporaton</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ICUI</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ICU Medical,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PRCT</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PROCEPT BioRobotcs Corporaton</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GCTK</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GlucoTrack,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PXDT</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Pixie Dust Technologies,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INGN</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Inogen,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MDAI</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Spectral AI,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IRIX</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IRIDEX Corporaton</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SGHT</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Sight Sciences,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IRMD</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IRADIMED CORPORATION</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SIBN</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SI-BONE,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IRTC</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iRhythm Technologies,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SIEN</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Sientra,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ISRG</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Intuitve Surgical,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SILK</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Silk Road Medical,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INVO</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INVO Bioscience,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POAI</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Predictve Oncology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KIDS</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OrthoPediatrics Corp.</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SMLR</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Semler Scientfc,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LAKE</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Lakeland Industries,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SRDX</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Surmodics,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AXGN</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AxoGen,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SRTS</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Sensus Healthcare,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LMAT</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LeMaitre Vascular,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NUWE</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Nuwellis,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BIOL</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BIOLASE,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STIM</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Neuronetcs,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MASI</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Masimo Corporaton</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STSS</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Sharps Technology,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MDXG</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MiMedx Group,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SWAV</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Shockwave Medical,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SSKN</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STRATA Skin Sciences,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TCMD</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Tactle Systems Technology,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AFIB</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Acutus Medical,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TELA</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TELA Bio,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CTCX</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Carmell Corporaton</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PETV</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PetVivo Holdings,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ALTU</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Alttude Acquisiton Corp.</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TIVC</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Tivic Health Systems,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COCH</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Envoy Medical, Inc.</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TMCI</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Treace Medical Concepts,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IONM</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Assure Holdings Corp.</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TMDX</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TransMedics Group,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ATAK</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Aurora Technology Acquisiton Corp *</w:t>
            </w:r>
          </w:p>
        </w:tc>
      </w:tr>
      <w:tr>
        <w:trPr>
          <w:trHeight w:val="189"/>
        </w:trPr>
        <w:tc>
          <w:tcPr>
            <w:tcW w:w="600" w:type="dxa"/>
            <w:vAlign w:val="bottom"/>
          </w:tcPr>
          <w:p>
            <w:pPr>
              <w:spacing w:after="0" w:line="189" w:lineRule="exact"/>
              <w:rPr>
                <w:sz w:val="20"/>
                <w:szCs w:val="20"/>
                <w:color w:val="auto"/>
              </w:rPr>
            </w:pPr>
            <w:r>
              <w:rPr>
                <w:rFonts w:ascii="Calibri" w:cs="Calibri" w:eastAsia="Calibri" w:hAnsi="Calibri"/>
                <w:sz w:val="16"/>
                <w:szCs w:val="16"/>
                <w:color w:val="auto"/>
              </w:rPr>
              <w:t>TNDM</w:t>
            </w:r>
          </w:p>
        </w:tc>
        <w:tc>
          <w:tcPr>
            <w:tcW w:w="3440" w:type="dxa"/>
            <w:vAlign w:val="bottom"/>
          </w:tcPr>
          <w:p>
            <w:pPr>
              <w:ind w:left="160"/>
              <w:spacing w:after="0" w:line="189" w:lineRule="exact"/>
              <w:rPr>
                <w:sz w:val="20"/>
                <w:szCs w:val="20"/>
                <w:color w:val="auto"/>
              </w:rPr>
            </w:pPr>
            <w:r>
              <w:rPr>
                <w:rFonts w:ascii="Calibri" w:cs="Calibri" w:eastAsia="Calibri" w:hAnsi="Calibri"/>
                <w:sz w:val="16"/>
                <w:szCs w:val="16"/>
                <w:color w:val="auto"/>
              </w:rPr>
              <w:t>Tandem Diabetes Care, Inc.</w:t>
            </w:r>
          </w:p>
        </w:tc>
        <w:tc>
          <w:tcPr>
            <w:tcW w:w="900" w:type="dxa"/>
            <w:vAlign w:val="bottom"/>
          </w:tcPr>
          <w:p>
            <w:pPr>
              <w:ind w:left="320"/>
              <w:spacing w:after="0" w:line="189" w:lineRule="exact"/>
              <w:rPr>
                <w:sz w:val="20"/>
                <w:szCs w:val="20"/>
                <w:color w:val="auto"/>
              </w:rPr>
            </w:pPr>
            <w:r>
              <w:rPr>
                <w:rFonts w:ascii="Calibri" w:cs="Calibri" w:eastAsia="Calibri" w:hAnsi="Calibri"/>
                <w:sz w:val="16"/>
                <w:szCs w:val="16"/>
                <w:color w:val="auto"/>
              </w:rPr>
              <w:t>BBLG</w:t>
            </w:r>
          </w:p>
        </w:tc>
        <w:tc>
          <w:tcPr>
            <w:tcW w:w="3640" w:type="dxa"/>
            <w:vAlign w:val="bottom"/>
          </w:tcPr>
          <w:p>
            <w:pPr>
              <w:ind w:left="180"/>
              <w:spacing w:after="0" w:line="189" w:lineRule="exact"/>
              <w:rPr>
                <w:sz w:val="20"/>
                <w:szCs w:val="20"/>
                <w:color w:val="auto"/>
              </w:rPr>
            </w:pPr>
            <w:r>
              <w:rPr>
                <w:rFonts w:ascii="Calibri" w:cs="Calibri" w:eastAsia="Calibri" w:hAnsi="Calibri"/>
                <w:sz w:val="16"/>
                <w:szCs w:val="16"/>
                <w:color w:val="auto"/>
              </w:rPr>
              <w:t>Bone Biologics Corporaton</w:t>
            </w:r>
          </w:p>
        </w:tc>
      </w:tr>
      <w:tr>
        <w:trPr>
          <w:trHeight w:val="194"/>
        </w:trPr>
        <w:tc>
          <w:tcPr>
            <w:tcW w:w="600" w:type="dxa"/>
            <w:vAlign w:val="bottom"/>
          </w:tcPr>
          <w:p>
            <w:pPr>
              <w:spacing w:after="0" w:line="193" w:lineRule="exact"/>
              <w:rPr>
                <w:sz w:val="20"/>
                <w:szCs w:val="20"/>
                <w:color w:val="auto"/>
              </w:rPr>
            </w:pPr>
            <w:r>
              <w:rPr>
                <w:rFonts w:ascii="Calibri" w:cs="Calibri" w:eastAsia="Calibri" w:hAnsi="Calibri"/>
                <w:sz w:val="16"/>
                <w:szCs w:val="16"/>
                <w:color w:val="auto"/>
              </w:rPr>
              <w:t>TNON</w:t>
            </w:r>
          </w:p>
        </w:tc>
        <w:tc>
          <w:tcPr>
            <w:tcW w:w="3440" w:type="dxa"/>
            <w:vAlign w:val="bottom"/>
          </w:tcPr>
          <w:p>
            <w:pPr>
              <w:ind w:left="160"/>
              <w:spacing w:after="0" w:line="193" w:lineRule="exact"/>
              <w:rPr>
                <w:sz w:val="20"/>
                <w:szCs w:val="20"/>
                <w:color w:val="auto"/>
              </w:rPr>
            </w:pPr>
            <w:r>
              <w:rPr>
                <w:rFonts w:ascii="Calibri" w:cs="Calibri" w:eastAsia="Calibri" w:hAnsi="Calibri"/>
                <w:sz w:val="16"/>
                <w:szCs w:val="16"/>
                <w:color w:val="auto"/>
              </w:rPr>
              <w:t>Tenon Medical, Inc.</w:t>
            </w:r>
          </w:p>
        </w:tc>
        <w:tc>
          <w:tcPr>
            <w:tcW w:w="900" w:type="dxa"/>
            <w:vAlign w:val="bottom"/>
          </w:tcPr>
          <w:p>
            <w:pPr>
              <w:ind w:left="320"/>
              <w:spacing w:after="0" w:line="193" w:lineRule="exact"/>
              <w:rPr>
                <w:sz w:val="20"/>
                <w:szCs w:val="20"/>
                <w:color w:val="auto"/>
              </w:rPr>
            </w:pPr>
            <w:r>
              <w:rPr>
                <w:rFonts w:ascii="Calibri" w:cs="Calibri" w:eastAsia="Calibri" w:hAnsi="Calibri"/>
                <w:sz w:val="16"/>
                <w:szCs w:val="16"/>
                <w:color w:val="auto"/>
              </w:rPr>
              <w:t>BEAT</w:t>
            </w:r>
          </w:p>
        </w:tc>
        <w:tc>
          <w:tcPr>
            <w:tcW w:w="3640" w:type="dxa"/>
            <w:vAlign w:val="bottom"/>
          </w:tcPr>
          <w:p>
            <w:pPr>
              <w:ind w:left="180"/>
              <w:spacing w:after="0" w:line="193" w:lineRule="exact"/>
              <w:rPr>
                <w:sz w:val="20"/>
                <w:szCs w:val="20"/>
                <w:color w:val="auto"/>
              </w:rPr>
            </w:pPr>
            <w:r>
              <w:rPr>
                <w:rFonts w:ascii="Calibri" w:cs="Calibri" w:eastAsia="Calibri" w:hAnsi="Calibri"/>
                <w:sz w:val="16"/>
                <w:szCs w:val="16"/>
                <w:color w:val="auto"/>
              </w:rPr>
              <w:t>HeartBeam, Inc.</w:t>
            </w:r>
          </w:p>
        </w:tc>
      </w:tr>
      <w:tr>
        <w:trPr>
          <w:trHeight w:val="1209"/>
        </w:trPr>
        <w:tc>
          <w:tcPr>
            <w:tcW w:w="6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4" w:right="1440" w:bottom="1440" w:gutter="0" w:footer="0" w:header="0"/>
        </w:sectPr>
      </w:pPr>
    </w:p>
    <w:bookmarkStart w:id="103" w:name="page104"/>
    <w:bookmarkEnd w:id="103"/>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20" w:type="dxa"/>
            <w:vAlign w:val="bottom"/>
          </w:tcPr>
          <w:p>
            <w:pPr>
              <w:ind w:left="1540"/>
              <w:spacing w:after="0"/>
              <w:rPr>
                <w:sz w:val="20"/>
                <w:szCs w:val="20"/>
                <w:color w:val="auto"/>
              </w:rPr>
            </w:pPr>
            <w:r>
              <w:rPr>
                <w:rFonts w:ascii="Calibri" w:cs="Calibri" w:eastAsia="Calibri" w:hAnsi="Calibri"/>
                <w:sz w:val="18"/>
                <w:szCs w:val="18"/>
                <w:color w:val="auto"/>
                <w:w w:val="95"/>
              </w:rPr>
              <w:t>OTHER PROXY INFORMATION</w:t>
            </w:r>
          </w:p>
        </w:tc>
      </w:tr>
      <w:tr>
        <w:trPr>
          <w:trHeight w:val="329"/>
        </w:trPr>
        <w:tc>
          <w:tcPr>
            <w:tcW w:w="580" w:type="dxa"/>
            <w:vAlign w:val="bottom"/>
          </w:tcPr>
          <w:p>
            <w:pPr>
              <w:spacing w:after="0"/>
              <w:rPr>
                <w:sz w:val="20"/>
                <w:szCs w:val="20"/>
                <w:color w:val="auto"/>
              </w:rPr>
            </w:pPr>
            <w:r>
              <w:rPr>
                <w:rFonts w:ascii="Calibri" w:cs="Calibri" w:eastAsia="Calibri" w:hAnsi="Calibri"/>
                <w:sz w:val="16"/>
                <w:szCs w:val="16"/>
                <w:color w:val="auto"/>
              </w:rPr>
              <w:t>TTOO</w:t>
            </w:r>
          </w:p>
        </w:tc>
        <w:tc>
          <w:tcPr>
            <w:tcW w:w="2920" w:type="dxa"/>
            <w:vAlign w:val="bottom"/>
          </w:tcPr>
          <w:p>
            <w:pPr>
              <w:ind w:left="180"/>
              <w:spacing w:after="0"/>
              <w:rPr>
                <w:sz w:val="20"/>
                <w:szCs w:val="20"/>
                <w:color w:val="auto"/>
              </w:rPr>
            </w:pPr>
            <w:r>
              <w:rPr>
                <w:rFonts w:ascii="Calibri" w:cs="Calibri" w:eastAsia="Calibri" w:hAnsi="Calibri"/>
                <w:sz w:val="16"/>
                <w:szCs w:val="16"/>
                <w:color w:val="auto"/>
              </w:rPr>
              <w:t>T2 Biosystems, Inc.</w:t>
            </w:r>
          </w:p>
        </w:tc>
        <w:tc>
          <w:tcPr>
            <w:tcW w:w="1460" w:type="dxa"/>
            <w:vAlign w:val="bottom"/>
          </w:tcPr>
          <w:p>
            <w:pPr>
              <w:ind w:left="860"/>
              <w:spacing w:after="0"/>
              <w:rPr>
                <w:sz w:val="20"/>
                <w:szCs w:val="20"/>
                <w:color w:val="auto"/>
              </w:rPr>
            </w:pPr>
            <w:r>
              <w:rPr>
                <w:rFonts w:ascii="Calibri" w:cs="Calibri" w:eastAsia="Calibri" w:hAnsi="Calibri"/>
                <w:sz w:val="16"/>
                <w:szCs w:val="16"/>
                <w:color w:val="auto"/>
              </w:rPr>
              <w:t>BJDX</w:t>
            </w:r>
          </w:p>
        </w:tc>
        <w:tc>
          <w:tcPr>
            <w:tcW w:w="3620" w:type="dxa"/>
            <w:vAlign w:val="bottom"/>
          </w:tcPr>
          <w:p>
            <w:pPr>
              <w:ind w:left="160"/>
              <w:spacing w:after="0"/>
              <w:rPr>
                <w:sz w:val="20"/>
                <w:szCs w:val="20"/>
                <w:color w:val="auto"/>
              </w:rPr>
            </w:pPr>
            <w:r>
              <w:rPr>
                <w:rFonts w:ascii="Calibri" w:cs="Calibri" w:eastAsia="Calibri" w:hAnsi="Calibri"/>
                <w:sz w:val="16"/>
                <w:szCs w:val="16"/>
                <w:color w:val="auto"/>
              </w:rPr>
              <w:t>Bluejay Diagnostcs, Inc.</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UFPT</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UFP Technologies,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BVS</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Bioventus Inc.</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UTMD</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Utah Medical Products,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CVRX</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CVRx, Inc.</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UTRS</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Minerva Surgical,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AKLI</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Akili, Inc.</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SKIN</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The Beauty Health Company</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EAR</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Eargo, Inc.</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VVOS</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Vivos Therapeutcs,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EMBC</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Embecta Corp.</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SMTI</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Sanara MedTech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FEMY</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Femasys Inc.</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XRAY</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DENTSPLY SIRONA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INBS</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Intelligent Bio Solutons Inc.</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ZIMV</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ZimVie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GEHC</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GE HealthCare Technologies Inc.</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ZYXI</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Zynex,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HYPR</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Hyperfne, Inc.</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KRMD</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KORU Medical Systems,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OBIO</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Orchestra BioMed Holdings, Inc.</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AEMD</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Aethlon Medical,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HSCS</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Heart Test Laboratories, Inc.</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ALGN</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Align Technology,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ICU</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SeaStar Medical Holding Corporaton</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SINT</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Sintx Technologies,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LNSR</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LENSAR, Inc.</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APYX</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Apyx Medical Corporaton</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LUCD</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Lucid Diagnostcs Inc.</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ANGO</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AngioDynamics,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LUNG</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Pulmonx Corporaton</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ANIK</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Anika Therapeutcs,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LYRA</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Lyra Therapeutcs, Inc.</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ARAY</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Accuray Incorporated</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MBTC</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Nocturne Acquisiton Corporaton</w:t>
            </w:r>
          </w:p>
        </w:tc>
      </w:tr>
      <w:tr>
        <w:trPr>
          <w:trHeight w:val="189"/>
        </w:trPr>
        <w:tc>
          <w:tcPr>
            <w:tcW w:w="580" w:type="dxa"/>
            <w:vAlign w:val="bottom"/>
          </w:tcPr>
          <w:p>
            <w:pPr>
              <w:spacing w:after="0" w:line="189" w:lineRule="exact"/>
              <w:rPr>
                <w:sz w:val="20"/>
                <w:szCs w:val="20"/>
                <w:color w:val="auto"/>
              </w:rPr>
            </w:pPr>
            <w:r>
              <w:rPr>
                <w:rFonts w:ascii="Calibri" w:cs="Calibri" w:eastAsia="Calibri" w:hAnsi="Calibri"/>
                <w:sz w:val="16"/>
                <w:szCs w:val="16"/>
                <w:color w:val="auto"/>
              </w:rPr>
              <w:t>ATEC</w:t>
            </w:r>
          </w:p>
        </w:tc>
        <w:tc>
          <w:tcPr>
            <w:tcW w:w="2920" w:type="dxa"/>
            <w:vAlign w:val="bottom"/>
          </w:tcPr>
          <w:p>
            <w:pPr>
              <w:ind w:left="180"/>
              <w:spacing w:after="0" w:line="189" w:lineRule="exact"/>
              <w:rPr>
                <w:sz w:val="20"/>
                <w:szCs w:val="20"/>
                <w:color w:val="auto"/>
              </w:rPr>
            </w:pPr>
            <w:r>
              <w:rPr>
                <w:rFonts w:ascii="Calibri" w:cs="Calibri" w:eastAsia="Calibri" w:hAnsi="Calibri"/>
                <w:sz w:val="16"/>
                <w:szCs w:val="16"/>
                <w:color w:val="auto"/>
              </w:rPr>
              <w:t>Alphatec Holdings, Inc.</w:t>
            </w:r>
          </w:p>
        </w:tc>
        <w:tc>
          <w:tcPr>
            <w:tcW w:w="1460" w:type="dxa"/>
            <w:vAlign w:val="bottom"/>
          </w:tcPr>
          <w:p>
            <w:pPr>
              <w:ind w:left="860"/>
              <w:spacing w:after="0" w:line="189" w:lineRule="exact"/>
              <w:rPr>
                <w:sz w:val="20"/>
                <w:szCs w:val="20"/>
                <w:color w:val="auto"/>
              </w:rPr>
            </w:pPr>
            <w:r>
              <w:rPr>
                <w:rFonts w:ascii="Calibri" w:cs="Calibri" w:eastAsia="Calibri" w:hAnsi="Calibri"/>
                <w:sz w:val="16"/>
                <w:szCs w:val="16"/>
                <w:color w:val="auto"/>
              </w:rPr>
              <w:t>SEPA</w:t>
            </w:r>
          </w:p>
        </w:tc>
        <w:tc>
          <w:tcPr>
            <w:tcW w:w="3620" w:type="dxa"/>
            <w:vAlign w:val="bottom"/>
          </w:tcPr>
          <w:p>
            <w:pPr>
              <w:ind w:left="160"/>
              <w:spacing w:after="0" w:line="189" w:lineRule="exact"/>
              <w:rPr>
                <w:sz w:val="20"/>
                <w:szCs w:val="20"/>
                <w:color w:val="auto"/>
              </w:rPr>
            </w:pPr>
            <w:r>
              <w:rPr>
                <w:rFonts w:ascii="Calibri" w:cs="Calibri" w:eastAsia="Calibri" w:hAnsi="Calibri"/>
                <w:sz w:val="16"/>
                <w:szCs w:val="16"/>
                <w:color w:val="auto"/>
              </w:rPr>
              <w:t>SEP Acquisiton Corp.</w:t>
            </w:r>
          </w:p>
        </w:tc>
      </w:tr>
      <w:tr>
        <w:trPr>
          <w:trHeight w:val="193"/>
        </w:trPr>
        <w:tc>
          <w:tcPr>
            <w:tcW w:w="580" w:type="dxa"/>
            <w:vAlign w:val="bottom"/>
          </w:tcPr>
          <w:p>
            <w:pPr>
              <w:spacing w:after="0" w:line="193" w:lineRule="exact"/>
              <w:rPr>
                <w:sz w:val="20"/>
                <w:szCs w:val="20"/>
                <w:color w:val="auto"/>
              </w:rPr>
            </w:pPr>
            <w:r>
              <w:rPr>
                <w:rFonts w:ascii="Calibri" w:cs="Calibri" w:eastAsia="Calibri" w:hAnsi="Calibri"/>
                <w:sz w:val="16"/>
                <w:szCs w:val="16"/>
                <w:color w:val="auto"/>
              </w:rPr>
              <w:t>ATRI</w:t>
            </w:r>
          </w:p>
        </w:tc>
        <w:tc>
          <w:tcPr>
            <w:tcW w:w="2920" w:type="dxa"/>
            <w:vAlign w:val="bottom"/>
          </w:tcPr>
          <w:p>
            <w:pPr>
              <w:ind w:left="180"/>
              <w:spacing w:after="0" w:line="193" w:lineRule="exact"/>
              <w:rPr>
                <w:sz w:val="20"/>
                <w:szCs w:val="20"/>
                <w:color w:val="auto"/>
              </w:rPr>
            </w:pPr>
            <w:r>
              <w:rPr>
                <w:rFonts w:ascii="Calibri" w:cs="Calibri" w:eastAsia="Calibri" w:hAnsi="Calibri"/>
                <w:sz w:val="16"/>
                <w:szCs w:val="16"/>
                <w:color w:val="auto"/>
              </w:rPr>
              <w:t>Atrion Corporaton</w:t>
            </w:r>
          </w:p>
        </w:tc>
        <w:tc>
          <w:tcPr>
            <w:tcW w:w="1460" w:type="dxa"/>
            <w:vAlign w:val="bottom"/>
          </w:tcPr>
          <w:p>
            <w:pPr>
              <w:ind w:left="860"/>
              <w:spacing w:after="0" w:line="193" w:lineRule="exact"/>
              <w:rPr>
                <w:sz w:val="20"/>
                <w:szCs w:val="20"/>
                <w:color w:val="auto"/>
              </w:rPr>
            </w:pPr>
            <w:r>
              <w:rPr>
                <w:rFonts w:ascii="Calibri" w:cs="Calibri" w:eastAsia="Calibri" w:hAnsi="Calibri"/>
                <w:sz w:val="16"/>
                <w:szCs w:val="16"/>
                <w:color w:val="auto"/>
              </w:rPr>
              <w:t>MGRM</w:t>
            </w:r>
          </w:p>
        </w:tc>
        <w:tc>
          <w:tcPr>
            <w:tcW w:w="3620" w:type="dxa"/>
            <w:vAlign w:val="bottom"/>
          </w:tcPr>
          <w:p>
            <w:pPr>
              <w:ind w:left="160"/>
              <w:spacing w:after="0" w:line="193" w:lineRule="exact"/>
              <w:rPr>
                <w:sz w:val="20"/>
                <w:szCs w:val="20"/>
                <w:color w:val="auto"/>
              </w:rPr>
            </w:pPr>
            <w:r>
              <w:rPr>
                <w:rFonts w:ascii="Calibri" w:cs="Calibri" w:eastAsia="Calibri" w:hAnsi="Calibri"/>
                <w:sz w:val="16"/>
                <w:szCs w:val="16"/>
                <w:color w:val="auto"/>
              </w:rPr>
              <w:t>Monogram Orthopaedics, Inc.</w:t>
            </w:r>
          </w:p>
        </w:tc>
      </w:tr>
    </w:tbl>
    <w:p>
      <w:pPr>
        <w:ind w:left="220"/>
        <w:spacing w:after="0" w:line="232" w:lineRule="auto"/>
        <w:rPr>
          <w:sz w:val="20"/>
          <w:szCs w:val="20"/>
          <w:color w:val="auto"/>
        </w:rPr>
      </w:pPr>
      <w:r>
        <w:rPr>
          <w:rFonts w:ascii="Calibri" w:cs="Calibri" w:eastAsia="Calibri" w:hAnsi="Calibri"/>
          <w:sz w:val="16"/>
          <w:szCs w:val="16"/>
          <w:color w:val="auto"/>
        </w:rPr>
        <w:t>* acquired by DIH Technology Ltd. On February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1037590</wp:posOffset>
            </wp:positionV>
            <wp:extent cx="545211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104" w:name="page105"/>
    <w:bookmarkEnd w:id="104"/>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OTHER PROXY INFORMATION</w:t>
      </w:r>
    </w:p>
    <w:p>
      <w:pPr>
        <w:spacing w:after="0" w:line="179"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b w:val="1"/>
          <w:bCs w:val="1"/>
          <w:u w:val="single" w:color="auto"/>
          <w:color w:val="auto"/>
        </w:rPr>
        <w:t>APPENDIX B</w:t>
      </w:r>
    </w:p>
    <w:p>
      <w:pPr>
        <w:spacing w:after="0" w:line="183"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b w:val="1"/>
          <w:bCs w:val="1"/>
          <w:color w:val="auto"/>
        </w:rPr>
        <w:t>THIRD AMENDMENT TO THE</w:t>
      </w:r>
    </w:p>
    <w:p>
      <w:pPr>
        <w:spacing w:after="0" w:line="7"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b w:val="1"/>
          <w:bCs w:val="1"/>
          <w:color w:val="auto"/>
        </w:rPr>
        <w:t>MERIT MEDICAL SYSTEMS, INC.</w:t>
      </w:r>
    </w:p>
    <w:p>
      <w:pPr>
        <w:jc w:val="center"/>
        <w:ind w:right="19"/>
        <w:spacing w:after="0" w:line="232" w:lineRule="auto"/>
        <w:rPr>
          <w:sz w:val="20"/>
          <w:szCs w:val="20"/>
          <w:color w:val="auto"/>
        </w:rPr>
      </w:pPr>
      <w:r>
        <w:rPr>
          <w:rFonts w:ascii="Calibri" w:cs="Calibri" w:eastAsia="Calibri" w:hAnsi="Calibri"/>
          <w:sz w:val="16"/>
          <w:szCs w:val="16"/>
          <w:b w:val="1"/>
          <w:bCs w:val="1"/>
          <w:color w:val="auto"/>
        </w:rPr>
        <w:t>2018 LONG-TERM INCENTIVE PLAN</w:t>
      </w:r>
    </w:p>
    <w:p>
      <w:pPr>
        <w:spacing w:after="0" w:line="185" w:lineRule="exact"/>
        <w:rPr>
          <w:sz w:val="20"/>
          <w:szCs w:val="20"/>
          <w:color w:val="auto"/>
        </w:rPr>
      </w:pPr>
    </w:p>
    <w:p>
      <w:pPr>
        <w:ind w:left="200" w:right="599" w:firstLine="648"/>
        <w:spacing w:after="0" w:line="239" w:lineRule="auto"/>
        <w:rPr>
          <w:sz w:val="20"/>
          <w:szCs w:val="20"/>
          <w:color w:val="auto"/>
        </w:rPr>
      </w:pPr>
      <w:r>
        <w:rPr>
          <w:rFonts w:ascii="Calibri" w:cs="Calibri" w:eastAsia="Calibri" w:hAnsi="Calibri"/>
          <w:sz w:val="16"/>
          <w:szCs w:val="16"/>
          <w:color w:val="auto"/>
        </w:rPr>
        <w:t>THIS THIRD AMENDMENT TO THE MERIT MEDICAL SYSTEMS, INC. 2018 LONG-TERM INCENTIVE PLAN (this "Amendment") is made and adopted efectve February 17, 2024 by Merit Medical Systems, Inc. (the “Company”), contngent upon approval of this Amendment by the shareholders of the Company not later than June 30, 2024.</w:t>
      </w:r>
    </w:p>
    <w:p>
      <w:pPr>
        <w:spacing w:after="0" w:line="186" w:lineRule="exact"/>
        <w:rPr>
          <w:sz w:val="20"/>
          <w:szCs w:val="20"/>
          <w:color w:val="auto"/>
        </w:rPr>
      </w:pPr>
    </w:p>
    <w:p>
      <w:pPr>
        <w:ind w:left="200" w:right="539" w:firstLine="648"/>
        <w:spacing w:after="0" w:line="235" w:lineRule="auto"/>
        <w:rPr>
          <w:sz w:val="20"/>
          <w:szCs w:val="20"/>
          <w:color w:val="auto"/>
        </w:rPr>
      </w:pPr>
      <w:r>
        <w:rPr>
          <w:rFonts w:ascii="Calibri" w:cs="Calibri" w:eastAsia="Calibri" w:hAnsi="Calibri"/>
          <w:sz w:val="16"/>
          <w:szCs w:val="16"/>
          <w:color w:val="auto"/>
        </w:rPr>
        <w:t>WHEREAS, the Company maintains the Merit Medical Systems, Inc. 2018 Long-Term Incentve Plan, as amended (the "Plan"), for the beneft of its employees and the employees of its partcipatng subsidiaries;</w:t>
      </w:r>
    </w:p>
    <w:p>
      <w:pPr>
        <w:spacing w:after="0" w:line="171" w:lineRule="exact"/>
        <w:rPr>
          <w:sz w:val="20"/>
          <w:szCs w:val="20"/>
          <w:color w:val="auto"/>
        </w:rPr>
      </w:pPr>
    </w:p>
    <w:p>
      <w:pPr>
        <w:ind w:left="200" w:right="319" w:firstLine="648"/>
        <w:spacing w:after="0" w:line="246" w:lineRule="auto"/>
        <w:rPr>
          <w:sz w:val="20"/>
          <w:szCs w:val="20"/>
          <w:color w:val="auto"/>
        </w:rPr>
      </w:pPr>
      <w:r>
        <w:rPr>
          <w:rFonts w:ascii="Calibri" w:cs="Calibri" w:eastAsia="Calibri" w:hAnsi="Calibri"/>
          <w:sz w:val="16"/>
          <w:szCs w:val="16"/>
          <w:color w:val="auto"/>
        </w:rPr>
        <w:t>WHEREAS, it is necessary and desirable to amend the Plan to increase the number of shares of Company common stock (“Shares”) authorized for grant under the Plan from 6,100,000 Shares to 9,100,000 Shares; and</w:t>
      </w:r>
    </w:p>
    <w:p>
      <w:pPr>
        <w:spacing w:after="0" w:line="167" w:lineRule="exact"/>
        <w:rPr>
          <w:sz w:val="20"/>
          <w:szCs w:val="20"/>
          <w:color w:val="auto"/>
        </w:rPr>
      </w:pPr>
    </w:p>
    <w:p>
      <w:pPr>
        <w:ind w:left="200" w:right="259" w:firstLine="648"/>
        <w:spacing w:after="0" w:line="246" w:lineRule="auto"/>
        <w:rPr>
          <w:sz w:val="20"/>
          <w:szCs w:val="20"/>
          <w:color w:val="auto"/>
        </w:rPr>
      </w:pPr>
      <w:r>
        <w:rPr>
          <w:rFonts w:ascii="Calibri" w:cs="Calibri" w:eastAsia="Calibri" w:hAnsi="Calibri"/>
          <w:sz w:val="16"/>
          <w:szCs w:val="16"/>
          <w:color w:val="auto"/>
        </w:rPr>
        <w:t>WHEREAS, the Company, actng through its Board of Directors (the "Board"), has reserved the right to amend the Plan at any tme and from tme to tme, subject to shareholder approval in the case of certain material modifcatons;</w:t>
      </w:r>
    </w:p>
    <w:p>
      <w:pPr>
        <w:spacing w:after="0" w:line="165" w:lineRule="exact"/>
        <w:rPr>
          <w:sz w:val="20"/>
          <w:szCs w:val="20"/>
          <w:color w:val="auto"/>
        </w:rPr>
      </w:pPr>
    </w:p>
    <w:p>
      <w:pPr>
        <w:ind w:left="860"/>
        <w:spacing w:after="0"/>
        <w:rPr>
          <w:sz w:val="20"/>
          <w:szCs w:val="20"/>
          <w:color w:val="auto"/>
        </w:rPr>
      </w:pPr>
      <w:r>
        <w:rPr>
          <w:rFonts w:ascii="Calibri" w:cs="Calibri" w:eastAsia="Calibri" w:hAnsi="Calibri"/>
          <w:sz w:val="16"/>
          <w:szCs w:val="16"/>
          <w:color w:val="auto"/>
        </w:rPr>
        <w:t>NOW, THEREFORE, contngent upon approval of this Amendment by the shareholders of the Company not later than</w:t>
      </w:r>
    </w:p>
    <w:p>
      <w:pPr>
        <w:ind w:left="200"/>
        <w:spacing w:after="0" w:line="232" w:lineRule="auto"/>
        <w:rPr>
          <w:sz w:val="20"/>
          <w:szCs w:val="20"/>
          <w:color w:val="auto"/>
        </w:rPr>
      </w:pPr>
      <w:r>
        <w:rPr>
          <w:rFonts w:ascii="Calibri" w:cs="Calibri" w:eastAsia="Calibri" w:hAnsi="Calibri"/>
          <w:sz w:val="16"/>
          <w:szCs w:val="16"/>
          <w:color w:val="auto"/>
        </w:rPr>
        <w:t>June 30, 2024, the Plan is amended as follows efectve February 17, 2024:</w:t>
      </w:r>
    </w:p>
    <w:p>
      <w:pPr>
        <w:spacing w:after="0" w:line="183" w:lineRule="exact"/>
        <w:rPr>
          <w:sz w:val="20"/>
          <w:szCs w:val="20"/>
          <w:color w:val="auto"/>
        </w:rPr>
      </w:pPr>
    </w:p>
    <w:p>
      <w:pPr>
        <w:ind w:left="1540" w:hanging="656"/>
        <w:spacing w:after="0"/>
        <w:tabs>
          <w:tab w:leader="none" w:pos="1540" w:val="left"/>
        </w:tabs>
        <w:numPr>
          <w:ilvl w:val="0"/>
          <w:numId w:val="120"/>
        </w:numPr>
        <w:rPr>
          <w:rFonts w:ascii="Calibri" w:cs="Calibri" w:eastAsia="Calibri" w:hAnsi="Calibri"/>
          <w:sz w:val="16"/>
          <w:szCs w:val="16"/>
          <w:color w:val="auto"/>
        </w:rPr>
      </w:pPr>
      <w:r>
        <w:rPr>
          <w:rFonts w:ascii="Calibri" w:cs="Calibri" w:eastAsia="Calibri" w:hAnsi="Calibri"/>
          <w:sz w:val="16"/>
          <w:szCs w:val="16"/>
          <w:color w:val="auto"/>
        </w:rPr>
        <w:t>Secton 3.1(a) of the Plan is amended and restated in its entrety to read as follows:</w:t>
      </w:r>
    </w:p>
    <w:p>
      <w:pPr>
        <w:spacing w:after="0" w:line="171" w:lineRule="exact"/>
        <w:rPr>
          <w:sz w:val="20"/>
          <w:szCs w:val="20"/>
          <w:color w:val="auto"/>
        </w:rPr>
      </w:pPr>
    </w:p>
    <w:p>
      <w:pPr>
        <w:ind w:left="1500" w:right="899"/>
        <w:spacing w:after="0" w:line="236" w:lineRule="auto"/>
        <w:rPr>
          <w:sz w:val="20"/>
          <w:szCs w:val="20"/>
          <w:color w:val="auto"/>
        </w:rPr>
      </w:pPr>
      <w:r>
        <w:rPr>
          <w:rFonts w:ascii="Calibri" w:cs="Calibri" w:eastAsia="Calibri" w:hAnsi="Calibri"/>
          <w:sz w:val="16"/>
          <w:szCs w:val="16"/>
          <w:color w:val="auto"/>
        </w:rPr>
        <w:t>"(a) Subject to adjustment as provided in Secton 12.2, a total of 9,100,000 Shares shall be authorized for grant under the Plan. Any Shares that are subject to Awards of Optons or Stock Appreciaton Rights shall be counted against this limit as one (1) Share for every one (1) Share granted. Any Shares that are subject to Awards other than Optons or Stock Appreciaton Rights shall be counted against this limit as two and one-half (2½) Shares for every one (1) Share granted.”</w:t>
      </w:r>
    </w:p>
    <w:p>
      <w:pPr>
        <w:spacing w:after="0" w:line="187" w:lineRule="exact"/>
        <w:rPr>
          <w:sz w:val="20"/>
          <w:szCs w:val="20"/>
          <w:color w:val="auto"/>
        </w:rPr>
      </w:pPr>
    </w:p>
    <w:p>
      <w:pPr>
        <w:ind w:left="1540" w:right="639" w:hanging="656"/>
        <w:spacing w:after="0" w:line="235" w:lineRule="auto"/>
        <w:tabs>
          <w:tab w:leader="none" w:pos="1540" w:val="left"/>
        </w:tabs>
        <w:numPr>
          <w:ilvl w:val="0"/>
          <w:numId w:val="121"/>
        </w:numPr>
        <w:rPr>
          <w:rFonts w:ascii="Calibri" w:cs="Calibri" w:eastAsia="Calibri" w:hAnsi="Calibri"/>
          <w:sz w:val="16"/>
          <w:szCs w:val="16"/>
          <w:color w:val="auto"/>
        </w:rPr>
      </w:pPr>
      <w:r>
        <w:rPr>
          <w:rFonts w:ascii="Calibri" w:cs="Calibri" w:eastAsia="Calibri" w:hAnsi="Calibri"/>
          <w:sz w:val="16"/>
          <w:szCs w:val="16"/>
          <w:color w:val="auto"/>
        </w:rPr>
        <w:t>The third sentence of Secton 5.7 of the Plan, relatng to the maximum number of Shares with respect to which incentve stock optons may be granted under the Plan, is amended to read as follows:</w:t>
      </w:r>
    </w:p>
    <w:p>
      <w:pPr>
        <w:spacing w:after="0" w:line="185" w:lineRule="exact"/>
        <w:rPr>
          <w:sz w:val="20"/>
          <w:szCs w:val="20"/>
          <w:color w:val="auto"/>
        </w:rPr>
      </w:pPr>
    </w:p>
    <w:p>
      <w:pPr>
        <w:ind w:left="1500" w:right="939"/>
        <w:spacing w:after="0" w:line="237" w:lineRule="auto"/>
        <w:rPr>
          <w:sz w:val="20"/>
          <w:szCs w:val="20"/>
          <w:color w:val="auto"/>
        </w:rPr>
      </w:pPr>
      <w:r>
        <w:rPr>
          <w:rFonts w:ascii="Calibri" w:cs="Calibri" w:eastAsia="Calibri" w:hAnsi="Calibri"/>
          <w:sz w:val="16"/>
          <w:szCs w:val="16"/>
          <w:color w:val="auto"/>
        </w:rPr>
        <w:t>“Solely for the purposes of determining whether Shares are available for the grant of Incentve Stock Optons under the Plan, the maximum aggregate number of Shares with respect to which Incentve Stock Optons may be issued under the Plan shall be 9,100,000 Shares, subject to adjustment under Secton 12.2.”</w:t>
      </w:r>
    </w:p>
    <w:p>
      <w:pPr>
        <w:spacing w:after="0" w:line="187" w:lineRule="exact"/>
        <w:rPr>
          <w:sz w:val="20"/>
          <w:szCs w:val="20"/>
          <w:color w:val="auto"/>
        </w:rPr>
      </w:pPr>
    </w:p>
    <w:p>
      <w:pPr>
        <w:ind w:left="1540" w:right="339" w:hanging="656"/>
        <w:spacing w:after="0" w:line="224" w:lineRule="auto"/>
        <w:tabs>
          <w:tab w:leader="none" w:pos="1540" w:val="left"/>
        </w:tabs>
        <w:numPr>
          <w:ilvl w:val="0"/>
          <w:numId w:val="122"/>
        </w:numPr>
        <w:rPr>
          <w:rFonts w:ascii="Calibri" w:cs="Calibri" w:eastAsia="Calibri" w:hAnsi="Calibri"/>
          <w:sz w:val="18"/>
          <w:szCs w:val="18"/>
          <w:color w:val="auto"/>
        </w:rPr>
      </w:pPr>
      <w:r>
        <w:rPr>
          <w:rFonts w:ascii="Calibri" w:cs="Calibri" w:eastAsia="Calibri" w:hAnsi="Calibri"/>
          <w:sz w:val="16"/>
          <w:szCs w:val="16"/>
          <w:color w:val="auto"/>
        </w:rPr>
        <w:t>Notwithstanding the foregoing, if the shareholders of the Company fail to approve this Amendment by June 30, 2024, this Amendment shall be null and void. Except as provided above, the terms of the Plan are hereby ratfed and confrmed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1158875</wp:posOffset>
            </wp:positionV>
            <wp:extent cx="545211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105" w:name="page106"/>
    <w:bookmarkEnd w:id="105"/>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OTHER PROXY INFORMATION</w:t>
      </w:r>
    </w:p>
    <w:p>
      <w:pPr>
        <w:spacing w:after="0" w:line="131"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VOTE BY INTERNET</w:t>
      </w:r>
    </w:p>
    <w:p>
      <w:pPr>
        <w:ind w:left="200"/>
        <w:spacing w:after="0" w:line="235" w:lineRule="auto"/>
        <w:rPr>
          <w:sz w:val="20"/>
          <w:szCs w:val="20"/>
          <w:color w:val="auto"/>
        </w:rPr>
      </w:pPr>
      <w:r>
        <w:rPr>
          <w:rFonts w:ascii="Calibri" w:cs="Calibri" w:eastAsia="Calibri" w:hAnsi="Calibri"/>
          <w:sz w:val="18"/>
          <w:szCs w:val="18"/>
          <w:i w:val="1"/>
          <w:iCs w:val="1"/>
          <w:color w:val="auto"/>
        </w:rPr>
        <w:t xml:space="preserve">Before The Meetng – Go to </w:t>
      </w:r>
      <w:r>
        <w:rPr>
          <w:rFonts w:ascii="Calibri" w:cs="Calibri" w:eastAsia="Calibri" w:hAnsi="Calibri"/>
          <w:sz w:val="18"/>
          <w:szCs w:val="18"/>
          <w:b w:val="1"/>
          <w:bCs w:val="1"/>
          <w:u w:val="single" w:color="auto"/>
          <w:color w:val="auto"/>
        </w:rPr>
        <w:t>www.proxyvote.com</w:t>
      </w:r>
    </w:p>
    <w:p>
      <w:pPr>
        <w:ind w:left="200"/>
        <w:spacing w:after="0" w:line="236" w:lineRule="auto"/>
        <w:rPr>
          <w:sz w:val="20"/>
          <w:szCs w:val="20"/>
          <w:color w:val="auto"/>
        </w:rPr>
      </w:pPr>
      <w:r>
        <w:rPr>
          <w:rFonts w:ascii="Calibri" w:cs="Calibri" w:eastAsia="Calibri" w:hAnsi="Calibri"/>
          <w:sz w:val="18"/>
          <w:szCs w:val="18"/>
          <w:color w:val="auto"/>
        </w:rPr>
        <w:t>Use the Internet to transmit your votng instructons</w:t>
      </w:r>
    </w:p>
    <w:p>
      <w:pPr>
        <w:spacing w:after="0" w:line="2" w:lineRule="exact"/>
        <w:rPr>
          <w:sz w:val="20"/>
          <w:szCs w:val="20"/>
          <w:color w:val="auto"/>
        </w:rPr>
      </w:pPr>
    </w:p>
    <w:p>
      <w:pPr>
        <w:ind w:left="200" w:right="3499"/>
        <w:spacing w:after="0" w:line="230" w:lineRule="auto"/>
        <w:rPr>
          <w:sz w:val="20"/>
          <w:szCs w:val="20"/>
          <w:color w:val="auto"/>
        </w:rPr>
      </w:pPr>
      <w:r>
        <w:rPr>
          <w:rFonts w:ascii="Calibri" w:cs="Calibri" w:eastAsia="Calibri" w:hAnsi="Calibri"/>
          <w:sz w:val="18"/>
          <w:szCs w:val="18"/>
          <w:color w:val="auto"/>
        </w:rPr>
        <w:t>and for electronic delivery of informaton. Vote by 11:59 P.M. Eastern Time on May 14, 2024 for shares held directly and by 11:59 P.M. Eastern Time on May 10, 2024 for shares held in</w:t>
      </w:r>
    </w:p>
    <w:p>
      <w:pPr>
        <w:ind w:left="200"/>
        <w:spacing w:after="0" w:line="237" w:lineRule="auto"/>
        <w:rPr>
          <w:sz w:val="20"/>
          <w:szCs w:val="20"/>
          <w:color w:val="auto"/>
        </w:rPr>
      </w:pPr>
      <w:r>
        <w:rPr>
          <w:rFonts w:ascii="Calibri" w:cs="Calibri" w:eastAsia="Calibri" w:hAnsi="Calibri"/>
          <w:sz w:val="18"/>
          <w:szCs w:val="18"/>
          <w:color w:val="auto"/>
        </w:rPr>
        <w:t>the Merit Medical Systems, Inc. 401(k) Proft Sharing Plan.</w:t>
      </w:r>
    </w:p>
    <w:p>
      <w:pPr>
        <w:ind w:left="200"/>
        <w:spacing w:after="0" w:line="236" w:lineRule="auto"/>
        <w:rPr>
          <w:sz w:val="20"/>
          <w:szCs w:val="20"/>
          <w:color w:val="auto"/>
        </w:rPr>
      </w:pPr>
      <w:r>
        <w:rPr>
          <w:rFonts w:ascii="Calibri" w:cs="Calibri" w:eastAsia="Calibri" w:hAnsi="Calibri"/>
          <w:sz w:val="18"/>
          <w:szCs w:val="18"/>
          <w:color w:val="auto"/>
        </w:rPr>
        <w:t>Have your proxy card in hand when you access the web site</w:t>
      </w:r>
    </w:p>
    <w:p>
      <w:pPr>
        <w:ind w:left="200"/>
        <w:spacing w:after="0" w:line="236" w:lineRule="auto"/>
        <w:rPr>
          <w:sz w:val="20"/>
          <w:szCs w:val="20"/>
          <w:color w:val="auto"/>
        </w:rPr>
      </w:pPr>
      <w:r>
        <w:rPr>
          <w:rFonts w:ascii="Calibri" w:cs="Calibri" w:eastAsia="Calibri" w:hAnsi="Calibri"/>
          <w:sz w:val="18"/>
          <w:szCs w:val="18"/>
          <w:color w:val="auto"/>
        </w:rPr>
        <w:t>and follow the instructons to obtain your records</w:t>
      </w:r>
    </w:p>
    <w:p>
      <w:pPr>
        <w:ind w:left="200"/>
        <w:spacing w:after="0" w:line="236" w:lineRule="auto"/>
        <w:rPr>
          <w:sz w:val="20"/>
          <w:szCs w:val="20"/>
          <w:color w:val="auto"/>
        </w:rPr>
      </w:pPr>
      <w:r>
        <w:rPr>
          <w:rFonts w:ascii="Calibri" w:cs="Calibri" w:eastAsia="Calibri" w:hAnsi="Calibri"/>
          <w:sz w:val="18"/>
          <w:szCs w:val="18"/>
          <w:color w:val="auto"/>
        </w:rPr>
        <w:t>and to create an electronic votng instructon form.</w:t>
      </w:r>
    </w:p>
    <w:p>
      <w:pPr>
        <w:spacing w:after="0" w:line="213"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 xml:space="preserve">During The Meetng </w:t>
      </w:r>
      <w:r>
        <w:rPr>
          <w:rFonts w:ascii="Calibri" w:cs="Calibri" w:eastAsia="Calibri" w:hAnsi="Calibri"/>
          <w:sz w:val="18"/>
          <w:szCs w:val="18"/>
          <w:color w:val="auto"/>
        </w:rPr>
        <w:t>– Go to</w:t>
      </w:r>
      <w:r>
        <w:rPr>
          <w:rFonts w:ascii="Calibri" w:cs="Calibri" w:eastAsia="Calibri" w:hAnsi="Calibri"/>
          <w:sz w:val="18"/>
          <w:szCs w:val="18"/>
          <w:i w:val="1"/>
          <w:iCs w:val="1"/>
          <w:color w:val="auto"/>
        </w:rPr>
        <w:t xml:space="preserve"> </w:t>
      </w:r>
      <w:r>
        <w:rPr>
          <w:rFonts w:ascii="Calibri" w:cs="Calibri" w:eastAsia="Calibri" w:hAnsi="Calibri"/>
          <w:sz w:val="18"/>
          <w:szCs w:val="18"/>
          <w:b w:val="1"/>
          <w:bCs w:val="1"/>
          <w:u w:val="single" w:color="auto"/>
          <w:color w:val="auto"/>
        </w:rPr>
        <w:t>www.virtualshareholdermeetng.com/MMSI2024</w:t>
      </w:r>
    </w:p>
    <w:p>
      <w:pPr>
        <w:spacing w:after="0" w:line="204" w:lineRule="exact"/>
        <w:rPr>
          <w:sz w:val="20"/>
          <w:szCs w:val="20"/>
          <w:color w:val="auto"/>
        </w:rPr>
      </w:pPr>
    </w:p>
    <w:p>
      <w:pPr>
        <w:ind w:left="200" w:right="3319"/>
        <w:spacing w:after="0" w:line="235" w:lineRule="auto"/>
        <w:rPr>
          <w:sz w:val="20"/>
          <w:szCs w:val="20"/>
          <w:color w:val="auto"/>
        </w:rPr>
      </w:pPr>
      <w:r>
        <w:rPr>
          <w:rFonts w:ascii="Calibri" w:cs="Calibri" w:eastAsia="Calibri" w:hAnsi="Calibri"/>
          <w:sz w:val="18"/>
          <w:szCs w:val="18"/>
          <w:color w:val="auto"/>
        </w:rPr>
        <w:t>You may atend the meetng via the Internet and vote during the meetng. Have the informaton that is printed in the box marked by the arrow available and follow the instructons.</w:t>
      </w:r>
    </w:p>
    <w:p>
      <w:pPr>
        <w:spacing w:after="0" w:line="214"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VOTE BY PHONE - 1-800-690-6903</w:t>
      </w:r>
    </w:p>
    <w:p>
      <w:pPr>
        <w:ind w:left="200"/>
        <w:spacing w:after="0" w:line="235" w:lineRule="auto"/>
        <w:rPr>
          <w:sz w:val="20"/>
          <w:szCs w:val="20"/>
          <w:color w:val="auto"/>
        </w:rPr>
      </w:pPr>
      <w:r>
        <w:rPr>
          <w:rFonts w:ascii="Calibri" w:cs="Calibri" w:eastAsia="Calibri" w:hAnsi="Calibri"/>
          <w:sz w:val="18"/>
          <w:szCs w:val="18"/>
          <w:color w:val="auto"/>
        </w:rPr>
        <w:t>Use any touch-tone telephone to transmit your votng instructons.</w:t>
      </w:r>
    </w:p>
    <w:p>
      <w:pPr>
        <w:spacing w:after="0" w:line="2" w:lineRule="exact"/>
        <w:rPr>
          <w:sz w:val="20"/>
          <w:szCs w:val="20"/>
          <w:color w:val="auto"/>
        </w:rPr>
      </w:pPr>
    </w:p>
    <w:p>
      <w:pPr>
        <w:ind w:left="200" w:right="3619"/>
        <w:spacing w:after="0" w:line="242" w:lineRule="auto"/>
        <w:rPr>
          <w:sz w:val="20"/>
          <w:szCs w:val="20"/>
          <w:color w:val="auto"/>
        </w:rPr>
      </w:pPr>
      <w:r>
        <w:rPr>
          <w:rFonts w:ascii="Calibri" w:cs="Calibri" w:eastAsia="Calibri" w:hAnsi="Calibri"/>
          <w:sz w:val="17"/>
          <w:szCs w:val="17"/>
          <w:color w:val="auto"/>
        </w:rPr>
        <w:t>Vote by 11:59 P.M. Eastern Time on May 14, 2024 for shares held directly and by 11:59 P.M. Eastern Time on May 10, 2024 for shares held</w:t>
      </w:r>
    </w:p>
    <w:p>
      <w:pPr>
        <w:ind w:left="200"/>
        <w:spacing w:after="0" w:line="234" w:lineRule="auto"/>
        <w:rPr>
          <w:sz w:val="20"/>
          <w:szCs w:val="20"/>
          <w:color w:val="auto"/>
        </w:rPr>
      </w:pPr>
      <w:r>
        <w:rPr>
          <w:rFonts w:ascii="Calibri" w:cs="Calibri" w:eastAsia="Calibri" w:hAnsi="Calibri"/>
          <w:sz w:val="18"/>
          <w:szCs w:val="18"/>
          <w:color w:val="auto"/>
        </w:rPr>
        <w:t>in the Merit Medical Systems, Inc. 401(k) Proft Sharing Plan.</w:t>
      </w:r>
    </w:p>
    <w:p>
      <w:pPr>
        <w:ind w:left="200"/>
        <w:spacing w:after="0" w:line="236" w:lineRule="auto"/>
        <w:rPr>
          <w:sz w:val="20"/>
          <w:szCs w:val="20"/>
          <w:color w:val="auto"/>
        </w:rPr>
      </w:pPr>
      <w:r>
        <w:rPr>
          <w:rFonts w:ascii="Calibri" w:cs="Calibri" w:eastAsia="Calibri" w:hAnsi="Calibri"/>
          <w:sz w:val="18"/>
          <w:szCs w:val="18"/>
          <w:color w:val="auto"/>
        </w:rPr>
        <w:t>Have your proxy card in hand when you call and then follow the instructons.</w:t>
      </w:r>
    </w:p>
    <w:p>
      <w:pPr>
        <w:spacing w:after="0" w:line="21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VOTE BY MAIL</w:t>
      </w:r>
    </w:p>
    <w:p>
      <w:pPr>
        <w:spacing w:after="0" w:line="1" w:lineRule="exact"/>
        <w:rPr>
          <w:sz w:val="20"/>
          <w:szCs w:val="20"/>
          <w:color w:val="auto"/>
        </w:rPr>
      </w:pPr>
    </w:p>
    <w:p>
      <w:pPr>
        <w:jc w:val="both"/>
        <w:ind w:left="200" w:right="2579"/>
        <w:spacing w:after="0" w:line="230" w:lineRule="auto"/>
        <w:rPr>
          <w:sz w:val="20"/>
          <w:szCs w:val="20"/>
          <w:color w:val="auto"/>
        </w:rPr>
      </w:pPr>
      <w:r>
        <w:rPr>
          <w:rFonts w:ascii="Calibri" w:cs="Calibri" w:eastAsia="Calibri" w:hAnsi="Calibri"/>
          <w:sz w:val="18"/>
          <w:szCs w:val="18"/>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327"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000" w:type="dxa"/>
            <w:vAlign w:val="bottom"/>
          </w:tcPr>
          <w:p>
            <w:pPr>
              <w:ind w:left="900"/>
              <w:spacing w:after="0"/>
              <w:rPr>
                <w:sz w:val="20"/>
                <w:szCs w:val="20"/>
                <w:color w:val="auto"/>
              </w:rPr>
            </w:pPr>
            <w:r>
              <w:rPr>
                <w:rFonts w:ascii="Calibri" w:cs="Calibri" w:eastAsia="Calibri" w:hAnsi="Calibri"/>
                <w:sz w:val="16"/>
                <w:szCs w:val="16"/>
                <w:color w:val="auto"/>
              </w:rPr>
              <w:t>TO VOTE, MARK BLOCKS BELOW IN BLUE OR</w:t>
            </w:r>
          </w:p>
        </w:tc>
        <w:tc>
          <w:tcPr>
            <w:tcW w:w="840" w:type="dxa"/>
            <w:vAlign w:val="bottom"/>
            <w:vMerge w:val="restart"/>
          </w:tcPr>
          <w:p>
            <w:pPr>
              <w:ind w:left="2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740" w:type="dxa"/>
            <w:vAlign w:val="bottom"/>
          </w:tcPr>
          <w:p>
            <w:pPr>
              <w:jc w:val="right"/>
              <w:ind w:right="839"/>
              <w:spacing w:after="0"/>
              <w:rPr>
                <w:sz w:val="20"/>
                <w:szCs w:val="20"/>
                <w:color w:val="auto"/>
              </w:rPr>
            </w:pPr>
            <w:r>
              <w:rPr>
                <w:rFonts w:ascii="Calibri" w:cs="Calibri" w:eastAsia="Calibri" w:hAnsi="Calibri"/>
                <w:sz w:val="16"/>
                <w:szCs w:val="16"/>
                <w:color w:val="auto"/>
              </w:rPr>
              <w:t>KEEP THIS PORTION FOR YOUR</w:t>
            </w:r>
          </w:p>
        </w:tc>
        <w:tc>
          <w:tcPr>
            <w:tcW w:w="0" w:type="dxa"/>
            <w:vAlign w:val="bottom"/>
          </w:tcPr>
          <w:p>
            <w:pPr>
              <w:spacing w:after="0"/>
              <w:rPr>
                <w:sz w:val="1"/>
                <w:szCs w:val="1"/>
                <w:color w:val="auto"/>
              </w:rPr>
            </w:pPr>
          </w:p>
        </w:tc>
      </w:tr>
      <w:tr>
        <w:trPr>
          <w:trHeight w:val="249"/>
        </w:trPr>
        <w:tc>
          <w:tcPr>
            <w:tcW w:w="4000" w:type="dxa"/>
            <w:vAlign w:val="bottom"/>
          </w:tcPr>
          <w:p>
            <w:pPr>
              <w:ind w:left="900"/>
              <w:spacing w:after="0" w:line="193" w:lineRule="exact"/>
              <w:rPr>
                <w:sz w:val="20"/>
                <w:szCs w:val="20"/>
                <w:color w:val="auto"/>
              </w:rPr>
            </w:pPr>
            <w:r>
              <w:rPr>
                <w:rFonts w:ascii="Calibri" w:cs="Calibri" w:eastAsia="Calibri" w:hAnsi="Calibri"/>
                <w:sz w:val="16"/>
                <w:szCs w:val="16"/>
                <w:color w:val="auto"/>
              </w:rPr>
              <w:t>BLACK INK AS FOLLOWS:</w:t>
            </w:r>
          </w:p>
        </w:tc>
        <w:tc>
          <w:tcPr>
            <w:tcW w:w="840" w:type="dxa"/>
            <w:vAlign w:val="bottom"/>
            <w:vMerge w:val="continue"/>
          </w:tcPr>
          <w:p>
            <w:pPr>
              <w:spacing w:after="0"/>
              <w:rPr>
                <w:sz w:val="21"/>
                <w:szCs w:val="21"/>
                <w:color w:val="auto"/>
              </w:rPr>
            </w:pPr>
          </w:p>
        </w:tc>
        <w:tc>
          <w:tcPr>
            <w:tcW w:w="3740" w:type="dxa"/>
            <w:vAlign w:val="bottom"/>
          </w:tcPr>
          <w:p>
            <w:pPr>
              <w:jc w:val="right"/>
              <w:ind w:right="839"/>
              <w:spacing w:after="0" w:line="193" w:lineRule="exact"/>
              <w:rPr>
                <w:sz w:val="20"/>
                <w:szCs w:val="20"/>
                <w:color w:val="auto"/>
              </w:rPr>
            </w:pPr>
            <w:r>
              <w:rPr>
                <w:rFonts w:ascii="Calibri" w:cs="Calibri" w:eastAsia="Calibri" w:hAnsi="Calibri"/>
                <w:sz w:val="16"/>
                <w:szCs w:val="16"/>
                <w:color w:val="auto"/>
              </w:rPr>
              <w:t>RECORDS</w:t>
            </w:r>
          </w:p>
        </w:tc>
        <w:tc>
          <w:tcPr>
            <w:tcW w:w="0" w:type="dxa"/>
            <w:vAlign w:val="bottom"/>
          </w:tcPr>
          <w:p>
            <w:pPr>
              <w:spacing w:after="0"/>
              <w:rPr>
                <w:sz w:val="1"/>
                <w:szCs w:val="1"/>
                <w:color w:val="auto"/>
              </w:rPr>
            </w:pPr>
          </w:p>
        </w:tc>
      </w:tr>
      <w:tr>
        <w:trPr>
          <w:trHeight w:val="278"/>
        </w:trPr>
        <w:tc>
          <w:tcPr>
            <w:tcW w:w="4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40" w:type="dxa"/>
            <w:vAlign w:val="bottom"/>
          </w:tcPr>
          <w:p>
            <w:pPr>
              <w:jc w:val="right"/>
              <w:ind w:right="839"/>
              <w:spacing w:after="0"/>
              <w:rPr>
                <w:sz w:val="20"/>
                <w:szCs w:val="20"/>
                <w:color w:val="auto"/>
              </w:rPr>
            </w:pPr>
            <w:r>
              <w:rPr>
                <w:rFonts w:ascii="Calibri" w:cs="Calibri" w:eastAsia="Calibri" w:hAnsi="Calibri"/>
                <w:sz w:val="16"/>
                <w:szCs w:val="16"/>
                <w:color w:val="auto"/>
              </w:rPr>
              <w:t>DETACH AND RETURN THIS PORTION</w:t>
            </w:r>
          </w:p>
        </w:tc>
        <w:tc>
          <w:tcPr>
            <w:tcW w:w="0" w:type="dxa"/>
            <w:vAlign w:val="bottom"/>
          </w:tcPr>
          <w:p>
            <w:pPr>
              <w:spacing w:after="0"/>
              <w:rPr>
                <w:sz w:val="1"/>
                <w:szCs w:val="1"/>
                <w:color w:val="auto"/>
              </w:rPr>
            </w:pPr>
          </w:p>
        </w:tc>
      </w:tr>
      <w:tr>
        <w:trPr>
          <w:trHeight w:val="194"/>
        </w:trPr>
        <w:tc>
          <w:tcPr>
            <w:tcW w:w="4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40" w:type="dxa"/>
            <w:vAlign w:val="bottom"/>
          </w:tcPr>
          <w:p>
            <w:pPr>
              <w:jc w:val="right"/>
              <w:ind w:right="839"/>
              <w:spacing w:after="0" w:line="193" w:lineRule="exact"/>
              <w:rPr>
                <w:sz w:val="20"/>
                <w:szCs w:val="20"/>
                <w:color w:val="auto"/>
              </w:rPr>
            </w:pPr>
            <w:r>
              <w:rPr>
                <w:rFonts w:ascii="Calibri" w:cs="Calibri" w:eastAsia="Calibri" w:hAnsi="Calibri"/>
                <w:sz w:val="16"/>
                <w:szCs w:val="16"/>
                <w:color w:val="auto"/>
              </w:rPr>
              <w:t>ONLY</w:t>
            </w:r>
          </w:p>
        </w:tc>
        <w:tc>
          <w:tcPr>
            <w:tcW w:w="0" w:type="dxa"/>
            <w:vAlign w:val="bottom"/>
          </w:tcPr>
          <w:p>
            <w:pPr>
              <w:spacing w:after="0"/>
              <w:rPr>
                <w:sz w:val="1"/>
                <w:szCs w:val="1"/>
                <w:color w:val="auto"/>
              </w:rPr>
            </w:pPr>
          </w:p>
        </w:tc>
      </w:tr>
      <w:tr>
        <w:trPr>
          <w:trHeight w:val="1465"/>
        </w:trPr>
        <w:tc>
          <w:tcPr>
            <w:tcW w:w="4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-1255395</wp:posOffset>
            </wp:positionV>
            <wp:extent cx="4388485" cy="336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88485" cy="3365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106" w:name="page107"/>
    <w:bookmarkEnd w:id="106"/>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0"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color w:val="auto"/>
        </w:rPr>
        <w:t>OTHER PROXY INFORMATION</w:t>
      </w:r>
    </w:p>
    <w:p>
      <w:pPr>
        <w:spacing w:after="0" w:line="172" w:lineRule="exact"/>
        <w:rPr>
          <w:sz w:val="20"/>
          <w:szCs w:val="20"/>
          <w:color w:val="auto"/>
        </w:rPr>
      </w:pPr>
    </w:p>
    <w:p>
      <w:pPr>
        <w:ind w:left="2300"/>
        <w:spacing w:after="0"/>
        <w:rPr>
          <w:sz w:val="20"/>
          <w:szCs w:val="20"/>
          <w:color w:val="auto"/>
        </w:rPr>
      </w:pPr>
      <w:r>
        <w:rPr>
          <w:rFonts w:ascii="Calibri" w:cs="Calibri" w:eastAsia="Calibri" w:hAnsi="Calibri"/>
          <w:sz w:val="18"/>
          <w:szCs w:val="18"/>
          <w:b w:val="1"/>
          <w:bCs w:val="1"/>
          <w:color w:val="auto"/>
        </w:rPr>
        <w:t>THIS PROXY CARD IS VALID ONLY WHEN SIGNED AND DATED.</w:t>
      </w:r>
    </w:p>
    <w:p>
      <w:pPr>
        <w:spacing w:after="0" w:line="17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auto"/>
        </w:rPr>
        <w:t>MERIT MEDICAL SYSTEMS, INC.</w:t>
      </w:r>
    </w:p>
    <w:p>
      <w:pPr>
        <w:spacing w:after="0" w:line="23"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auto"/>
        </w:rPr>
        <w:t>The Board of Directors recommends you vote “FOR” each of the following directors:</w:t>
      </w:r>
    </w:p>
    <w:p>
      <w:pPr>
        <w:spacing w:after="0" w:line="82" w:lineRule="exact"/>
        <w:rPr>
          <w:sz w:val="20"/>
          <w:szCs w:val="20"/>
          <w:color w:val="auto"/>
        </w:rPr>
      </w:pPr>
    </w:p>
    <w:p>
      <w:pPr>
        <w:ind w:left="680" w:right="399" w:hanging="415"/>
        <w:spacing w:after="0" w:line="235" w:lineRule="auto"/>
        <w:tabs>
          <w:tab w:leader="none" w:pos="680" w:val="left"/>
        </w:tabs>
        <w:numPr>
          <w:ilvl w:val="0"/>
          <w:numId w:val="123"/>
        </w:numPr>
        <w:rPr>
          <w:rFonts w:ascii="Calibri" w:cs="Calibri" w:eastAsia="Calibri" w:hAnsi="Calibri"/>
          <w:sz w:val="18"/>
          <w:szCs w:val="18"/>
          <w:color w:val="auto"/>
        </w:rPr>
      </w:pPr>
      <w:r>
        <w:rPr>
          <w:rFonts w:ascii="Calibri" w:cs="Calibri" w:eastAsia="Calibri" w:hAnsi="Calibri"/>
          <w:sz w:val="18"/>
          <w:szCs w:val="18"/>
          <w:color w:val="auto"/>
        </w:rPr>
        <w:t>The electon of three (3) directors to the Merit Medical Systems, Inc. Board of Directors for a three (3) year term or untl their successors are elected and qualifed.</w:t>
      </w:r>
    </w:p>
    <w:p>
      <w:pPr>
        <w:spacing w:after="0" w:line="24" w:lineRule="exact"/>
        <w:rPr>
          <w:sz w:val="20"/>
          <w:szCs w:val="20"/>
          <w:color w:val="auto"/>
        </w:rPr>
      </w:pPr>
    </w:p>
    <w:p>
      <w:pPr>
        <w:ind w:left="680"/>
        <w:spacing w:after="0"/>
        <w:tabs>
          <w:tab w:leader="none" w:pos="6080" w:val="left"/>
          <w:tab w:leader="none" w:pos="6700" w:val="left"/>
          <w:tab w:leader="none" w:pos="7520" w:val="left"/>
        </w:tabs>
        <w:rPr>
          <w:sz w:val="20"/>
          <w:szCs w:val="20"/>
          <w:color w:val="auto"/>
        </w:rPr>
      </w:pPr>
      <w:r>
        <w:rPr>
          <w:rFonts w:ascii="Calibri" w:cs="Calibri" w:eastAsia="Calibri" w:hAnsi="Calibri"/>
          <w:sz w:val="18"/>
          <w:szCs w:val="18"/>
          <w:b w:val="1"/>
          <w:bCs w:val="1"/>
          <w:color w:val="auto"/>
        </w:rPr>
        <w:t>Nominees:</w:t>
      </w:r>
      <w:r>
        <w:rPr>
          <w:sz w:val="20"/>
          <w:szCs w:val="20"/>
          <w:color w:val="auto"/>
        </w:rPr>
        <w:tab/>
      </w:r>
      <w:r>
        <w:rPr>
          <w:rFonts w:ascii="Calibri" w:cs="Calibri" w:eastAsia="Calibri" w:hAnsi="Calibri"/>
          <w:sz w:val="18"/>
          <w:szCs w:val="18"/>
          <w:b w:val="1"/>
          <w:bCs w:val="1"/>
          <w:color w:val="auto"/>
        </w:rPr>
        <w:t>For</w:t>
      </w:r>
      <w:r>
        <w:rPr>
          <w:sz w:val="20"/>
          <w:szCs w:val="20"/>
          <w:color w:val="auto"/>
        </w:rPr>
        <w:tab/>
      </w:r>
      <w:r>
        <w:rPr>
          <w:rFonts w:ascii="Calibri" w:cs="Calibri" w:eastAsia="Calibri" w:hAnsi="Calibri"/>
          <w:sz w:val="18"/>
          <w:szCs w:val="18"/>
          <w:b w:val="1"/>
          <w:bCs w:val="1"/>
          <w:color w:val="auto"/>
        </w:rPr>
        <w:t>Against</w:t>
      </w:r>
      <w:r>
        <w:rPr>
          <w:sz w:val="20"/>
          <w:szCs w:val="20"/>
          <w:color w:val="auto"/>
        </w:rPr>
        <w:tab/>
      </w:r>
      <w:r>
        <w:rPr>
          <w:rFonts w:ascii="Calibri" w:cs="Calibri" w:eastAsia="Calibri" w:hAnsi="Calibri"/>
          <w:sz w:val="17"/>
          <w:szCs w:val="17"/>
          <w:b w:val="1"/>
          <w:bCs w:val="1"/>
          <w:color w:val="auto"/>
        </w:rPr>
        <w:t>Abstain</w:t>
      </w:r>
    </w:p>
    <w:p>
      <w:pPr>
        <w:sectPr>
          <w:pgSz w:w="11900" w:h="16838" w:orient="portrait"/>
          <w:cols w:equalWidth="0" w:num="1">
            <w:col w:w="9019"/>
          </w:cols>
          <w:pgMar w:left="1440" w:top="504" w:right="1440" w:bottom="1440" w:gutter="0" w:footer="0" w:header="0"/>
        </w:sectPr>
      </w:pPr>
    </w:p>
    <w:p>
      <w:pPr>
        <w:spacing w:after="0" w:line="239" w:lineRule="exact"/>
        <w:rPr>
          <w:sz w:val="20"/>
          <w:szCs w:val="20"/>
          <w:color w:val="auto"/>
        </w:rPr>
      </w:pPr>
    </w:p>
    <w:p>
      <w:pPr>
        <w:ind w:left="680"/>
        <w:spacing w:after="0"/>
        <w:rPr>
          <w:sz w:val="20"/>
          <w:szCs w:val="20"/>
          <w:color w:val="auto"/>
        </w:rPr>
      </w:pPr>
      <w:r>
        <w:rPr>
          <w:rFonts w:ascii="Calibri" w:cs="Calibri" w:eastAsia="Calibri" w:hAnsi="Calibri"/>
          <w:sz w:val="18"/>
          <w:szCs w:val="18"/>
          <w:color w:val="auto"/>
        </w:rPr>
        <w:t>1a. Fred P. Lampropoulos</w:t>
      </w:r>
    </w:p>
    <w:p>
      <w:pPr>
        <w:spacing w:after="0" w:line="77" w:lineRule="exact"/>
        <w:rPr>
          <w:sz w:val="20"/>
          <w:szCs w:val="20"/>
          <w:color w:val="auto"/>
        </w:rPr>
      </w:pPr>
    </w:p>
    <w:p>
      <w:pPr>
        <w:ind w:left="680"/>
        <w:spacing w:after="0"/>
        <w:rPr>
          <w:sz w:val="20"/>
          <w:szCs w:val="20"/>
          <w:color w:val="auto"/>
        </w:rPr>
      </w:pPr>
      <w:r>
        <w:rPr>
          <w:rFonts w:ascii="Calibri" w:cs="Calibri" w:eastAsia="Calibri" w:hAnsi="Calibri"/>
          <w:sz w:val="18"/>
          <w:szCs w:val="18"/>
          <w:color w:val="auto"/>
        </w:rPr>
        <w:t>1b. Stephen C. Evans</w:t>
      </w:r>
    </w:p>
    <w:p>
      <w:pPr>
        <w:spacing w:after="0" w:line="104" w:lineRule="exact"/>
        <w:rPr>
          <w:sz w:val="20"/>
          <w:szCs w:val="20"/>
          <w:color w:val="auto"/>
        </w:rPr>
      </w:pPr>
    </w:p>
    <w:p>
      <w:pPr>
        <w:ind w:left="680"/>
        <w:spacing w:after="0"/>
        <w:rPr>
          <w:sz w:val="20"/>
          <w:szCs w:val="20"/>
          <w:color w:val="auto"/>
        </w:rPr>
      </w:pPr>
      <w:r>
        <w:rPr>
          <w:rFonts w:ascii="Calibri" w:cs="Calibri" w:eastAsia="Calibri" w:hAnsi="Calibri"/>
          <w:sz w:val="18"/>
          <w:szCs w:val="18"/>
          <w:color w:val="auto"/>
        </w:rPr>
        <w:t>1c. Silvia M. Perez</w:t>
      </w:r>
    </w:p>
    <w:p>
      <w:pPr>
        <w:spacing w:after="0" w:line="231" w:lineRule="exact"/>
        <w:rPr>
          <w:sz w:val="20"/>
          <w:szCs w:val="20"/>
          <w:color w:val="auto"/>
        </w:rPr>
      </w:pPr>
    </w:p>
    <w:p>
      <w:pPr>
        <w:ind w:left="260"/>
        <w:spacing w:after="0"/>
        <w:rPr>
          <w:sz w:val="20"/>
          <w:szCs w:val="20"/>
          <w:color w:val="auto"/>
        </w:rPr>
      </w:pPr>
      <w:r>
        <w:rPr>
          <w:rFonts w:ascii="Calibri" w:cs="Calibri" w:eastAsia="Calibri" w:hAnsi="Calibri"/>
          <w:sz w:val="17"/>
          <w:szCs w:val="17"/>
          <w:b w:val="1"/>
          <w:bCs w:val="1"/>
          <w:color w:val="auto"/>
        </w:rPr>
        <w:t>The Board of Directors recommends you vote “FOR” proposals 2, 3 and 4.</w:t>
      </w:r>
    </w:p>
    <w:p>
      <w:pPr>
        <w:spacing w:after="0" w:line="400" w:lineRule="exact"/>
        <w:rPr>
          <w:sz w:val="20"/>
          <w:szCs w:val="20"/>
          <w:color w:val="auto"/>
        </w:rPr>
      </w:pPr>
    </w:p>
    <w:p>
      <w:pPr>
        <w:ind w:left="680" w:hanging="415"/>
        <w:spacing w:after="0" w:line="230" w:lineRule="auto"/>
        <w:tabs>
          <w:tab w:leader="none" w:pos="680" w:val="left"/>
        </w:tabs>
        <w:numPr>
          <w:ilvl w:val="0"/>
          <w:numId w:val="124"/>
        </w:numPr>
        <w:rPr>
          <w:rFonts w:ascii="Calibri" w:cs="Calibri" w:eastAsia="Calibri" w:hAnsi="Calibri"/>
          <w:sz w:val="18"/>
          <w:szCs w:val="18"/>
          <w:color w:val="auto"/>
        </w:rPr>
      </w:pPr>
      <w:r>
        <w:rPr>
          <w:rFonts w:ascii="Calibri" w:cs="Calibri" w:eastAsia="Calibri" w:hAnsi="Calibri"/>
          <w:sz w:val="18"/>
          <w:szCs w:val="18"/>
          <w:color w:val="auto"/>
        </w:rPr>
        <w:t>Approval of a non-binding, advisory resoluton approving the compensaton of the Company's named executve ofcers as described in the Merit Medical Systems, Inc. Proxy Statement.</w:t>
      </w:r>
    </w:p>
    <w:p>
      <w:pPr>
        <w:spacing w:after="0" w:line="200" w:lineRule="exact"/>
        <w:rPr>
          <w:rFonts w:ascii="Calibri" w:cs="Calibri" w:eastAsia="Calibri" w:hAnsi="Calibri"/>
          <w:sz w:val="18"/>
          <w:szCs w:val="18"/>
          <w:color w:val="auto"/>
        </w:rPr>
      </w:pPr>
    </w:p>
    <w:p>
      <w:pPr>
        <w:spacing w:after="0" w:line="200" w:lineRule="exact"/>
        <w:rPr>
          <w:rFonts w:ascii="Calibri" w:cs="Calibri" w:eastAsia="Calibri" w:hAnsi="Calibri"/>
          <w:sz w:val="18"/>
          <w:szCs w:val="18"/>
          <w:color w:val="auto"/>
        </w:rPr>
      </w:pPr>
    </w:p>
    <w:p>
      <w:pPr>
        <w:spacing w:after="0" w:line="318" w:lineRule="exact"/>
        <w:rPr>
          <w:rFonts w:ascii="Calibri" w:cs="Calibri" w:eastAsia="Calibri" w:hAnsi="Calibri"/>
          <w:sz w:val="18"/>
          <w:szCs w:val="18"/>
          <w:color w:val="auto"/>
        </w:rPr>
      </w:pPr>
    </w:p>
    <w:p>
      <w:pPr>
        <w:ind w:left="680" w:right="240" w:hanging="415"/>
        <w:spacing w:after="0" w:line="230" w:lineRule="auto"/>
        <w:tabs>
          <w:tab w:leader="none" w:pos="680" w:val="left"/>
        </w:tabs>
        <w:numPr>
          <w:ilvl w:val="0"/>
          <w:numId w:val="124"/>
        </w:numPr>
        <w:rPr>
          <w:rFonts w:ascii="Calibri" w:cs="Calibri" w:eastAsia="Calibri" w:hAnsi="Calibri"/>
          <w:sz w:val="18"/>
          <w:szCs w:val="18"/>
          <w:color w:val="auto"/>
        </w:rPr>
      </w:pPr>
      <w:r>
        <w:rPr>
          <w:rFonts w:ascii="Calibri" w:cs="Calibri" w:eastAsia="Calibri" w:hAnsi="Calibri"/>
          <w:sz w:val="18"/>
          <w:szCs w:val="18"/>
          <w:color w:val="auto"/>
        </w:rPr>
        <w:t>Approval of an amendment to increase the number of shares authorized for issuance under the Merit Medical Systems, Inc. 2018 Long-Term Incentve Plan by 3,000,000 shares.</w:t>
      </w:r>
    </w:p>
    <w:p>
      <w:pPr>
        <w:spacing w:after="0" w:line="200" w:lineRule="exact"/>
        <w:rPr>
          <w:rFonts w:ascii="Calibri" w:cs="Calibri" w:eastAsia="Calibri" w:hAnsi="Calibri"/>
          <w:sz w:val="18"/>
          <w:szCs w:val="18"/>
          <w:color w:val="auto"/>
        </w:rPr>
      </w:pPr>
    </w:p>
    <w:p>
      <w:pPr>
        <w:spacing w:after="0" w:line="200" w:lineRule="exact"/>
        <w:rPr>
          <w:rFonts w:ascii="Calibri" w:cs="Calibri" w:eastAsia="Calibri" w:hAnsi="Calibri"/>
          <w:sz w:val="18"/>
          <w:szCs w:val="18"/>
          <w:color w:val="auto"/>
        </w:rPr>
      </w:pPr>
    </w:p>
    <w:p>
      <w:pPr>
        <w:spacing w:after="0" w:line="345" w:lineRule="exact"/>
        <w:rPr>
          <w:rFonts w:ascii="Calibri" w:cs="Calibri" w:eastAsia="Calibri" w:hAnsi="Calibri"/>
          <w:sz w:val="18"/>
          <w:szCs w:val="18"/>
          <w:color w:val="auto"/>
        </w:rPr>
      </w:pPr>
    </w:p>
    <w:p>
      <w:pPr>
        <w:ind w:left="680" w:right="160" w:hanging="415"/>
        <w:spacing w:after="0" w:line="246" w:lineRule="auto"/>
        <w:tabs>
          <w:tab w:leader="none" w:pos="680" w:val="left"/>
        </w:tabs>
        <w:numPr>
          <w:ilvl w:val="0"/>
          <w:numId w:val="124"/>
        </w:numPr>
        <w:rPr>
          <w:rFonts w:ascii="Calibri" w:cs="Calibri" w:eastAsia="Calibri" w:hAnsi="Calibri"/>
          <w:sz w:val="17"/>
          <w:szCs w:val="17"/>
          <w:color w:val="auto"/>
        </w:rPr>
      </w:pPr>
      <w:r>
        <w:rPr>
          <w:rFonts w:ascii="Calibri" w:cs="Calibri" w:eastAsia="Calibri" w:hAnsi="Calibri"/>
          <w:sz w:val="17"/>
          <w:szCs w:val="17"/>
          <w:color w:val="auto"/>
        </w:rPr>
        <w:t>Ratfcaton of the Audit Commitee’s appointment of Deloite &amp; Touche LLP to serve as the independent registered public accountng frm of the Company for the year ending December 31, 2024.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0" w:right="40"/>
        <w:spacing w:after="0" w:line="230" w:lineRule="auto"/>
        <w:rPr>
          <w:sz w:val="20"/>
          <w:szCs w:val="20"/>
          <w:color w:val="auto"/>
        </w:rPr>
      </w:pPr>
      <w:r>
        <w:rPr>
          <w:rFonts w:ascii="Calibri" w:cs="Calibri" w:eastAsia="Calibri" w:hAnsi="Calibri"/>
          <w:sz w:val="18"/>
          <w:szCs w:val="18"/>
          <w:b w:val="1"/>
          <w:bCs w:val="1"/>
          <w:color w:val="auto"/>
        </w:rPr>
        <w:t xml:space="preserve">NOTE: </w:t>
      </w:r>
      <w:r>
        <w:rPr>
          <w:rFonts w:ascii="Calibri" w:cs="Calibri" w:eastAsia="Calibri" w:hAnsi="Calibri"/>
          <w:sz w:val="18"/>
          <w:szCs w:val="18"/>
          <w:color w:val="auto"/>
        </w:rPr>
        <w:t>In their discreton, proxies are authorized to vote upon such other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business as may properly come before the meetng or any postponement or adjournment of the meetng.</w:t>
      </w:r>
    </w:p>
    <w:p>
      <w:pPr>
        <w:spacing w:after="0" w:line="223" w:lineRule="exact"/>
        <w:rPr>
          <w:sz w:val="20"/>
          <w:szCs w:val="20"/>
          <w:color w:val="auto"/>
        </w:rPr>
      </w:pPr>
    </w:p>
    <w:p>
      <w:pPr>
        <w:ind w:left="200" w:right="840"/>
        <w:spacing w:after="0" w:line="236" w:lineRule="auto"/>
        <w:rPr>
          <w:sz w:val="20"/>
          <w:szCs w:val="20"/>
          <w:color w:val="auto"/>
        </w:rPr>
      </w:pPr>
      <w:r>
        <w:rPr>
          <w:rFonts w:ascii="Calibri" w:cs="Calibri" w:eastAsia="Calibri" w:hAnsi="Calibri"/>
          <w:sz w:val="16"/>
          <w:szCs w:val="16"/>
          <w:color w:val="auto"/>
        </w:rPr>
        <w:t>Please sign exactly as your name(s) appear(s) hereon. When signing as atorney, executor, administrator, or other fduciary, please give full ttle as such. Joint owners should each sign personally. All holders must sign. If a corporaton or partnership, please sign in full corporate or partnership name by authorized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19050</wp:posOffset>
            </wp:positionV>
            <wp:extent cx="2691765" cy="3511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91765" cy="351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Pr>
          <w:p>
            <w:pPr>
              <w:jc w:val="right"/>
              <w:ind w:right="50"/>
              <w:spacing w:after="0"/>
              <w:rPr>
                <w:sz w:val="20"/>
                <w:szCs w:val="20"/>
                <w:color w:val="auto"/>
              </w:rPr>
            </w:pPr>
            <w:r>
              <w:rPr>
                <w:rFonts w:ascii="Calibri" w:cs="Calibri" w:eastAsia="Calibri" w:hAnsi="Calibri"/>
                <w:sz w:val="18"/>
                <w:szCs w:val="18"/>
                <w:b w:val="1"/>
                <w:bCs w:val="1"/>
                <w:color w:val="auto"/>
              </w:rPr>
              <w:t>[ ]</w:t>
            </w:r>
          </w:p>
        </w:tc>
        <w:tc>
          <w:tcPr>
            <w:tcW w:w="860" w:type="dxa"/>
            <w:vAlign w:val="bottom"/>
          </w:tcPr>
          <w:p>
            <w:pPr>
              <w:jc w:val="right"/>
              <w:ind w:right="150"/>
              <w:spacing w:after="0"/>
              <w:rPr>
                <w:sz w:val="20"/>
                <w:szCs w:val="20"/>
                <w:color w:val="auto"/>
              </w:rPr>
            </w:pPr>
            <w:r>
              <w:rPr>
                <w:rFonts w:ascii="Calibri" w:cs="Calibri" w:eastAsia="Calibri" w:hAnsi="Calibri"/>
                <w:sz w:val="18"/>
                <w:szCs w:val="18"/>
                <w:b w:val="1"/>
                <w:bCs w:val="1"/>
                <w:color w:val="auto"/>
              </w:rPr>
              <w:t>[ ]</w:t>
            </w:r>
          </w:p>
        </w:tc>
        <w:tc>
          <w:tcPr>
            <w:tcW w:w="72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 ]</w:t>
            </w:r>
          </w:p>
        </w:tc>
      </w:tr>
      <w:tr>
        <w:trPr>
          <w:trHeight w:val="297"/>
        </w:trPr>
        <w:tc>
          <w:tcPr>
            <w:tcW w:w="440" w:type="dxa"/>
            <w:vAlign w:val="bottom"/>
          </w:tcPr>
          <w:p>
            <w:pPr>
              <w:jc w:val="right"/>
              <w:ind w:right="50"/>
              <w:spacing w:after="0"/>
              <w:rPr>
                <w:sz w:val="20"/>
                <w:szCs w:val="20"/>
                <w:color w:val="auto"/>
              </w:rPr>
            </w:pPr>
            <w:r>
              <w:rPr>
                <w:rFonts w:ascii="Calibri" w:cs="Calibri" w:eastAsia="Calibri" w:hAnsi="Calibri"/>
                <w:sz w:val="18"/>
                <w:szCs w:val="18"/>
                <w:b w:val="1"/>
                <w:bCs w:val="1"/>
                <w:color w:val="auto"/>
              </w:rPr>
              <w:t>[ ]</w:t>
            </w:r>
          </w:p>
        </w:tc>
        <w:tc>
          <w:tcPr>
            <w:tcW w:w="860" w:type="dxa"/>
            <w:vAlign w:val="bottom"/>
          </w:tcPr>
          <w:p>
            <w:pPr>
              <w:jc w:val="right"/>
              <w:ind w:right="150"/>
              <w:spacing w:after="0"/>
              <w:rPr>
                <w:sz w:val="20"/>
                <w:szCs w:val="20"/>
                <w:color w:val="auto"/>
              </w:rPr>
            </w:pPr>
            <w:r>
              <w:rPr>
                <w:rFonts w:ascii="Calibri" w:cs="Calibri" w:eastAsia="Calibri" w:hAnsi="Calibri"/>
                <w:sz w:val="18"/>
                <w:szCs w:val="18"/>
                <w:b w:val="1"/>
                <w:bCs w:val="1"/>
                <w:color w:val="auto"/>
              </w:rPr>
              <w:t>[ ]</w:t>
            </w:r>
          </w:p>
        </w:tc>
        <w:tc>
          <w:tcPr>
            <w:tcW w:w="72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 ]</w:t>
            </w:r>
          </w:p>
        </w:tc>
      </w:tr>
      <w:tr>
        <w:trPr>
          <w:trHeight w:val="324"/>
        </w:trPr>
        <w:tc>
          <w:tcPr>
            <w:tcW w:w="440" w:type="dxa"/>
            <w:vAlign w:val="bottom"/>
          </w:tcPr>
          <w:p>
            <w:pPr>
              <w:jc w:val="right"/>
              <w:ind w:right="50"/>
              <w:spacing w:after="0"/>
              <w:rPr>
                <w:sz w:val="20"/>
                <w:szCs w:val="20"/>
                <w:color w:val="auto"/>
              </w:rPr>
            </w:pPr>
            <w:r>
              <w:rPr>
                <w:rFonts w:ascii="Calibri" w:cs="Calibri" w:eastAsia="Calibri" w:hAnsi="Calibri"/>
                <w:sz w:val="18"/>
                <w:szCs w:val="18"/>
                <w:b w:val="1"/>
                <w:bCs w:val="1"/>
                <w:color w:val="auto"/>
              </w:rPr>
              <w:t>[ ]</w:t>
            </w:r>
          </w:p>
        </w:tc>
        <w:tc>
          <w:tcPr>
            <w:tcW w:w="860" w:type="dxa"/>
            <w:vAlign w:val="bottom"/>
          </w:tcPr>
          <w:p>
            <w:pPr>
              <w:jc w:val="right"/>
              <w:ind w:right="150"/>
              <w:spacing w:after="0"/>
              <w:rPr>
                <w:sz w:val="20"/>
                <w:szCs w:val="20"/>
                <w:color w:val="auto"/>
              </w:rPr>
            </w:pPr>
            <w:r>
              <w:rPr>
                <w:rFonts w:ascii="Calibri" w:cs="Calibri" w:eastAsia="Calibri" w:hAnsi="Calibri"/>
                <w:sz w:val="18"/>
                <w:szCs w:val="18"/>
                <w:b w:val="1"/>
                <w:bCs w:val="1"/>
                <w:color w:val="auto"/>
              </w:rPr>
              <w:t>[ ]</w:t>
            </w:r>
          </w:p>
        </w:tc>
        <w:tc>
          <w:tcPr>
            <w:tcW w:w="72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 ]</w:t>
            </w:r>
          </w:p>
        </w:tc>
      </w:tr>
      <w:tr>
        <w:trPr>
          <w:trHeight w:val="689"/>
        </w:trPr>
        <w:tc>
          <w:tcPr>
            <w:tcW w:w="440" w:type="dxa"/>
            <w:vAlign w:val="bottom"/>
          </w:tcPr>
          <w:p>
            <w:pPr>
              <w:jc w:val="right"/>
              <w:ind w:right="110"/>
              <w:spacing w:after="0"/>
              <w:rPr>
                <w:sz w:val="20"/>
                <w:szCs w:val="20"/>
                <w:color w:val="auto"/>
              </w:rPr>
            </w:pPr>
            <w:r>
              <w:rPr>
                <w:rFonts w:ascii="Calibri" w:cs="Calibri" w:eastAsia="Calibri" w:hAnsi="Calibri"/>
                <w:sz w:val="18"/>
                <w:szCs w:val="18"/>
                <w:b w:val="1"/>
                <w:bCs w:val="1"/>
                <w:color w:val="auto"/>
                <w:w w:val="90"/>
              </w:rPr>
              <w:t>For</w:t>
            </w:r>
          </w:p>
        </w:tc>
        <w:tc>
          <w:tcPr>
            <w:tcW w:w="860" w:type="dxa"/>
            <w:vAlign w:val="bottom"/>
          </w:tcPr>
          <w:p>
            <w:pPr>
              <w:jc w:val="right"/>
              <w:ind w:right="70"/>
              <w:spacing w:after="0"/>
              <w:rPr>
                <w:sz w:val="20"/>
                <w:szCs w:val="20"/>
                <w:color w:val="auto"/>
              </w:rPr>
            </w:pPr>
            <w:r>
              <w:rPr>
                <w:rFonts w:ascii="Calibri" w:cs="Calibri" w:eastAsia="Calibri" w:hAnsi="Calibri"/>
                <w:sz w:val="18"/>
                <w:szCs w:val="18"/>
                <w:b w:val="1"/>
                <w:bCs w:val="1"/>
                <w:color w:val="auto"/>
              </w:rPr>
              <w:t>Against</w:t>
            </w:r>
          </w:p>
        </w:tc>
        <w:tc>
          <w:tcPr>
            <w:tcW w:w="720" w:type="dxa"/>
            <w:vAlign w:val="bottom"/>
          </w:tcPr>
          <w:p>
            <w:pPr>
              <w:jc w:val="right"/>
              <w:spacing w:after="0"/>
              <w:rPr>
                <w:sz w:val="20"/>
                <w:szCs w:val="20"/>
                <w:color w:val="auto"/>
              </w:rPr>
            </w:pPr>
            <w:r>
              <w:rPr>
                <w:rFonts w:ascii="Calibri" w:cs="Calibri" w:eastAsia="Calibri" w:hAnsi="Calibri"/>
                <w:sz w:val="18"/>
                <w:szCs w:val="18"/>
                <w:b w:val="1"/>
                <w:bCs w:val="1"/>
                <w:color w:val="auto"/>
              </w:rPr>
              <w:t>Abstain</w:t>
            </w:r>
          </w:p>
        </w:tc>
      </w:tr>
      <w:tr>
        <w:trPr>
          <w:trHeight w:val="608"/>
        </w:trPr>
        <w:tc>
          <w:tcPr>
            <w:tcW w:w="440" w:type="dxa"/>
            <w:vAlign w:val="bottom"/>
          </w:tcPr>
          <w:p>
            <w:pPr>
              <w:jc w:val="right"/>
              <w:ind w:right="50"/>
              <w:spacing w:after="0"/>
              <w:rPr>
                <w:sz w:val="20"/>
                <w:szCs w:val="20"/>
                <w:color w:val="auto"/>
              </w:rPr>
            </w:pPr>
            <w:r>
              <w:rPr>
                <w:rFonts w:ascii="Calibri" w:cs="Calibri" w:eastAsia="Calibri" w:hAnsi="Calibri"/>
                <w:sz w:val="18"/>
                <w:szCs w:val="18"/>
                <w:b w:val="1"/>
                <w:bCs w:val="1"/>
                <w:color w:val="auto"/>
              </w:rPr>
              <w:t>[ ]</w:t>
            </w:r>
          </w:p>
        </w:tc>
        <w:tc>
          <w:tcPr>
            <w:tcW w:w="860" w:type="dxa"/>
            <w:vAlign w:val="bottom"/>
          </w:tcPr>
          <w:p>
            <w:pPr>
              <w:jc w:val="right"/>
              <w:ind w:right="110"/>
              <w:spacing w:after="0"/>
              <w:rPr>
                <w:sz w:val="20"/>
                <w:szCs w:val="20"/>
                <w:color w:val="auto"/>
              </w:rPr>
            </w:pPr>
            <w:r>
              <w:rPr>
                <w:rFonts w:ascii="Calibri" w:cs="Calibri" w:eastAsia="Calibri" w:hAnsi="Calibri"/>
                <w:sz w:val="18"/>
                <w:szCs w:val="18"/>
                <w:b w:val="1"/>
                <w:bCs w:val="1"/>
                <w:color w:val="auto"/>
              </w:rPr>
              <w:t>[ ]</w:t>
            </w:r>
          </w:p>
        </w:tc>
        <w:tc>
          <w:tcPr>
            <w:tcW w:w="72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 ]</w:t>
            </w:r>
          </w:p>
        </w:tc>
      </w:tr>
      <w:tr>
        <w:trPr>
          <w:trHeight w:val="829"/>
        </w:trPr>
        <w:tc>
          <w:tcPr>
            <w:tcW w:w="440" w:type="dxa"/>
            <w:vAlign w:val="bottom"/>
          </w:tcPr>
          <w:p>
            <w:pPr>
              <w:jc w:val="right"/>
              <w:ind w:right="130"/>
              <w:spacing w:after="0"/>
              <w:rPr>
                <w:sz w:val="20"/>
                <w:szCs w:val="20"/>
                <w:color w:val="auto"/>
              </w:rPr>
            </w:pPr>
            <w:r>
              <w:rPr>
                <w:rFonts w:ascii="Calibri" w:cs="Calibri" w:eastAsia="Calibri" w:hAnsi="Calibri"/>
                <w:sz w:val="18"/>
                <w:szCs w:val="18"/>
                <w:b w:val="1"/>
                <w:bCs w:val="1"/>
                <w:color w:val="auto"/>
                <w:w w:val="81"/>
              </w:rPr>
              <w:t>For</w:t>
            </w:r>
          </w:p>
        </w:tc>
        <w:tc>
          <w:tcPr>
            <w:tcW w:w="86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Against</w:t>
            </w:r>
          </w:p>
        </w:tc>
        <w:tc>
          <w:tcPr>
            <w:tcW w:w="720" w:type="dxa"/>
            <w:vAlign w:val="bottom"/>
          </w:tcPr>
          <w:p>
            <w:pPr>
              <w:jc w:val="right"/>
              <w:spacing w:after="0"/>
              <w:rPr>
                <w:sz w:val="20"/>
                <w:szCs w:val="20"/>
                <w:color w:val="auto"/>
              </w:rPr>
            </w:pPr>
            <w:r>
              <w:rPr>
                <w:rFonts w:ascii="Calibri" w:cs="Calibri" w:eastAsia="Calibri" w:hAnsi="Calibri"/>
                <w:sz w:val="18"/>
                <w:szCs w:val="18"/>
                <w:b w:val="1"/>
                <w:bCs w:val="1"/>
                <w:color w:val="auto"/>
              </w:rPr>
              <w:t>Abstain</w:t>
            </w:r>
          </w:p>
        </w:tc>
      </w:tr>
      <w:tr>
        <w:trPr>
          <w:trHeight w:val="521"/>
        </w:trPr>
        <w:tc>
          <w:tcPr>
            <w:tcW w:w="440" w:type="dxa"/>
            <w:vAlign w:val="bottom"/>
          </w:tcPr>
          <w:p>
            <w:pPr>
              <w:jc w:val="right"/>
              <w:ind w:right="50"/>
              <w:spacing w:after="0"/>
              <w:rPr>
                <w:sz w:val="20"/>
                <w:szCs w:val="20"/>
                <w:color w:val="auto"/>
              </w:rPr>
            </w:pPr>
            <w:r>
              <w:rPr>
                <w:rFonts w:ascii="Calibri" w:cs="Calibri" w:eastAsia="Calibri" w:hAnsi="Calibri"/>
                <w:sz w:val="18"/>
                <w:szCs w:val="18"/>
                <w:b w:val="1"/>
                <w:bCs w:val="1"/>
                <w:color w:val="auto"/>
              </w:rPr>
              <w:t>[ ]</w:t>
            </w:r>
          </w:p>
        </w:tc>
        <w:tc>
          <w:tcPr>
            <w:tcW w:w="860" w:type="dxa"/>
            <w:vAlign w:val="bottom"/>
          </w:tcPr>
          <w:p>
            <w:pPr>
              <w:jc w:val="right"/>
              <w:ind w:right="110"/>
              <w:spacing w:after="0"/>
              <w:rPr>
                <w:sz w:val="20"/>
                <w:szCs w:val="20"/>
                <w:color w:val="auto"/>
              </w:rPr>
            </w:pPr>
            <w:r>
              <w:rPr>
                <w:rFonts w:ascii="Calibri" w:cs="Calibri" w:eastAsia="Calibri" w:hAnsi="Calibri"/>
                <w:sz w:val="18"/>
                <w:szCs w:val="18"/>
                <w:b w:val="1"/>
                <w:bCs w:val="1"/>
                <w:color w:val="auto"/>
              </w:rPr>
              <w:t>[ ]</w:t>
            </w:r>
          </w:p>
        </w:tc>
        <w:tc>
          <w:tcPr>
            <w:tcW w:w="72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 ]</w:t>
            </w:r>
          </w:p>
        </w:tc>
      </w:tr>
      <w:tr>
        <w:trPr>
          <w:trHeight w:val="829"/>
        </w:trPr>
        <w:tc>
          <w:tcPr>
            <w:tcW w:w="440" w:type="dxa"/>
            <w:vAlign w:val="bottom"/>
          </w:tcPr>
          <w:p>
            <w:pPr>
              <w:jc w:val="right"/>
              <w:ind w:right="130"/>
              <w:spacing w:after="0"/>
              <w:rPr>
                <w:sz w:val="20"/>
                <w:szCs w:val="20"/>
                <w:color w:val="auto"/>
              </w:rPr>
            </w:pPr>
            <w:r>
              <w:rPr>
                <w:rFonts w:ascii="Calibri" w:cs="Calibri" w:eastAsia="Calibri" w:hAnsi="Calibri"/>
                <w:sz w:val="18"/>
                <w:szCs w:val="18"/>
                <w:b w:val="1"/>
                <w:bCs w:val="1"/>
                <w:color w:val="auto"/>
                <w:w w:val="81"/>
              </w:rPr>
              <w:t>For</w:t>
            </w:r>
          </w:p>
        </w:tc>
        <w:tc>
          <w:tcPr>
            <w:tcW w:w="86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Against</w:t>
            </w:r>
          </w:p>
        </w:tc>
        <w:tc>
          <w:tcPr>
            <w:tcW w:w="720" w:type="dxa"/>
            <w:vAlign w:val="bottom"/>
          </w:tcPr>
          <w:p>
            <w:pPr>
              <w:jc w:val="right"/>
              <w:spacing w:after="0"/>
              <w:rPr>
                <w:sz w:val="20"/>
                <w:szCs w:val="20"/>
                <w:color w:val="auto"/>
              </w:rPr>
            </w:pPr>
            <w:r>
              <w:rPr>
                <w:rFonts w:ascii="Calibri" w:cs="Calibri" w:eastAsia="Calibri" w:hAnsi="Calibri"/>
                <w:sz w:val="18"/>
                <w:szCs w:val="18"/>
                <w:b w:val="1"/>
                <w:bCs w:val="1"/>
                <w:color w:val="auto"/>
              </w:rPr>
              <w:t>Abstain</w:t>
            </w:r>
          </w:p>
        </w:tc>
      </w:tr>
      <w:tr>
        <w:trPr>
          <w:trHeight w:val="548"/>
        </w:trPr>
        <w:tc>
          <w:tcPr>
            <w:tcW w:w="440" w:type="dxa"/>
            <w:vAlign w:val="bottom"/>
          </w:tcPr>
          <w:p>
            <w:pPr>
              <w:jc w:val="right"/>
              <w:ind w:right="50"/>
              <w:spacing w:after="0"/>
              <w:rPr>
                <w:sz w:val="20"/>
                <w:szCs w:val="20"/>
                <w:color w:val="auto"/>
              </w:rPr>
            </w:pPr>
            <w:r>
              <w:rPr>
                <w:rFonts w:ascii="Calibri" w:cs="Calibri" w:eastAsia="Calibri" w:hAnsi="Calibri"/>
                <w:sz w:val="18"/>
                <w:szCs w:val="18"/>
                <w:b w:val="1"/>
                <w:bCs w:val="1"/>
                <w:color w:val="auto"/>
              </w:rPr>
              <w:t>[ ]</w:t>
            </w:r>
          </w:p>
        </w:tc>
        <w:tc>
          <w:tcPr>
            <w:tcW w:w="860" w:type="dxa"/>
            <w:vAlign w:val="bottom"/>
          </w:tcPr>
          <w:p>
            <w:pPr>
              <w:jc w:val="right"/>
              <w:ind w:right="110"/>
              <w:spacing w:after="0"/>
              <w:rPr>
                <w:sz w:val="20"/>
                <w:szCs w:val="20"/>
                <w:color w:val="auto"/>
              </w:rPr>
            </w:pPr>
            <w:r>
              <w:rPr>
                <w:rFonts w:ascii="Calibri" w:cs="Calibri" w:eastAsia="Calibri" w:hAnsi="Calibri"/>
                <w:sz w:val="18"/>
                <w:szCs w:val="18"/>
                <w:b w:val="1"/>
                <w:bCs w:val="1"/>
                <w:color w:val="auto"/>
              </w:rPr>
              <w:t>[ ]</w:t>
            </w:r>
          </w:p>
        </w:tc>
        <w:tc>
          <w:tcPr>
            <w:tcW w:w="72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1703705</wp:posOffset>
            </wp:positionV>
            <wp:extent cx="2339975" cy="3511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339975" cy="351155"/>
                    </a:xfrm>
                    <a:prstGeom prst="rect">
                      <a:avLst/>
                    </a:prstGeom>
                    <a:noFill/>
                  </pic:spPr>
                </pic:pic>
              </a:graphicData>
            </a:graphic>
          </wp:anchor>
        </w:drawing>
      </w:r>
    </w:p>
    <w:p>
      <w:pPr>
        <w:spacing w:after="0" w:line="2852" w:lineRule="exact"/>
        <w:rPr>
          <w:sz w:val="20"/>
          <w:szCs w:val="20"/>
          <w:color w:val="auto"/>
        </w:rPr>
      </w:pPr>
    </w:p>
    <w:p>
      <w:pPr>
        <w:sectPr>
          <w:pgSz w:w="11900" w:h="16838" w:orient="portrait"/>
          <w:cols w:equalWidth="0" w:num="2">
            <w:col w:w="5700" w:space="600"/>
            <w:col w:w="2719"/>
          </w:cols>
          <w:pgMar w:left="1440" w:top="504" w:right="1440"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ind w:left="260"/>
        <w:spacing w:after="0"/>
        <w:tabs>
          <w:tab w:leader="none" w:pos="3760" w:val="left"/>
          <w:tab w:leader="none" w:pos="5160" w:val="left"/>
          <w:tab w:leader="none" w:pos="7780" w:val="left"/>
        </w:tabs>
        <w:rPr>
          <w:sz w:val="20"/>
          <w:szCs w:val="20"/>
          <w:color w:val="auto"/>
        </w:rPr>
      </w:pPr>
      <w:r>
        <w:rPr>
          <w:rFonts w:ascii="Calibri" w:cs="Calibri" w:eastAsia="Calibri" w:hAnsi="Calibri"/>
          <w:sz w:val="18"/>
          <w:szCs w:val="18"/>
          <w:b w:val="1"/>
          <w:bCs w:val="1"/>
          <w:color w:val="auto"/>
        </w:rPr>
        <w:t>Signature [PLEASE SIGN WITHIN BOX]</w:t>
      </w:r>
      <w:r>
        <w:rPr>
          <w:sz w:val="20"/>
          <w:szCs w:val="20"/>
          <w:color w:val="auto"/>
        </w:rPr>
        <w:tab/>
      </w:r>
      <w:r>
        <w:rPr>
          <w:rFonts w:ascii="Calibri" w:cs="Calibri" w:eastAsia="Calibri" w:hAnsi="Calibri"/>
          <w:sz w:val="18"/>
          <w:szCs w:val="18"/>
          <w:color w:val="auto"/>
        </w:rPr>
        <w:t>Date</w:t>
      </w:r>
      <w:r>
        <w:rPr>
          <w:sz w:val="20"/>
          <w:szCs w:val="20"/>
          <w:color w:val="auto"/>
        </w:rPr>
        <w:tab/>
      </w:r>
      <w:r>
        <w:rPr>
          <w:rFonts w:ascii="Calibri" w:cs="Calibri" w:eastAsia="Calibri" w:hAnsi="Calibri"/>
          <w:sz w:val="18"/>
          <w:szCs w:val="18"/>
          <w:b w:val="1"/>
          <w:bCs w:val="1"/>
          <w:color w:val="auto"/>
        </w:rPr>
        <w:t>Signature (Joint Owners)</w:t>
      </w:r>
      <w:r>
        <w:rPr>
          <w:sz w:val="20"/>
          <w:szCs w:val="20"/>
          <w:color w:val="auto"/>
        </w:rPr>
        <w:tab/>
      </w:r>
      <w:r>
        <w:rPr>
          <w:rFonts w:ascii="Calibri" w:cs="Calibri" w:eastAsia="Calibri" w:hAnsi="Calibri"/>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803275</wp:posOffset>
            </wp:positionV>
            <wp:extent cx="545211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107" w:name="page108"/>
    <w:bookmarkEnd w:id="107"/>
    <w:p>
      <w:pPr>
        <w:ind w:left="200"/>
        <w:spacing w:after="0"/>
        <w:rPr>
          <w:sz w:val="20"/>
          <w:szCs w:val="20"/>
          <w:color w:val="auto"/>
        </w:rPr>
      </w:pPr>
      <w:r>
        <w:rPr>
          <w:rFonts w:ascii="Calibri" w:cs="Calibri" w:eastAsia="Calibri" w:hAnsi="Calibri"/>
          <w:sz w:val="18"/>
          <w:szCs w:val="18"/>
          <w:u w:val="single" w:color="auto"/>
          <w:color w:val="0000EE"/>
        </w:rPr>
        <w:t>Table of Contents</w:t>
      </w:r>
    </w:p>
    <w:p>
      <w:pPr>
        <w:spacing w:after="0" w:line="325" w:lineRule="exact"/>
        <w:rPr>
          <w:sz w:val="20"/>
          <w:szCs w:val="20"/>
          <w:color w:val="auto"/>
        </w:rPr>
      </w:pPr>
    </w:p>
    <w:p>
      <w:pPr>
        <w:ind w:left="6720"/>
        <w:spacing w:after="0"/>
        <w:rPr>
          <w:sz w:val="20"/>
          <w:szCs w:val="20"/>
          <w:color w:val="auto"/>
        </w:rPr>
      </w:pPr>
      <w:r>
        <w:rPr>
          <w:rFonts w:ascii="Calibri" w:cs="Calibri" w:eastAsia="Calibri" w:hAnsi="Calibri"/>
          <w:sz w:val="17"/>
          <w:szCs w:val="17"/>
          <w:color w:val="auto"/>
        </w:rPr>
        <w:t>OTHER PROXY INFORMATION</w:t>
      </w:r>
    </w:p>
    <w:p>
      <w:pPr>
        <w:spacing w:after="0" w:line="13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Important Notce Regarding the Availability of Proxy Materials for the Annual Meetng:</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 xml:space="preserve">The Notce and Proxy Statement and Annual Report are available at </w:t>
      </w:r>
      <w:r>
        <w:rPr>
          <w:rFonts w:ascii="Calibri" w:cs="Calibri" w:eastAsia="Calibri" w:hAnsi="Calibri"/>
          <w:sz w:val="18"/>
          <w:szCs w:val="18"/>
          <w:u w:val="single" w:color="auto"/>
          <w:color w:val="auto"/>
        </w:rPr>
        <w:t>www.proxyvote.com</w:t>
      </w:r>
      <w:r>
        <w:rPr>
          <w:rFonts w:ascii="Calibri" w:cs="Calibri" w:eastAsia="Calibri" w:hAnsi="Calibri"/>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302260</wp:posOffset>
            </wp:positionV>
            <wp:extent cx="5477510" cy="336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77510"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MERIT MEDICAL SYSTEMS,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Annual Meetng of Shareholders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May 15, 2024, 2:00 PM (Mountain Time)</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This proxy is solicited by the Board of Directors</w:t>
      </w:r>
    </w:p>
    <w:p>
      <w:pPr>
        <w:spacing w:after="0" w:line="218" w:lineRule="exact"/>
        <w:rPr>
          <w:sz w:val="20"/>
          <w:szCs w:val="20"/>
          <w:color w:val="auto"/>
        </w:rPr>
      </w:pPr>
    </w:p>
    <w:p>
      <w:pPr>
        <w:jc w:val="both"/>
        <w:ind w:left="200" w:right="219"/>
        <w:spacing w:after="0" w:line="233" w:lineRule="auto"/>
        <w:rPr>
          <w:sz w:val="20"/>
          <w:szCs w:val="20"/>
          <w:color w:val="auto"/>
        </w:rPr>
      </w:pPr>
      <w:r>
        <w:rPr>
          <w:rFonts w:ascii="Calibri" w:cs="Calibri" w:eastAsia="Calibri" w:hAnsi="Calibri"/>
          <w:sz w:val="18"/>
          <w:szCs w:val="18"/>
          <w:color w:val="auto"/>
        </w:rPr>
        <w:t>The undersigned hereby appoints Brian G. Lloyd and Raul Parra and each of them, as proxies, with full power of substtuton, and hereby authorizes each of them to represent and vote, as designated below, all shares of the common stock of Merit Medical Systems, Inc., a Utah corporaton (the “Company”), held of record by the undersigned on March 18, 2024 at the Annual Meetng of Shareholders (the “Annual Meetng”) to be held virtually via live webcast at www.virtualshareholdermeetng.com/MMSI2024, on Thursday, May 15, 2024, at 2:00 p.m., Mountain Time, or at any adjournment or postponement thereof, upon the maters set forth below, all in accordance with and as more fully described in the accompanying Notce of Annual Meetng and Proxy Statement, receipt of which is hereby acknowledged.</w:t>
      </w:r>
    </w:p>
    <w:p>
      <w:pPr>
        <w:spacing w:after="0" w:line="210" w:lineRule="exact"/>
        <w:rPr>
          <w:sz w:val="20"/>
          <w:szCs w:val="20"/>
          <w:color w:val="auto"/>
        </w:rPr>
      </w:pPr>
    </w:p>
    <w:p>
      <w:pPr>
        <w:jc w:val="both"/>
        <w:ind w:left="200" w:right="219"/>
        <w:spacing w:after="0" w:line="235" w:lineRule="auto"/>
        <w:rPr>
          <w:sz w:val="20"/>
          <w:szCs w:val="20"/>
          <w:color w:val="auto"/>
        </w:rPr>
      </w:pPr>
      <w:r>
        <w:rPr>
          <w:rFonts w:ascii="Calibri" w:cs="Calibri" w:eastAsia="Calibri" w:hAnsi="Calibri"/>
          <w:sz w:val="18"/>
          <w:szCs w:val="18"/>
          <w:color w:val="auto"/>
        </w:rPr>
        <w:t>This proxy also provides votng instructons to the Trustee of the Merit Medical Systems, Inc. 401(k) Proft Sharing Plan and directs such Trustee to vote at the Annual Meetng all of the shares of the Company's Common Stock which are allocated to the undersigned's employee plan account in the manner directed on the reverse side of this card. If no directon is given or if directon is received afer May 10, 2024, the Trustee will vote the shares in the same proporton as to which it has received instructons from other plan partcipants.</w:t>
      </w:r>
    </w:p>
    <w:p>
      <w:pPr>
        <w:spacing w:after="0" w:line="220" w:lineRule="exact"/>
        <w:rPr>
          <w:sz w:val="20"/>
          <w:szCs w:val="20"/>
          <w:color w:val="auto"/>
        </w:rPr>
      </w:pPr>
    </w:p>
    <w:p>
      <w:pPr>
        <w:jc w:val="both"/>
        <w:ind w:left="200" w:right="219"/>
        <w:spacing w:after="0" w:line="248" w:lineRule="auto"/>
        <w:rPr>
          <w:sz w:val="20"/>
          <w:szCs w:val="20"/>
          <w:color w:val="auto"/>
        </w:rPr>
      </w:pPr>
      <w:r>
        <w:rPr>
          <w:rFonts w:ascii="Calibri" w:cs="Calibri" w:eastAsia="Calibri" w:hAnsi="Calibri"/>
          <w:sz w:val="17"/>
          <w:szCs w:val="17"/>
          <w:b w:val="1"/>
          <w:bCs w:val="1"/>
          <w:color w:val="auto"/>
        </w:rPr>
        <w:t>This proxy card, when properly executed, will be voted in the manner directed herein. If no such directon is made, this proxy will be voted in accordance with the Board of Directors' recommendatons (FOR Proposals 1, 2, 3 and 4) and in the discreton of the proxies, or Trustee of the Merit Medical Systems, Inc. 401(k) Proft Sharing Plan, as applicable, upon such other maters as may properly come before the Annual Meetng. The undersigned shareholder may revoke this proxy card at any tme before it is voted at the Annual Meetng by executng and returning a proxy card bearing a later date by mail, by votng via the Internet, by fling with the Secretary of the Company, at the Company’s address set forth in the Notce of Annual Meetng and Proxy Statement, a writen notce of revocaton bearing a later date than the proxy card being revoked, or by votng the Common Stock covered thereby in person at the Annual Meetng.</w:t>
      </w:r>
    </w:p>
    <w:p>
      <w:pPr>
        <w:spacing w:after="0" w:line="19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(Contnued and to be marked, dated and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545211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5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lowerRoman"/>
      <w:start w:val="10"/>
    </w:lvl>
  </w:abstractNum>
  <w:abstractNum w:abstractNumId="1">
    <w:nsid w:val="77AE35EB"/>
    <w:multiLevelType w:val="hybridMultilevel"/>
    <w:lvl w:ilvl="0">
      <w:lvlJc w:val="left"/>
      <w:lvlText w:val="[%1]"/>
      <w:numFmt w:val="lowerRoman"/>
      <w:start w:val="10"/>
    </w:lvl>
  </w:abstractNum>
  <w:abstractNum w:abstractNumId="2">
    <w:nsid w:val="579BE4F1"/>
    <w:multiLevelType w:val="hybridMultilevel"/>
    <w:lvl w:ilvl="0">
      <w:lvlJc w:val="left"/>
      <w:lvlText w:val="1"/>
      <w:numFmt w:val="bullet"/>
      <w:start w:val="1"/>
    </w:lvl>
  </w:abstractNum>
  <w:abstractNum w:abstractNumId="3">
    <w:nsid w:val="310C50B3"/>
    <w:multiLevelType w:val="hybridMultilevel"/>
    <w:lvl w:ilvl="0">
      <w:lvlJc w:val="left"/>
      <w:lvlText w:val="2"/>
      <w:numFmt w:val="bullet"/>
      <w:start w:val="1"/>
    </w:lvl>
  </w:abstractNum>
  <w:abstractNum w:abstractNumId="4">
    <w:nsid w:val="5FF87E05"/>
    <w:multiLevelType w:val="hybridMultilevel"/>
    <w:lvl w:ilvl="0">
      <w:lvlJc w:val="left"/>
      <w:lvlText w:val="5"/>
      <w:numFmt w:val="bullet"/>
      <w:start w:val="1"/>
    </w:lvl>
  </w:abstractNum>
  <w:abstractNum w:abstractNumId="5">
    <w:nsid w:val="2F305DEF"/>
    <w:multiLevelType w:val="hybridMultilevel"/>
    <w:lvl w:ilvl="0">
      <w:lvlJc w:val="left"/>
      <w:lvlText w:val="9"/>
      <w:numFmt w:val="bullet"/>
      <w:start w:val="1"/>
    </w:lvl>
  </w:abstractNum>
  <w:abstractNum w:abstractNumId="6">
    <w:nsid w:val="25A70BF7"/>
    <w:multiLevelType w:val="hybridMultilevel"/>
    <w:lvl w:ilvl="0">
      <w:lvlJc w:val="left"/>
      <w:lvlText w:val="%1"/>
      <w:numFmt w:val="decimal"/>
      <w:start w:val="13"/>
    </w:lvl>
  </w:abstractNum>
  <w:abstractNum w:abstractNumId="7">
    <w:nsid w:val="1DBABF00"/>
    <w:multiLevelType w:val="hybridMultilevel"/>
    <w:lvl w:ilvl="0">
      <w:lvlJc w:val="left"/>
      <w:lvlText w:val="%1"/>
      <w:numFmt w:val="decimal"/>
      <w:start w:val="26"/>
    </w:lvl>
  </w:abstractNum>
  <w:abstractNum w:abstractNumId="8">
    <w:nsid w:val="4AD084E9"/>
    <w:multiLevelType w:val="hybridMultilevel"/>
    <w:lvl w:ilvl="0">
      <w:lvlJc w:val="left"/>
      <w:lvlText w:val="%1"/>
      <w:numFmt w:val="decimal"/>
      <w:start w:val="30"/>
    </w:lvl>
  </w:abstractNum>
  <w:abstractNum w:abstractNumId="9">
    <w:nsid w:val="1F48EAA1"/>
    <w:multiLevelType w:val="hybridMultilevel"/>
    <w:lvl w:ilvl="0">
      <w:lvlJc w:val="left"/>
      <w:lvlText w:val="%1"/>
      <w:numFmt w:val="decimal"/>
      <w:start w:val="33"/>
    </w:lvl>
  </w:abstractNum>
  <w:abstractNum w:abstractNumId="10">
    <w:nsid w:val="1381823A"/>
    <w:multiLevelType w:val="hybridMultilevel"/>
    <w:lvl w:ilvl="0">
      <w:lvlJc w:val="left"/>
      <w:lvlText w:val="%1"/>
      <w:numFmt w:val="decimal"/>
      <w:start w:val="33"/>
    </w:lvl>
  </w:abstractNum>
  <w:abstractNum w:abstractNumId="11">
    <w:nsid w:val="5DB70AE5"/>
    <w:multiLevelType w:val="hybridMultilevel"/>
    <w:lvl w:ilvl="0">
      <w:lvlJc w:val="left"/>
      <w:lvlText w:val="%1"/>
      <w:numFmt w:val="decimal"/>
      <w:start w:val="38"/>
    </w:lvl>
  </w:abstractNum>
  <w:abstractNum w:abstractNumId="12">
    <w:nsid w:val="100F8FCA"/>
    <w:multiLevelType w:val="hybridMultilevel"/>
    <w:lvl w:ilvl="0">
      <w:lvlJc w:val="left"/>
      <w:lvlText w:val="%1"/>
      <w:numFmt w:val="decimal"/>
      <w:start w:val="57"/>
    </w:lvl>
  </w:abstractNum>
  <w:abstractNum w:abstractNumId="13">
    <w:nsid w:val="6590700B"/>
    <w:multiLevelType w:val="hybridMultilevel"/>
    <w:lvl w:ilvl="0">
      <w:lvlJc w:val="left"/>
      <w:lvlText w:val="%1"/>
      <w:numFmt w:val="decimal"/>
      <w:start w:val="58"/>
    </w:lvl>
  </w:abstractNum>
  <w:abstractNum w:abstractNumId="14">
    <w:nsid w:val="15014ACB"/>
    <w:multiLevelType w:val="hybridMultilevel"/>
    <w:lvl w:ilvl="0">
      <w:lvlJc w:val="left"/>
      <w:lvlText w:val="%1"/>
      <w:numFmt w:val="decimal"/>
      <w:start w:val="61"/>
    </w:lvl>
  </w:abstractNum>
  <w:abstractNum w:abstractNumId="15">
    <w:nsid w:val="5F5E7FD0"/>
    <w:multiLevelType w:val="hybridMultilevel"/>
    <w:lvl w:ilvl="0">
      <w:lvlJc w:val="left"/>
      <w:lvlText w:val="%1"/>
      <w:numFmt w:val="decimal"/>
      <w:start w:val="62"/>
    </w:lvl>
  </w:abstractNum>
  <w:abstractNum w:abstractNumId="16">
    <w:nsid w:val="98A3148"/>
    <w:multiLevelType w:val="hybridMultilevel"/>
    <w:lvl w:ilvl="0">
      <w:lvlJc w:val="left"/>
      <w:lvlText w:val="%1"/>
      <w:numFmt w:val="decimal"/>
      <w:start w:val="73"/>
    </w:lvl>
  </w:abstractNum>
  <w:abstractNum w:abstractNumId="17">
    <w:nsid w:val="799D0247"/>
    <w:multiLevelType w:val="hybridMultilevel"/>
    <w:lvl w:ilvl="0">
      <w:lvlJc w:val="left"/>
      <w:lvlText w:val="%1"/>
      <w:numFmt w:val="decimal"/>
      <w:start w:val="80"/>
    </w:lvl>
  </w:abstractNum>
  <w:abstractNum w:abstractNumId="18">
    <w:nsid w:val="6B94764"/>
    <w:multiLevelType w:val="hybridMultilevel"/>
    <w:lvl w:ilvl="0">
      <w:lvlJc w:val="left"/>
      <w:lvlText w:val="%1"/>
      <w:numFmt w:val="decimal"/>
      <w:start w:val="80"/>
    </w:lvl>
  </w:abstractNum>
  <w:abstractNum w:abstractNumId="19">
    <w:nsid w:val="42C296BD"/>
    <w:multiLevelType w:val="hybridMultilevel"/>
    <w:lvl w:ilvl="0">
      <w:lvlJc w:val="left"/>
      <w:lvlText w:val="%1"/>
      <w:numFmt w:val="decimal"/>
      <w:start w:val="82"/>
    </w:lvl>
  </w:abstractNum>
  <w:abstractNum w:abstractNumId="20">
    <w:nsid w:val="168E121F"/>
    <w:multiLevelType w:val="hybridMultilevel"/>
    <w:lvl w:ilvl="0">
      <w:lvlJc w:val="left"/>
      <w:lvlText w:val="%1"/>
      <w:numFmt w:val="decimal"/>
      <w:start w:val="84"/>
    </w:lvl>
  </w:abstractNum>
  <w:abstractNum w:abstractNumId="21">
    <w:nsid w:val="1EBA5D23"/>
    <w:multiLevelType w:val="hybridMultilevel"/>
    <w:lvl w:ilvl="0">
      <w:lvlJc w:val="left"/>
      <w:lvlText w:val="%1"/>
      <w:numFmt w:val="decimal"/>
      <w:start w:val="84"/>
    </w:lvl>
  </w:abstractNum>
  <w:abstractNum w:abstractNumId="22">
    <w:nsid w:val="661E3F1E"/>
    <w:multiLevelType w:val="hybridMultilevel"/>
    <w:lvl w:ilvl="0">
      <w:lvlJc w:val="left"/>
      <w:lvlText w:val="%1"/>
      <w:numFmt w:val="decimal"/>
      <w:start w:val="89"/>
    </w:lvl>
  </w:abstractNum>
  <w:abstractNum w:abstractNumId="23">
    <w:nsid w:val="5DC79EA8"/>
    <w:multiLevelType w:val="hybridMultilevel"/>
    <w:lvl w:ilvl="0">
      <w:lvlJc w:val="left"/>
      <w:lvlText w:val="%1"/>
      <w:numFmt w:val="decimal"/>
      <w:start w:val="89"/>
    </w:lvl>
  </w:abstractNum>
  <w:abstractNum w:abstractNumId="24">
    <w:nsid w:val="540A471C"/>
    <w:multiLevelType w:val="hybridMultilevel"/>
    <w:lvl w:ilvl="0">
      <w:lvlJc w:val="left"/>
      <w:lvlText w:val="(%1)"/>
      <w:numFmt w:val="decimal"/>
      <w:start w:val="1"/>
    </w:lvl>
  </w:abstractNum>
  <w:abstractNum w:abstractNumId="25">
    <w:nsid w:val="7BD3EE7B"/>
    <w:multiLevelType w:val="hybridMultilevel"/>
    <w:lvl w:ilvl="0">
      <w:lvlJc w:val="left"/>
      <w:lvlText w:val="(%1)"/>
      <w:numFmt w:val="decimal"/>
      <w:start w:val="1"/>
    </w:lvl>
  </w:abstractNum>
  <w:abstractNum w:abstractNumId="26">
    <w:nsid w:val="51D9C564"/>
    <w:multiLevelType w:val="hybridMultilevel"/>
    <w:lvl w:ilvl="0">
      <w:lvlJc w:val="left"/>
      <w:lvlText w:val="%1:"/>
      <w:numFmt w:val="decimal"/>
      <w:start w:val="3"/>
    </w:lvl>
  </w:abstractNum>
  <w:abstractNum w:abstractNumId="27">
    <w:nsid w:val="613EFDC5"/>
    <w:multiLevelType w:val="hybridMultilevel"/>
    <w:lvl w:ilvl="0">
      <w:lvlJc w:val="left"/>
      <w:lvlText w:val="●"/>
      <w:numFmt w:val="bullet"/>
      <w:start w:val="1"/>
    </w:lvl>
    <w:lvl w:ilvl="1">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1)"/>
      <w:numFmt w:val="lowerLetter"/>
      <w:start w:val="3"/>
    </w:lvl>
  </w:abstractNum>
  <w:abstractNum w:abstractNumId="49">
    <w:nsid w:val="76272110"/>
    <w:multiLevelType w:val="hybridMultilevel"/>
    <w:lvl w:ilvl="0">
      <w:lvlJc w:val="left"/>
      <w:lvlText w:val="(%1)"/>
      <w:numFmt w:val="decimal"/>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1)"/>
      <w:numFmt w:val="decimal"/>
      <w:start w:val="1"/>
    </w:lvl>
  </w:abstractNum>
  <w:abstractNum w:abstractNumId="52">
    <w:nsid w:val="14E17E33"/>
    <w:multiLevelType w:val="hybridMultilevel"/>
    <w:lvl w:ilvl="0">
      <w:lvlJc w:val="left"/>
      <w:lvlText w:val="3"/>
      <w:numFmt w:val="bullet"/>
      <w:start w:val="1"/>
    </w:lvl>
  </w:abstractNum>
  <w:abstractNum w:abstractNumId="53">
    <w:nsid w:val="3222E7CD"/>
    <w:multiLevelType w:val="hybridMultilevel"/>
    <w:lvl w:ilvl="0">
      <w:lvlJc w:val="left"/>
      <w:lvlText w:val="4"/>
      <w:numFmt w:val="bullet"/>
      <w:start w:val="1"/>
    </w:lvl>
  </w:abstractNum>
  <w:abstractNum w:abstractNumId="54">
    <w:nsid w:val="74DE0EE3"/>
    <w:multiLevelType w:val="hybridMultilevel"/>
    <w:lvl w:ilvl="0">
      <w:lvlJc w:val="left"/>
      <w:lvlText w:val="5"/>
      <w:numFmt w:val="bullet"/>
      <w:start w:val="1"/>
    </w:lvl>
  </w:abstractNum>
  <w:abstractNum w:abstractNumId="55">
    <w:nsid w:val="68EBC55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1)"/>
      <w:numFmt w:val="decimal"/>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1)"/>
      <w:numFmt w:val="decimal"/>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
      <w:numFmt w:val="bullet"/>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1)"/>
      <w:numFmt w:val="decimal"/>
      <w:start w:val="1"/>
    </w:lvl>
  </w:abstractNum>
  <w:abstractNum w:abstractNumId="72">
    <w:nsid w:val="6AA78F7F"/>
    <w:multiLevelType w:val="hybridMultilevel"/>
    <w:lvl w:ilvl="0">
      <w:lvlJc w:val="left"/>
      <w:lvlText w:val="(%1)"/>
      <w:numFmt w:val="decimal"/>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1)"/>
      <w:numFmt w:val="decimal"/>
      <w:start w:val="1"/>
    </w:lvl>
  </w:abstractNum>
  <w:abstractNum w:abstractNumId="75">
    <w:nsid w:val="6A5F7029"/>
    <w:multiLevelType w:val="hybridMultilevel"/>
    <w:lvl w:ilvl="0">
      <w:lvlJc w:val="left"/>
      <w:lvlText w:val="(%1)"/>
      <w:numFmt w:val="decimal"/>
      <w:start w:val="1"/>
    </w:lvl>
  </w:abstractNum>
  <w:abstractNum w:abstractNumId="76">
    <w:nsid w:val="7D5E18F8"/>
    <w:multiLevelType w:val="hybridMultilevel"/>
    <w:lvl w:ilvl="0">
      <w:lvlJc w:val="left"/>
      <w:lvlText w:val="(%1)"/>
      <w:numFmt w:val="decimal"/>
      <w:start w:val="1"/>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1)"/>
      <w:numFmt w:val="decimal"/>
      <w:start w:val="1"/>
    </w:lvl>
  </w:abstractNum>
  <w:abstractNum w:abstractNumId="81">
    <w:nsid w:val="3FA62ACA"/>
    <w:multiLevelType w:val="hybridMultilevel"/>
    <w:lvl w:ilvl="0">
      <w:lvlJc w:val="left"/>
      <w:lvlText w:val="(%1)"/>
      <w:numFmt w:val="decimal"/>
      <w:start w:val="3"/>
    </w:lvl>
  </w:abstractNum>
  <w:abstractNum w:abstractNumId="82">
    <w:nsid w:val="14FCE74E"/>
    <w:multiLevelType w:val="hybridMultilevel"/>
    <w:lvl w:ilvl="0">
      <w:lvlJc w:val="left"/>
      <w:lvlText w:val="(%1)"/>
      <w:numFmt w:val="decimal"/>
      <w:start w:val="4"/>
    </w:lvl>
    <w:lvl w:ilvl="1">
      <w:lvlJc w:val="left"/>
      <w:lvlText w:val="●"/>
      <w:numFmt w:val="bullet"/>
      <w:start w:val="1"/>
    </w:lvl>
  </w:abstractNum>
  <w:abstractNum w:abstractNumId="83">
    <w:nsid w:val="6A3DD3E8"/>
    <w:multiLevelType w:val="hybridMultilevel"/>
    <w:lvl w:ilvl="0">
      <w:lvlJc w:val="left"/>
      <w:lvlText w:val="(%1)"/>
      <w:numFmt w:val="decimal"/>
      <w:start w:val="1"/>
    </w:lvl>
  </w:abstractNum>
  <w:abstractNum w:abstractNumId="84">
    <w:nsid w:val="71C91298"/>
    <w:multiLevelType w:val="hybridMultilevel"/>
    <w:lvl w:ilvl="0">
      <w:lvlJc w:val="left"/>
      <w:lvlText w:val="(%1)"/>
      <w:numFmt w:val="decimal"/>
      <w:start w:val="2"/>
    </w:lvl>
  </w:abstractNum>
  <w:abstractNum w:abstractNumId="85">
    <w:nsid w:val="9DAF632"/>
    <w:multiLevelType w:val="hybridMultilevel"/>
    <w:lvl w:ilvl="0">
      <w:lvlJc w:val="left"/>
      <w:lvlText w:val="(%1)"/>
      <w:numFmt w:val="decimal"/>
      <w:start w:val="1"/>
    </w:lvl>
  </w:abstractNum>
  <w:abstractNum w:abstractNumId="86">
    <w:nsid w:val="53299938"/>
    <w:multiLevelType w:val="hybridMultilevel"/>
    <w:lvl w:ilvl="0">
      <w:lvlJc w:val="left"/>
      <w:lvlText w:val="(%1)"/>
      <w:numFmt w:val="decimal"/>
      <w:start w:val="1"/>
    </w:lvl>
  </w:abstractNum>
  <w:abstractNum w:abstractNumId="87">
    <w:nsid w:val="1FBFE8E0"/>
    <w:multiLevelType w:val="hybridMultilevel"/>
    <w:lvl w:ilvl="0">
      <w:lvlJc w:val="left"/>
      <w:lvlText w:val="(%1)"/>
      <w:numFmt w:val="decimal"/>
      <w:start w:val="1"/>
    </w:lvl>
  </w:abstractNum>
  <w:abstractNum w:abstractNumId="88">
    <w:nsid w:val="5092CA79"/>
    <w:multiLevelType w:val="hybridMultilevel"/>
    <w:lvl w:ilvl="0">
      <w:lvlJc w:val="left"/>
      <w:lvlText w:val="(%1)"/>
      <w:numFmt w:val="decimal"/>
      <w:start w:val="2"/>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
      <w:numFmt w:val="bullet"/>
      <w:start w:val="1"/>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
      <w:numFmt w:val="bullet"/>
      <w:start w:val="1"/>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1)"/>
      <w:numFmt w:val="decimal"/>
      <w:start w:val="1"/>
    </w:lvl>
  </w:abstractNum>
  <w:abstractNum w:abstractNumId="95">
    <w:nsid w:val="51088277"/>
    <w:multiLevelType w:val="hybridMultilevel"/>
    <w:lvl w:ilvl="0">
      <w:lvlJc w:val="left"/>
      <w:lvlText w:val="(%1)"/>
      <w:numFmt w:val="decimal"/>
      <w:start w:val="1"/>
    </w:lvl>
  </w:abstractNum>
  <w:abstractNum w:abstractNumId="96">
    <w:nsid w:val="1CA0C5FA"/>
    <w:multiLevelType w:val="hybridMultilevel"/>
    <w:lvl w:ilvl="0">
      <w:lvlJc w:val="left"/>
      <w:lvlText w:val="(%1)"/>
      <w:numFmt w:val="decimal"/>
      <w:start w:val="3"/>
    </w:lvl>
  </w:abstractNum>
  <w:abstractNum w:abstractNumId="97">
    <w:nsid w:val="53584BCB"/>
    <w:multiLevelType w:val="hybridMultilevel"/>
    <w:lvl w:ilvl="0">
      <w:lvlJc w:val="left"/>
      <w:lvlText w:val="●"/>
      <w:numFmt w:val="bullet"/>
      <w:start w:val="1"/>
    </w:lvl>
  </w:abstractNum>
  <w:abstractNum w:abstractNumId="98">
    <w:nsid w:val="415E286C"/>
    <w:multiLevelType w:val="hybridMultilevel"/>
    <w:lvl w:ilvl="0">
      <w:lvlJc w:val="left"/>
      <w:lvlText w:val="(%1)"/>
      <w:numFmt w:val="decimal"/>
      <w:start w:val="1"/>
    </w:lvl>
  </w:abstractNum>
  <w:abstractNum w:abstractNumId="99">
    <w:nsid w:val="7C58FD05"/>
    <w:multiLevelType w:val="hybridMultilevel"/>
    <w:lvl w:ilvl="0">
      <w:lvlJc w:val="left"/>
      <w:lvlText w:val="(%1)"/>
      <w:numFmt w:val="decimal"/>
      <w:start w:val="3"/>
    </w:lvl>
  </w:abstractNum>
  <w:abstractNum w:abstractNumId="100">
    <w:nsid w:val="23D86AAC"/>
    <w:multiLevelType w:val="hybridMultilevel"/>
    <w:lvl w:ilvl="0">
      <w:lvlJc w:val="left"/>
      <w:lvlText w:val="(%1)"/>
      <w:numFmt w:val="decimal"/>
      <w:start w:val="5"/>
    </w:lvl>
  </w:abstractNum>
  <w:abstractNum w:abstractNumId="101">
    <w:nsid w:val="45E6D486"/>
    <w:multiLevelType w:val="hybridMultilevel"/>
    <w:lvl w:ilvl="0">
      <w:lvlJc w:val="left"/>
      <w:lvlText w:val="(%1)"/>
      <w:numFmt w:val="decimal"/>
      <w:start w:val="1"/>
    </w:lvl>
  </w:abstractNum>
  <w:abstractNum w:abstractNumId="102">
    <w:nsid w:val="5C10FE21"/>
    <w:multiLevelType w:val="hybridMultilevel"/>
    <w:lvl w:ilvl="0">
      <w:lvlJc w:val="left"/>
      <w:lvlText w:val="(%1)"/>
      <w:numFmt w:val="decimal"/>
      <w:start w:val="1"/>
    </w:lvl>
  </w:abstractNum>
  <w:abstractNum w:abstractNumId="103">
    <w:nsid w:val="E7FFA2B"/>
    <w:multiLevelType w:val="hybridMultilevel"/>
    <w:lvl w:ilvl="0">
      <w:lvlJc w:val="left"/>
      <w:lvlText w:val="(%1)"/>
      <w:numFmt w:val="decimal"/>
      <w:start w:val="1"/>
    </w:lvl>
  </w:abstractNum>
  <w:abstractNum w:abstractNumId="104">
    <w:nsid w:val="3C5991AA"/>
    <w:multiLevelType w:val="hybridMultilevel"/>
    <w:lvl w:ilvl="0">
      <w:lvlJc w:val="left"/>
      <w:lvlText w:val="●"/>
      <w:numFmt w:val="bullet"/>
      <w:start w:val="1"/>
    </w:lvl>
  </w:abstractNum>
  <w:abstractNum w:abstractNumId="105">
    <w:nsid w:val="4BD8591A"/>
    <w:multiLevelType w:val="hybridMultilevel"/>
    <w:lvl w:ilvl="0">
      <w:lvlJc w:val="left"/>
      <w:lvlText w:val="●"/>
      <w:numFmt w:val="bullet"/>
      <w:start w:val="1"/>
    </w:lvl>
  </w:abstractNum>
  <w:abstractNum w:abstractNumId="106">
    <w:nsid w:val="78DF6A55"/>
    <w:multiLevelType w:val="hybridMultilevel"/>
    <w:lvl w:ilvl="0">
      <w:lvlJc w:val="left"/>
      <w:lvlText w:val="●"/>
      <w:numFmt w:val="bullet"/>
      <w:start w:val="1"/>
    </w:lvl>
  </w:abstractNum>
  <w:abstractNum w:abstractNumId="107">
    <w:nsid w:val="39B7AAA2"/>
    <w:multiLevelType w:val="hybridMultilevel"/>
    <w:lvl w:ilvl="0">
      <w:lvlJc w:val="left"/>
      <w:lvlText w:val="(%1)"/>
      <w:numFmt w:val="decimal"/>
      <w:start w:val="5"/>
    </w:lvl>
  </w:abstractNum>
  <w:abstractNum w:abstractNumId="108">
    <w:nsid w:val="2B0D8DBE"/>
    <w:multiLevelType w:val="hybridMultilevel"/>
    <w:lvl w:ilvl="0">
      <w:lvlJc w:val="left"/>
      <w:lvlText w:val="*"/>
      <w:numFmt w:val="bullet"/>
      <w:start w:val="1"/>
    </w:lvl>
  </w:abstractNum>
  <w:abstractNum w:abstractNumId="109">
    <w:nsid w:val="6C80EC70"/>
    <w:multiLevelType w:val="hybridMultilevel"/>
    <w:lvl w:ilvl="0">
      <w:lvlJc w:val="left"/>
      <w:lvlText w:val="(%1)"/>
      <w:numFmt w:val="decimal"/>
      <w:start w:val="1"/>
    </w:lvl>
  </w:abstractNum>
  <w:abstractNum w:abstractNumId="110">
    <w:nsid w:val="379E21B5"/>
    <w:multiLevelType w:val="hybridMultilevel"/>
    <w:lvl w:ilvl="0">
      <w:lvlJc w:val="left"/>
      <w:lvlText w:val="(%1)"/>
      <w:numFmt w:val="decimal"/>
      <w:start w:val="2"/>
    </w:lvl>
    <w:lvl w:ilvl="1">
      <w:lvlJc w:val="left"/>
      <w:lvlText w:val="●"/>
      <w:numFmt w:val="bullet"/>
      <w:start w:val="1"/>
    </w:lvl>
  </w:abstractNum>
  <w:abstractNum w:abstractNumId="111">
    <w:nsid w:val="69E373"/>
    <w:multiLevelType w:val="hybridMultilevel"/>
    <w:lvl w:ilvl="0">
      <w:lvlJc w:val="left"/>
      <w:lvlText w:val="(%1)"/>
      <w:numFmt w:val="decimal"/>
      <w:start w:val="1"/>
    </w:lvl>
  </w:abstractNum>
  <w:abstractNum w:abstractNumId="112">
    <w:nsid w:val="2C27173B"/>
    <w:multiLevelType w:val="hybridMultilevel"/>
    <w:lvl w:ilvl="0">
      <w:lvlJc w:val="left"/>
      <w:lvlText w:val="●"/>
      <w:numFmt w:val="bullet"/>
      <w:start w:val="1"/>
    </w:lvl>
  </w:abstractNum>
  <w:abstractNum w:abstractNumId="113">
    <w:nsid w:val="4C9B0904"/>
    <w:multiLevelType w:val="hybridMultilevel"/>
    <w:lvl w:ilvl="0">
      <w:lvlJc w:val="left"/>
      <w:lvlText w:val="●"/>
      <w:numFmt w:val="bullet"/>
      <w:start w:val="1"/>
    </w:lvl>
  </w:abstractNum>
  <w:abstractNum w:abstractNumId="114">
    <w:nsid w:val="6AA7B75C"/>
    <w:multiLevelType w:val="hybridMultilevel"/>
    <w:lvl w:ilvl="0">
      <w:lvlJc w:val="left"/>
      <w:lvlText w:val="●"/>
      <w:numFmt w:val="bullet"/>
      <w:start w:val="1"/>
    </w:lvl>
  </w:abstractNum>
  <w:abstractNum w:abstractNumId="115">
    <w:nsid w:val="1DF029D3"/>
    <w:multiLevelType w:val="hybridMultilevel"/>
    <w:lvl w:ilvl="0">
      <w:lvlJc w:val="left"/>
      <w:lvlText w:val="●"/>
      <w:numFmt w:val="bullet"/>
      <w:start w:val="1"/>
    </w:lvl>
  </w:abstractNum>
  <w:abstractNum w:abstractNumId="116">
    <w:nsid w:val="5675FF36"/>
    <w:multiLevelType w:val="hybridMultilevel"/>
    <w:lvl w:ilvl="0">
      <w:lvlJc w:val="left"/>
      <w:lvlText w:val="(%1)"/>
      <w:numFmt w:val="decimal"/>
      <w:start w:val="1"/>
    </w:lvl>
  </w:abstractNum>
  <w:abstractNum w:abstractNumId="117">
    <w:nsid w:val="3DD15094"/>
    <w:multiLevelType w:val="hybridMultilevel"/>
    <w:lvl w:ilvl="0">
      <w:lvlJc w:val="left"/>
      <w:lvlText w:val="(%1)"/>
      <w:numFmt w:val="decimal"/>
      <w:start w:val="1"/>
    </w:lvl>
  </w:abstractNum>
  <w:abstractNum w:abstractNumId="118">
    <w:nsid w:val="3DB012B3"/>
    <w:multiLevelType w:val="hybridMultilevel"/>
    <w:lvl w:ilvl="0">
      <w:lvlJc w:val="left"/>
      <w:lvlText w:val="(%1)"/>
      <w:numFmt w:val="decimal"/>
      <w:start w:val="1"/>
    </w:lvl>
  </w:abstractNum>
  <w:abstractNum w:abstractNumId="119">
    <w:nsid w:val="2708C9AF"/>
    <w:multiLevelType w:val="hybridMultilevel"/>
    <w:lvl w:ilvl="0">
      <w:lvlJc w:val="left"/>
      <w:lvlText w:val="%1."/>
      <w:numFmt w:val="decimal"/>
      <w:start w:val="1"/>
    </w:lvl>
  </w:abstractNum>
  <w:abstractNum w:abstractNumId="120">
    <w:nsid w:val="5B25ACE2"/>
    <w:multiLevelType w:val="hybridMultilevel"/>
    <w:lvl w:ilvl="0">
      <w:lvlJc w:val="left"/>
      <w:lvlText w:val="%1."/>
      <w:numFmt w:val="decimal"/>
      <w:start w:val="2"/>
    </w:lvl>
  </w:abstractNum>
  <w:abstractNum w:abstractNumId="121">
    <w:nsid w:val="175DFCF0"/>
    <w:multiLevelType w:val="hybridMultilevel"/>
    <w:lvl w:ilvl="0">
      <w:lvlJc w:val="left"/>
      <w:lvlText w:val="%1."/>
      <w:numFmt w:val="decimal"/>
      <w:start w:val="3"/>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2024-04-02T12:05:38Z</dcterms:created>
  <dcterms:modified xsi:type="dcterms:W3CDTF">2024-04-02T12:05:38Z</dcterms:modified>
</cp:coreProperties>
</file>